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53A9C" w14:textId="77777777" w:rsidR="008430BD" w:rsidRPr="001C3EC8" w:rsidRDefault="008430BD" w:rsidP="008430BD">
      <w:pPr>
        <w:rPr>
          <w:color w:val="000000" w:themeColor="text1"/>
        </w:rPr>
      </w:pPr>
      <w:r w:rsidRPr="001C3EC8">
        <w:rPr>
          <w:noProof/>
          <w:color w:val="000000" w:themeColor="text1"/>
          <w:lang w:eastAsia="cs-CZ"/>
        </w:rPr>
        <mc:AlternateContent>
          <mc:Choice Requires="wps">
            <w:drawing>
              <wp:anchor distT="0" distB="0" distL="114300" distR="114300" simplePos="0" relativeHeight="251661312" behindDoc="0" locked="0" layoutInCell="1" allowOverlap="1" wp14:anchorId="5553C3B5" wp14:editId="0987D7DD">
                <wp:simplePos x="0" y="0"/>
                <wp:positionH relativeFrom="column">
                  <wp:posOffset>1682750</wp:posOffset>
                </wp:positionH>
                <wp:positionV relativeFrom="paragraph">
                  <wp:posOffset>-193675</wp:posOffset>
                </wp:positionV>
                <wp:extent cx="4652010" cy="9850120"/>
                <wp:effectExtent l="0" t="0" r="0" b="0"/>
                <wp:wrapNone/>
                <wp:docPr id="124"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2010" cy="9850120"/>
                        </a:xfrm>
                        <a:prstGeom prst="rect">
                          <a:avLst/>
                        </a:prstGeom>
                        <a:solidFill>
                          <a:sysClr val="window" lastClr="FFFFFF"/>
                        </a:solidFill>
                        <a:ln w="6350">
                          <a:noFill/>
                        </a:ln>
                        <a:effectLst/>
                      </wps:spPr>
                      <wps:txbx>
                        <w:txbxContent>
                          <w:p w14:paraId="24CDB75A" w14:textId="77777777" w:rsidR="00B4248B" w:rsidRPr="00751F1F" w:rsidRDefault="00B4248B"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02FFB165" w14:textId="77777777" w:rsidR="00B4248B" w:rsidRDefault="00B4248B"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2020:</w:t>
                            </w:r>
                          </w:p>
                          <w:p w14:paraId="26451DED" w14:textId="77777777" w:rsidR="00B4248B" w:rsidRPr="00751F1F" w:rsidRDefault="00B4248B"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4499C359" w14:textId="77777777" w:rsidR="00B4248B" w:rsidRDefault="00B4248B" w:rsidP="008430BD">
                            <w:pPr>
                              <w:spacing w:line="240" w:lineRule="auto"/>
                              <w:rPr>
                                <w:rFonts w:ascii="DIN Next LT Pro Condensed" w:hAnsi="DIN Next LT Pro Condensed"/>
                                <w:sz w:val="56"/>
                              </w:rPr>
                            </w:pPr>
                          </w:p>
                          <w:p w14:paraId="59E80B4A" w14:textId="77777777" w:rsidR="00B4248B" w:rsidRDefault="00B4248B" w:rsidP="008430BD">
                            <w:pPr>
                              <w:spacing w:line="240" w:lineRule="auto"/>
                              <w:rPr>
                                <w:rFonts w:ascii="DIN Next LT Pro Condensed" w:hAnsi="DIN Next LT Pro Condensed"/>
                                <w:sz w:val="56"/>
                              </w:rPr>
                            </w:pPr>
                          </w:p>
                          <w:p w14:paraId="36060D8B" w14:textId="77777777" w:rsidR="00B4248B" w:rsidRDefault="00B4248B" w:rsidP="008430BD">
                            <w:pPr>
                              <w:spacing w:line="240" w:lineRule="auto"/>
                              <w:rPr>
                                <w:rFonts w:ascii="DIN Next LT Pro Condensed" w:hAnsi="DIN Next LT Pro Condensed"/>
                                <w:sz w:val="56"/>
                              </w:rPr>
                            </w:pPr>
                          </w:p>
                          <w:p w14:paraId="21426A69" w14:textId="77777777" w:rsidR="00B4248B" w:rsidRPr="00751F1F" w:rsidRDefault="00B4248B"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0BF8FA9D" w14:textId="77777777" w:rsidR="00B4248B" w:rsidRPr="00751F1F" w:rsidRDefault="00B4248B"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53C3B5" id="_x0000_t202" coordsize="21600,21600" o:spt="202" path="m,l,21600r21600,l21600,xe">
                <v:stroke joinstyle="miter"/>
                <v:path gradientshapeok="t" o:connecttype="rect"/>
              </v:shapetype>
              <v:shape id="Textové pole 71" o:spid="_x0000_s1026" type="#_x0000_t202" style="position:absolute;left:0;text-align:left;margin-left:132.5pt;margin-top:-15.25pt;width:366.3pt;height:7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" fillcolor="window" stroked="f" strokeweight=".5pt">
                <v:textbox>
                  <w:txbxContent>
                    <w:p w14:paraId="24CDB75A" w14:textId="77777777" w:rsidR="00B4248B" w:rsidRPr="00751F1F" w:rsidRDefault="00B4248B"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02FFB165" w14:textId="77777777" w:rsidR="00B4248B" w:rsidRDefault="00B4248B"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2020:</w:t>
                      </w:r>
                    </w:p>
                    <w:p w14:paraId="26451DED" w14:textId="77777777" w:rsidR="00B4248B" w:rsidRPr="00751F1F" w:rsidRDefault="00B4248B" w:rsidP="008430BD">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4499C359" w14:textId="77777777" w:rsidR="00B4248B" w:rsidRDefault="00B4248B" w:rsidP="008430BD">
                      <w:pPr>
                        <w:spacing w:line="240" w:lineRule="auto"/>
                        <w:rPr>
                          <w:rFonts w:ascii="DIN Next LT Pro Condensed" w:hAnsi="DIN Next LT Pro Condensed"/>
                          <w:sz w:val="56"/>
                        </w:rPr>
                      </w:pPr>
                    </w:p>
                    <w:p w14:paraId="59E80B4A" w14:textId="77777777" w:rsidR="00B4248B" w:rsidRDefault="00B4248B" w:rsidP="008430BD">
                      <w:pPr>
                        <w:spacing w:line="240" w:lineRule="auto"/>
                        <w:rPr>
                          <w:rFonts w:ascii="DIN Next LT Pro Condensed" w:hAnsi="DIN Next LT Pro Condensed"/>
                          <w:sz w:val="56"/>
                        </w:rPr>
                      </w:pPr>
                    </w:p>
                    <w:p w14:paraId="36060D8B" w14:textId="77777777" w:rsidR="00B4248B" w:rsidRDefault="00B4248B" w:rsidP="008430BD">
                      <w:pPr>
                        <w:spacing w:line="240" w:lineRule="auto"/>
                        <w:rPr>
                          <w:rFonts w:ascii="DIN Next LT Pro Condensed" w:hAnsi="DIN Next LT Pro Condensed"/>
                          <w:sz w:val="56"/>
                        </w:rPr>
                      </w:pPr>
                    </w:p>
                    <w:p w14:paraId="21426A69" w14:textId="77777777" w:rsidR="00B4248B" w:rsidRPr="00751F1F" w:rsidRDefault="00B4248B"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0BF8FA9D" w14:textId="77777777" w:rsidR="00B4248B" w:rsidRPr="00751F1F" w:rsidRDefault="00B4248B" w:rsidP="008430BD">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v:textbox>
              </v:shape>
            </w:pict>
          </mc:Fallback>
        </mc:AlternateContent>
      </w:r>
      <w:r w:rsidRPr="001C3EC8">
        <w:rPr>
          <w:noProof/>
          <w:color w:val="000000" w:themeColor="text1"/>
          <w:lang w:eastAsia="cs-CZ"/>
        </w:rPr>
        <mc:AlternateContent>
          <mc:Choice Requires="wps">
            <w:drawing>
              <wp:anchor distT="0" distB="0" distL="114299" distR="114299" simplePos="0" relativeHeight="251660288" behindDoc="0" locked="0" layoutInCell="1" allowOverlap="1" wp14:anchorId="3B70FC59" wp14:editId="788DAB9C">
                <wp:simplePos x="0" y="0"/>
                <wp:positionH relativeFrom="column">
                  <wp:posOffset>1442084</wp:posOffset>
                </wp:positionH>
                <wp:positionV relativeFrom="page">
                  <wp:posOffset>898525</wp:posOffset>
                </wp:positionV>
                <wp:extent cx="0" cy="9064625"/>
                <wp:effectExtent l="19050" t="0" r="19050" b="3175"/>
                <wp:wrapNone/>
                <wp:docPr id="123" name="Přímá spojnic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838383"/>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797993BF" id="Přímá spojnice 7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" strokecolor="#838383" strokeweight="3.75pt">
                <o:lock v:ext="edit" shapetype="f"/>
                <w10:wrap anchory="page"/>
              </v:line>
            </w:pict>
          </mc:Fallback>
        </mc:AlternateContent>
      </w:r>
      <w:r w:rsidRPr="001C3EC8">
        <w:rPr>
          <w:noProof/>
          <w:color w:val="000000" w:themeColor="text1"/>
          <w:lang w:eastAsia="cs-CZ"/>
        </w:rPr>
        <w:drawing>
          <wp:inline distT="0" distB="0" distL="0" distR="0" wp14:anchorId="6DFD723C" wp14:editId="2F145DA9">
            <wp:extent cx="1214755" cy="1057910"/>
            <wp:effectExtent l="0" t="0" r="0" b="0"/>
            <wp:docPr id="1"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14:paraId="7DF646AA" w14:textId="77777777" w:rsidR="008430BD" w:rsidRPr="001C3EC8" w:rsidRDefault="008430BD" w:rsidP="008430BD">
      <w:pPr>
        <w:spacing w:line="240" w:lineRule="auto"/>
        <w:jc w:val="left"/>
        <w:rPr>
          <w:noProof/>
          <w:color w:val="000000" w:themeColor="text1"/>
          <w:sz w:val="20"/>
          <w:szCs w:val="40"/>
          <w:lang w:eastAsia="cs-CZ"/>
        </w:rPr>
      </w:pPr>
      <w:r w:rsidRPr="001C3EC8">
        <w:rPr>
          <w:noProof/>
          <w:color w:val="000000" w:themeColor="text1"/>
          <w:sz w:val="20"/>
          <w:szCs w:val="40"/>
          <w:lang w:eastAsia="cs-CZ"/>
        </w:rPr>
        <w:br w:type="page"/>
      </w:r>
    </w:p>
    <w:p w14:paraId="6C01D959" w14:textId="77777777" w:rsidR="008430BD" w:rsidRPr="001C3EC8" w:rsidRDefault="008430BD" w:rsidP="008430BD">
      <w:pPr>
        <w:spacing w:line="240" w:lineRule="auto"/>
        <w:jc w:val="left"/>
        <w:rPr>
          <w:noProof/>
          <w:color w:val="000000" w:themeColor="text1"/>
          <w:sz w:val="20"/>
          <w:szCs w:val="40"/>
          <w:lang w:eastAsia="cs-CZ"/>
        </w:rPr>
      </w:pPr>
    </w:p>
    <w:p w14:paraId="1DFC1343" w14:textId="77777777" w:rsidR="008430BD" w:rsidRPr="001C3EC8" w:rsidRDefault="008430BD" w:rsidP="008430BD">
      <w:pPr>
        <w:spacing w:line="240" w:lineRule="auto"/>
        <w:jc w:val="left"/>
        <w:rPr>
          <w:noProof/>
          <w:color w:val="000000" w:themeColor="text1"/>
          <w:sz w:val="20"/>
          <w:szCs w:val="40"/>
          <w:lang w:eastAsia="cs-CZ"/>
        </w:rPr>
      </w:pPr>
    </w:p>
    <w:p w14:paraId="6A7BA26A" w14:textId="77777777" w:rsidR="008430BD" w:rsidRPr="001C3EC8" w:rsidRDefault="008430BD" w:rsidP="008430BD">
      <w:pPr>
        <w:spacing w:line="240" w:lineRule="auto"/>
        <w:jc w:val="left"/>
        <w:rPr>
          <w:noProof/>
          <w:color w:val="000000" w:themeColor="text1"/>
          <w:sz w:val="20"/>
          <w:szCs w:val="40"/>
          <w:lang w:eastAsia="cs-CZ"/>
        </w:rPr>
      </w:pPr>
    </w:p>
    <w:p w14:paraId="2412BBBD" w14:textId="77777777" w:rsidR="008430BD" w:rsidRPr="001C3EC8" w:rsidRDefault="008430BD" w:rsidP="008430BD">
      <w:pPr>
        <w:spacing w:line="240" w:lineRule="auto"/>
        <w:jc w:val="left"/>
        <w:rPr>
          <w:noProof/>
          <w:color w:val="000000" w:themeColor="text1"/>
          <w:sz w:val="20"/>
          <w:szCs w:val="40"/>
          <w:lang w:eastAsia="cs-CZ"/>
        </w:rPr>
      </w:pPr>
    </w:p>
    <w:p w14:paraId="7DB90578" w14:textId="77777777" w:rsidR="008430BD" w:rsidRPr="001C3EC8" w:rsidRDefault="008430BD" w:rsidP="008430BD">
      <w:pPr>
        <w:spacing w:line="240" w:lineRule="auto"/>
        <w:jc w:val="left"/>
        <w:rPr>
          <w:noProof/>
          <w:color w:val="000000" w:themeColor="text1"/>
          <w:sz w:val="20"/>
          <w:szCs w:val="40"/>
          <w:lang w:eastAsia="cs-CZ"/>
        </w:rPr>
      </w:pPr>
    </w:p>
    <w:p w14:paraId="3E13B532" w14:textId="77777777" w:rsidR="008430BD" w:rsidRPr="001C3EC8" w:rsidRDefault="008430BD" w:rsidP="008430BD">
      <w:pPr>
        <w:spacing w:line="240" w:lineRule="auto"/>
        <w:jc w:val="left"/>
        <w:rPr>
          <w:noProof/>
          <w:color w:val="000000" w:themeColor="text1"/>
          <w:sz w:val="20"/>
          <w:szCs w:val="40"/>
          <w:lang w:eastAsia="cs-CZ"/>
        </w:rPr>
      </w:pPr>
    </w:p>
    <w:p w14:paraId="151B0886" w14:textId="77777777" w:rsidR="008430BD" w:rsidRPr="001C3EC8" w:rsidRDefault="008430BD" w:rsidP="008430BD">
      <w:pPr>
        <w:spacing w:line="240" w:lineRule="auto"/>
        <w:jc w:val="left"/>
        <w:rPr>
          <w:noProof/>
          <w:color w:val="000000" w:themeColor="text1"/>
          <w:sz w:val="20"/>
          <w:szCs w:val="40"/>
          <w:lang w:eastAsia="cs-CZ"/>
        </w:rPr>
      </w:pPr>
    </w:p>
    <w:p w14:paraId="4922A97D" w14:textId="77777777" w:rsidR="008430BD" w:rsidRPr="001C3EC8" w:rsidRDefault="008430BD" w:rsidP="008430BD">
      <w:pPr>
        <w:spacing w:line="240" w:lineRule="auto"/>
        <w:jc w:val="left"/>
        <w:rPr>
          <w:noProof/>
          <w:color w:val="000000" w:themeColor="text1"/>
          <w:sz w:val="20"/>
          <w:szCs w:val="40"/>
          <w:lang w:eastAsia="cs-CZ"/>
        </w:rPr>
      </w:pPr>
    </w:p>
    <w:p w14:paraId="51CCEBB6" w14:textId="77777777" w:rsidR="008430BD" w:rsidRPr="001C3EC8" w:rsidRDefault="008430BD" w:rsidP="008430BD">
      <w:pPr>
        <w:spacing w:line="240" w:lineRule="auto"/>
        <w:jc w:val="left"/>
        <w:rPr>
          <w:noProof/>
          <w:color w:val="000000" w:themeColor="text1"/>
          <w:sz w:val="20"/>
          <w:szCs w:val="40"/>
          <w:lang w:eastAsia="cs-CZ"/>
        </w:rPr>
      </w:pPr>
    </w:p>
    <w:p w14:paraId="3D7B9403" w14:textId="77777777" w:rsidR="008430BD" w:rsidRPr="001C3EC8" w:rsidRDefault="008430BD" w:rsidP="008430BD">
      <w:pPr>
        <w:spacing w:line="240" w:lineRule="auto"/>
        <w:jc w:val="left"/>
        <w:rPr>
          <w:noProof/>
          <w:color w:val="000000" w:themeColor="text1"/>
          <w:sz w:val="20"/>
          <w:szCs w:val="40"/>
          <w:lang w:eastAsia="cs-CZ"/>
        </w:rPr>
      </w:pPr>
    </w:p>
    <w:p w14:paraId="48EA0A56" w14:textId="77777777" w:rsidR="008430BD" w:rsidRPr="001C3EC8" w:rsidRDefault="008430BD" w:rsidP="008430BD">
      <w:pPr>
        <w:spacing w:line="240" w:lineRule="auto"/>
        <w:jc w:val="left"/>
        <w:rPr>
          <w:noProof/>
          <w:color w:val="000000" w:themeColor="text1"/>
          <w:sz w:val="20"/>
          <w:szCs w:val="40"/>
          <w:lang w:eastAsia="cs-CZ"/>
        </w:rPr>
      </w:pPr>
    </w:p>
    <w:p w14:paraId="559B5783" w14:textId="77777777" w:rsidR="008430BD" w:rsidRPr="001C3EC8" w:rsidRDefault="008430BD" w:rsidP="008430BD">
      <w:pPr>
        <w:spacing w:line="240" w:lineRule="auto"/>
        <w:jc w:val="left"/>
        <w:rPr>
          <w:noProof/>
          <w:color w:val="000000" w:themeColor="text1"/>
          <w:sz w:val="20"/>
          <w:szCs w:val="40"/>
          <w:lang w:eastAsia="cs-CZ"/>
        </w:rPr>
      </w:pPr>
    </w:p>
    <w:p w14:paraId="4379275D" w14:textId="77777777" w:rsidR="008430BD" w:rsidRPr="001C3EC8" w:rsidRDefault="008430BD" w:rsidP="008430BD">
      <w:pPr>
        <w:spacing w:line="240" w:lineRule="auto"/>
        <w:jc w:val="left"/>
        <w:rPr>
          <w:noProof/>
          <w:color w:val="000000" w:themeColor="text1"/>
          <w:sz w:val="20"/>
          <w:szCs w:val="40"/>
          <w:lang w:eastAsia="cs-CZ"/>
        </w:rPr>
      </w:pPr>
    </w:p>
    <w:p w14:paraId="19E7EE68" w14:textId="77777777" w:rsidR="008430BD" w:rsidRPr="001C3EC8" w:rsidRDefault="008430BD" w:rsidP="008430BD">
      <w:pPr>
        <w:spacing w:line="240" w:lineRule="auto"/>
        <w:jc w:val="left"/>
        <w:rPr>
          <w:noProof/>
          <w:color w:val="000000" w:themeColor="text1"/>
          <w:sz w:val="20"/>
          <w:szCs w:val="40"/>
          <w:lang w:eastAsia="cs-CZ"/>
        </w:rPr>
      </w:pPr>
    </w:p>
    <w:p w14:paraId="71B1DA87" w14:textId="77777777" w:rsidR="008430BD" w:rsidRPr="001C3EC8" w:rsidRDefault="008430BD" w:rsidP="008430BD">
      <w:pPr>
        <w:spacing w:line="240" w:lineRule="auto"/>
        <w:jc w:val="left"/>
        <w:rPr>
          <w:noProof/>
          <w:color w:val="000000" w:themeColor="text1"/>
          <w:sz w:val="20"/>
          <w:szCs w:val="40"/>
          <w:lang w:eastAsia="cs-CZ"/>
        </w:rPr>
      </w:pPr>
    </w:p>
    <w:p w14:paraId="4F196993" w14:textId="77777777" w:rsidR="008430BD" w:rsidRPr="001C3EC8" w:rsidRDefault="008430BD" w:rsidP="008430BD">
      <w:pPr>
        <w:spacing w:line="240" w:lineRule="auto"/>
        <w:jc w:val="left"/>
        <w:rPr>
          <w:noProof/>
          <w:color w:val="000000" w:themeColor="text1"/>
          <w:sz w:val="20"/>
          <w:szCs w:val="40"/>
          <w:lang w:eastAsia="cs-CZ"/>
        </w:rPr>
      </w:pPr>
    </w:p>
    <w:p w14:paraId="1CF4020C" w14:textId="77777777" w:rsidR="008430BD" w:rsidRPr="001C3EC8" w:rsidRDefault="008430BD" w:rsidP="008430BD">
      <w:pPr>
        <w:spacing w:line="240" w:lineRule="auto"/>
        <w:jc w:val="left"/>
        <w:rPr>
          <w:noProof/>
          <w:color w:val="000000" w:themeColor="text1"/>
          <w:sz w:val="20"/>
          <w:szCs w:val="40"/>
          <w:lang w:eastAsia="cs-CZ"/>
        </w:rPr>
      </w:pPr>
    </w:p>
    <w:p w14:paraId="57FF5170" w14:textId="77777777" w:rsidR="008430BD" w:rsidRPr="001C3EC8" w:rsidRDefault="008430BD" w:rsidP="008430BD">
      <w:pPr>
        <w:spacing w:line="240" w:lineRule="auto"/>
        <w:jc w:val="left"/>
        <w:rPr>
          <w:noProof/>
          <w:color w:val="000000" w:themeColor="text1"/>
          <w:sz w:val="20"/>
          <w:szCs w:val="40"/>
          <w:lang w:eastAsia="cs-CZ"/>
        </w:rPr>
      </w:pPr>
    </w:p>
    <w:p w14:paraId="78E40FAC" w14:textId="77777777" w:rsidR="008430BD" w:rsidRPr="001C3EC8" w:rsidRDefault="008430BD" w:rsidP="008430BD">
      <w:pPr>
        <w:spacing w:line="240" w:lineRule="auto"/>
        <w:jc w:val="left"/>
        <w:rPr>
          <w:noProof/>
          <w:color w:val="000000" w:themeColor="text1"/>
          <w:sz w:val="20"/>
          <w:szCs w:val="40"/>
          <w:lang w:eastAsia="cs-CZ"/>
        </w:rPr>
      </w:pPr>
    </w:p>
    <w:p w14:paraId="603A3F74" w14:textId="77777777" w:rsidR="008430BD" w:rsidRPr="001C3EC8" w:rsidRDefault="008430BD" w:rsidP="008430BD">
      <w:pPr>
        <w:spacing w:line="240" w:lineRule="auto"/>
        <w:jc w:val="left"/>
        <w:rPr>
          <w:noProof/>
          <w:color w:val="000000" w:themeColor="text1"/>
          <w:sz w:val="20"/>
          <w:szCs w:val="40"/>
          <w:lang w:eastAsia="cs-CZ"/>
        </w:rPr>
      </w:pPr>
    </w:p>
    <w:p w14:paraId="35A13CA7" w14:textId="77777777" w:rsidR="008430BD" w:rsidRPr="001C3EC8" w:rsidRDefault="008430BD" w:rsidP="008430BD">
      <w:pPr>
        <w:spacing w:line="240" w:lineRule="auto"/>
        <w:jc w:val="left"/>
        <w:rPr>
          <w:noProof/>
          <w:color w:val="000000" w:themeColor="text1"/>
          <w:sz w:val="20"/>
          <w:szCs w:val="40"/>
          <w:lang w:eastAsia="cs-CZ"/>
        </w:rPr>
      </w:pPr>
    </w:p>
    <w:p w14:paraId="05A0A1A5" w14:textId="77777777" w:rsidR="008430BD" w:rsidRPr="001C3EC8" w:rsidRDefault="008430BD" w:rsidP="008430BD">
      <w:pPr>
        <w:spacing w:line="240" w:lineRule="auto"/>
        <w:jc w:val="left"/>
        <w:rPr>
          <w:noProof/>
          <w:color w:val="000000" w:themeColor="text1"/>
          <w:sz w:val="20"/>
          <w:szCs w:val="40"/>
          <w:lang w:eastAsia="cs-CZ"/>
        </w:rPr>
      </w:pPr>
    </w:p>
    <w:p w14:paraId="7E65FBA6" w14:textId="77777777" w:rsidR="008430BD" w:rsidRPr="001C3EC8" w:rsidRDefault="008430BD" w:rsidP="008430BD">
      <w:pPr>
        <w:spacing w:line="240" w:lineRule="auto"/>
        <w:jc w:val="left"/>
        <w:rPr>
          <w:noProof/>
          <w:color w:val="000000" w:themeColor="text1"/>
          <w:sz w:val="20"/>
          <w:szCs w:val="40"/>
          <w:lang w:eastAsia="cs-CZ"/>
        </w:rPr>
      </w:pPr>
    </w:p>
    <w:p w14:paraId="2973FECD" w14:textId="77777777" w:rsidR="008430BD" w:rsidRPr="001C3EC8" w:rsidRDefault="008430BD" w:rsidP="008430BD">
      <w:pPr>
        <w:spacing w:line="240" w:lineRule="auto"/>
        <w:jc w:val="left"/>
        <w:rPr>
          <w:noProof/>
          <w:color w:val="000000" w:themeColor="text1"/>
          <w:sz w:val="20"/>
          <w:szCs w:val="40"/>
          <w:lang w:eastAsia="cs-CZ"/>
        </w:rPr>
      </w:pPr>
    </w:p>
    <w:p w14:paraId="6202BCBC" w14:textId="77777777" w:rsidR="008430BD" w:rsidRPr="001C3EC8" w:rsidRDefault="008430BD" w:rsidP="008430BD">
      <w:pPr>
        <w:spacing w:line="240" w:lineRule="auto"/>
        <w:jc w:val="left"/>
        <w:rPr>
          <w:noProof/>
          <w:color w:val="000000" w:themeColor="text1"/>
          <w:sz w:val="20"/>
          <w:szCs w:val="40"/>
          <w:lang w:eastAsia="cs-CZ"/>
        </w:rPr>
      </w:pPr>
    </w:p>
    <w:p w14:paraId="1E0F7654" w14:textId="77777777" w:rsidR="008430BD" w:rsidRPr="001C3EC8" w:rsidRDefault="008430BD" w:rsidP="008430BD">
      <w:pPr>
        <w:spacing w:line="240" w:lineRule="auto"/>
        <w:jc w:val="left"/>
        <w:rPr>
          <w:noProof/>
          <w:color w:val="000000" w:themeColor="text1"/>
          <w:sz w:val="20"/>
          <w:szCs w:val="40"/>
          <w:lang w:eastAsia="cs-CZ"/>
        </w:rPr>
      </w:pPr>
    </w:p>
    <w:p w14:paraId="523B3BEC" w14:textId="77777777" w:rsidR="008430BD" w:rsidRPr="001C3EC8" w:rsidRDefault="008430BD" w:rsidP="008430BD">
      <w:pPr>
        <w:spacing w:line="240" w:lineRule="auto"/>
        <w:jc w:val="left"/>
        <w:rPr>
          <w:noProof/>
          <w:color w:val="000000" w:themeColor="text1"/>
          <w:sz w:val="20"/>
          <w:szCs w:val="40"/>
          <w:lang w:eastAsia="cs-CZ"/>
        </w:rPr>
      </w:pPr>
    </w:p>
    <w:p w14:paraId="4576AA8B" w14:textId="77777777" w:rsidR="008430BD" w:rsidRPr="001C3EC8" w:rsidRDefault="008430BD" w:rsidP="008430BD">
      <w:pPr>
        <w:spacing w:line="240" w:lineRule="auto"/>
        <w:jc w:val="left"/>
        <w:rPr>
          <w:noProof/>
          <w:color w:val="000000" w:themeColor="text1"/>
          <w:sz w:val="20"/>
          <w:szCs w:val="40"/>
          <w:lang w:eastAsia="cs-CZ"/>
        </w:rPr>
      </w:pPr>
    </w:p>
    <w:p w14:paraId="74798038" w14:textId="77777777" w:rsidR="008430BD" w:rsidRPr="001C3EC8" w:rsidRDefault="008430BD" w:rsidP="008430BD">
      <w:pPr>
        <w:spacing w:line="240" w:lineRule="auto"/>
        <w:jc w:val="left"/>
        <w:rPr>
          <w:noProof/>
          <w:color w:val="000000" w:themeColor="text1"/>
          <w:sz w:val="20"/>
          <w:szCs w:val="40"/>
          <w:lang w:eastAsia="cs-CZ"/>
        </w:rPr>
      </w:pPr>
    </w:p>
    <w:p w14:paraId="7438C97E" w14:textId="77777777" w:rsidR="008430BD" w:rsidRPr="001C3EC8" w:rsidRDefault="008430BD" w:rsidP="008430BD">
      <w:pPr>
        <w:spacing w:line="240" w:lineRule="auto"/>
        <w:jc w:val="left"/>
        <w:rPr>
          <w:noProof/>
          <w:color w:val="000000" w:themeColor="text1"/>
          <w:sz w:val="20"/>
          <w:szCs w:val="40"/>
          <w:lang w:eastAsia="cs-CZ"/>
        </w:rPr>
      </w:pPr>
    </w:p>
    <w:p w14:paraId="4196EF5E" w14:textId="77777777" w:rsidR="008430BD" w:rsidRPr="001C3EC8" w:rsidRDefault="008430BD" w:rsidP="008430BD">
      <w:pPr>
        <w:spacing w:line="240" w:lineRule="auto"/>
        <w:jc w:val="left"/>
        <w:rPr>
          <w:noProof/>
          <w:color w:val="000000" w:themeColor="text1"/>
          <w:sz w:val="20"/>
          <w:szCs w:val="40"/>
          <w:lang w:eastAsia="cs-CZ"/>
        </w:rPr>
      </w:pPr>
    </w:p>
    <w:p w14:paraId="5669C815" w14:textId="77777777" w:rsidR="008430BD" w:rsidRPr="001C3EC8" w:rsidRDefault="008430BD" w:rsidP="008430BD">
      <w:pPr>
        <w:spacing w:line="240" w:lineRule="auto"/>
        <w:jc w:val="left"/>
        <w:rPr>
          <w:noProof/>
          <w:color w:val="000000" w:themeColor="text1"/>
          <w:sz w:val="20"/>
          <w:szCs w:val="40"/>
          <w:lang w:eastAsia="cs-CZ"/>
        </w:rPr>
      </w:pPr>
    </w:p>
    <w:p w14:paraId="332DACCA" w14:textId="77777777" w:rsidR="008430BD" w:rsidRPr="001C3EC8" w:rsidRDefault="008430BD" w:rsidP="008430BD">
      <w:pPr>
        <w:spacing w:line="240" w:lineRule="auto"/>
        <w:jc w:val="left"/>
        <w:rPr>
          <w:noProof/>
          <w:color w:val="000000" w:themeColor="text1"/>
          <w:sz w:val="20"/>
          <w:szCs w:val="40"/>
          <w:lang w:eastAsia="cs-CZ"/>
        </w:rPr>
      </w:pPr>
    </w:p>
    <w:p w14:paraId="7A4A8F15" w14:textId="77777777" w:rsidR="008430BD" w:rsidRPr="001C3EC8" w:rsidRDefault="008430BD" w:rsidP="008430BD">
      <w:pPr>
        <w:spacing w:line="240" w:lineRule="auto"/>
        <w:jc w:val="left"/>
        <w:rPr>
          <w:noProof/>
          <w:color w:val="000000" w:themeColor="text1"/>
          <w:sz w:val="20"/>
          <w:szCs w:val="40"/>
          <w:lang w:eastAsia="cs-CZ"/>
        </w:rPr>
      </w:pPr>
    </w:p>
    <w:p w14:paraId="19600055" w14:textId="77777777" w:rsidR="008430BD" w:rsidRPr="001C3EC8" w:rsidRDefault="008430BD" w:rsidP="008430BD">
      <w:pPr>
        <w:spacing w:line="240" w:lineRule="auto"/>
        <w:jc w:val="left"/>
        <w:rPr>
          <w:noProof/>
          <w:color w:val="000000" w:themeColor="text1"/>
          <w:sz w:val="20"/>
          <w:szCs w:val="40"/>
          <w:lang w:eastAsia="cs-CZ"/>
        </w:rPr>
      </w:pPr>
    </w:p>
    <w:p w14:paraId="12F97F58" w14:textId="77777777" w:rsidR="008430BD" w:rsidRPr="001C3EC8" w:rsidRDefault="008430BD" w:rsidP="008430BD">
      <w:pPr>
        <w:spacing w:line="240" w:lineRule="auto"/>
        <w:jc w:val="left"/>
        <w:rPr>
          <w:noProof/>
          <w:color w:val="000000" w:themeColor="text1"/>
          <w:sz w:val="20"/>
          <w:szCs w:val="40"/>
          <w:lang w:eastAsia="cs-CZ"/>
        </w:rPr>
      </w:pPr>
    </w:p>
    <w:p w14:paraId="08970ADE" w14:textId="77777777" w:rsidR="008430BD" w:rsidRPr="001C3EC8" w:rsidRDefault="008430BD" w:rsidP="008430BD">
      <w:pPr>
        <w:spacing w:line="240" w:lineRule="auto"/>
        <w:jc w:val="left"/>
        <w:rPr>
          <w:noProof/>
          <w:color w:val="000000" w:themeColor="text1"/>
          <w:sz w:val="20"/>
          <w:szCs w:val="40"/>
          <w:lang w:eastAsia="cs-CZ"/>
        </w:rPr>
      </w:pPr>
    </w:p>
    <w:p w14:paraId="2588AD75" w14:textId="77777777" w:rsidR="008430BD" w:rsidRPr="001C3EC8" w:rsidRDefault="008430BD" w:rsidP="008430BD">
      <w:pPr>
        <w:spacing w:line="240" w:lineRule="auto"/>
        <w:jc w:val="left"/>
        <w:rPr>
          <w:noProof/>
          <w:color w:val="000000" w:themeColor="text1"/>
          <w:sz w:val="20"/>
          <w:szCs w:val="40"/>
          <w:lang w:eastAsia="cs-CZ"/>
        </w:rPr>
      </w:pPr>
    </w:p>
    <w:p w14:paraId="07732DEF" w14:textId="77777777" w:rsidR="008430BD" w:rsidRPr="001C3EC8" w:rsidRDefault="008430BD" w:rsidP="008430BD">
      <w:pPr>
        <w:spacing w:line="240" w:lineRule="auto"/>
        <w:jc w:val="left"/>
        <w:rPr>
          <w:noProof/>
          <w:color w:val="000000" w:themeColor="text1"/>
          <w:sz w:val="20"/>
          <w:szCs w:val="40"/>
          <w:lang w:eastAsia="cs-CZ"/>
        </w:rPr>
      </w:pPr>
    </w:p>
    <w:p w14:paraId="68B5E7CA" w14:textId="77777777" w:rsidR="008430BD" w:rsidRPr="001C3EC8" w:rsidRDefault="008430BD" w:rsidP="008430BD">
      <w:pPr>
        <w:spacing w:line="240" w:lineRule="auto"/>
        <w:jc w:val="left"/>
        <w:rPr>
          <w:noProof/>
          <w:color w:val="000000" w:themeColor="text1"/>
          <w:sz w:val="20"/>
          <w:szCs w:val="40"/>
          <w:lang w:eastAsia="cs-CZ"/>
        </w:rPr>
      </w:pPr>
    </w:p>
    <w:p w14:paraId="258A128A" w14:textId="77777777" w:rsidR="008430BD" w:rsidRPr="001C3EC8" w:rsidRDefault="008430BD" w:rsidP="008430BD">
      <w:pPr>
        <w:spacing w:line="240" w:lineRule="auto"/>
        <w:jc w:val="left"/>
        <w:rPr>
          <w:noProof/>
          <w:color w:val="000000" w:themeColor="text1"/>
          <w:sz w:val="20"/>
          <w:szCs w:val="40"/>
          <w:lang w:eastAsia="cs-CZ"/>
        </w:rPr>
      </w:pPr>
    </w:p>
    <w:p w14:paraId="3CF61006" w14:textId="77777777" w:rsidR="008430BD" w:rsidRPr="001C3EC8" w:rsidRDefault="008430BD" w:rsidP="008430BD">
      <w:pPr>
        <w:spacing w:line="240" w:lineRule="auto"/>
        <w:jc w:val="left"/>
        <w:rPr>
          <w:noProof/>
          <w:color w:val="000000" w:themeColor="text1"/>
          <w:sz w:val="20"/>
          <w:szCs w:val="40"/>
          <w:lang w:eastAsia="cs-CZ"/>
        </w:rPr>
      </w:pPr>
    </w:p>
    <w:p w14:paraId="46D1927E" w14:textId="77777777" w:rsidR="008430BD" w:rsidRPr="001C3EC8" w:rsidRDefault="008430BD" w:rsidP="008430BD">
      <w:pPr>
        <w:spacing w:line="240" w:lineRule="auto"/>
        <w:jc w:val="left"/>
        <w:rPr>
          <w:noProof/>
          <w:color w:val="000000" w:themeColor="text1"/>
          <w:sz w:val="20"/>
          <w:szCs w:val="40"/>
          <w:lang w:eastAsia="cs-CZ"/>
        </w:rPr>
      </w:pPr>
    </w:p>
    <w:p w14:paraId="70EDBD38" w14:textId="77777777" w:rsidR="008430BD" w:rsidRPr="001C3EC8" w:rsidRDefault="008430BD" w:rsidP="008430BD">
      <w:pPr>
        <w:spacing w:line="240" w:lineRule="auto"/>
        <w:jc w:val="left"/>
        <w:rPr>
          <w:noProof/>
          <w:color w:val="000000" w:themeColor="text1"/>
          <w:sz w:val="20"/>
          <w:szCs w:val="40"/>
          <w:lang w:eastAsia="cs-CZ"/>
        </w:rPr>
      </w:pPr>
    </w:p>
    <w:p w14:paraId="6B80F830" w14:textId="77777777" w:rsidR="008430BD" w:rsidRPr="001C3EC8" w:rsidRDefault="008430BD" w:rsidP="008430BD">
      <w:pPr>
        <w:spacing w:line="240" w:lineRule="auto"/>
        <w:jc w:val="left"/>
        <w:rPr>
          <w:noProof/>
          <w:color w:val="000000" w:themeColor="text1"/>
          <w:sz w:val="20"/>
          <w:szCs w:val="40"/>
          <w:lang w:eastAsia="cs-CZ"/>
        </w:rPr>
      </w:pPr>
    </w:p>
    <w:p w14:paraId="4DBE4A8A" w14:textId="77777777" w:rsidR="008430BD" w:rsidRPr="001C3EC8" w:rsidRDefault="008430BD" w:rsidP="008430BD">
      <w:pPr>
        <w:spacing w:line="240" w:lineRule="auto"/>
        <w:jc w:val="left"/>
        <w:rPr>
          <w:noProof/>
          <w:color w:val="000000" w:themeColor="text1"/>
          <w:sz w:val="20"/>
          <w:szCs w:val="40"/>
          <w:lang w:eastAsia="cs-CZ"/>
        </w:rPr>
      </w:pPr>
    </w:p>
    <w:p w14:paraId="183E68C7" w14:textId="77777777" w:rsidR="008430BD" w:rsidRPr="001C3EC8" w:rsidRDefault="008430BD" w:rsidP="008430BD">
      <w:pPr>
        <w:spacing w:line="240" w:lineRule="auto"/>
        <w:jc w:val="left"/>
        <w:rPr>
          <w:noProof/>
          <w:color w:val="000000" w:themeColor="text1"/>
          <w:sz w:val="20"/>
          <w:szCs w:val="40"/>
          <w:lang w:eastAsia="cs-CZ"/>
        </w:rPr>
      </w:pPr>
    </w:p>
    <w:p w14:paraId="2D464933" w14:textId="77777777" w:rsidR="008430BD" w:rsidRPr="001C3EC8" w:rsidRDefault="008430BD" w:rsidP="008430BD">
      <w:pPr>
        <w:spacing w:line="240" w:lineRule="auto"/>
        <w:jc w:val="left"/>
        <w:rPr>
          <w:noProof/>
          <w:color w:val="000000" w:themeColor="text1"/>
          <w:sz w:val="20"/>
          <w:szCs w:val="40"/>
          <w:lang w:eastAsia="cs-CZ"/>
        </w:rPr>
      </w:pPr>
    </w:p>
    <w:p w14:paraId="7C72F820" w14:textId="77777777" w:rsidR="008430BD" w:rsidRPr="001C3EC8" w:rsidRDefault="008430BD" w:rsidP="008430BD">
      <w:pPr>
        <w:spacing w:line="240" w:lineRule="auto"/>
        <w:jc w:val="left"/>
        <w:rPr>
          <w:noProof/>
          <w:color w:val="000000" w:themeColor="text1"/>
          <w:sz w:val="20"/>
          <w:szCs w:val="40"/>
          <w:lang w:eastAsia="cs-CZ"/>
        </w:rPr>
      </w:pPr>
    </w:p>
    <w:p w14:paraId="61A5D238" w14:textId="77777777" w:rsidR="008430BD" w:rsidRPr="001C3EC8" w:rsidRDefault="008430BD" w:rsidP="008430BD">
      <w:pPr>
        <w:spacing w:line="240" w:lineRule="auto"/>
        <w:jc w:val="left"/>
        <w:rPr>
          <w:noProof/>
          <w:color w:val="000000" w:themeColor="text1"/>
          <w:sz w:val="20"/>
          <w:szCs w:val="40"/>
          <w:lang w:eastAsia="cs-CZ"/>
        </w:rPr>
      </w:pPr>
    </w:p>
    <w:p w14:paraId="317E8C15" w14:textId="77777777" w:rsidR="008430BD" w:rsidRPr="001C3EC8" w:rsidRDefault="008430BD" w:rsidP="008430BD">
      <w:pPr>
        <w:spacing w:line="240" w:lineRule="auto"/>
        <w:jc w:val="left"/>
        <w:rPr>
          <w:noProof/>
          <w:color w:val="000000" w:themeColor="text1"/>
          <w:sz w:val="20"/>
          <w:szCs w:val="40"/>
          <w:lang w:eastAsia="cs-CZ"/>
        </w:rPr>
      </w:pPr>
    </w:p>
    <w:p w14:paraId="5ED0BE05" w14:textId="77777777" w:rsidR="008430BD" w:rsidRPr="001C3EC8" w:rsidRDefault="008430BD" w:rsidP="008430BD">
      <w:pPr>
        <w:spacing w:line="240" w:lineRule="auto"/>
        <w:jc w:val="left"/>
        <w:rPr>
          <w:noProof/>
          <w:color w:val="000000" w:themeColor="text1"/>
          <w:sz w:val="20"/>
          <w:szCs w:val="40"/>
          <w:lang w:eastAsia="cs-CZ"/>
        </w:rPr>
      </w:pPr>
    </w:p>
    <w:p w14:paraId="0916AF18" w14:textId="77777777" w:rsidR="008430BD" w:rsidRPr="001C3EC8" w:rsidRDefault="008430BD" w:rsidP="008430BD">
      <w:pPr>
        <w:spacing w:line="240" w:lineRule="auto"/>
        <w:jc w:val="left"/>
        <w:rPr>
          <w:noProof/>
          <w:color w:val="000000" w:themeColor="text1"/>
          <w:sz w:val="20"/>
          <w:szCs w:val="40"/>
          <w:lang w:eastAsia="cs-CZ"/>
        </w:rPr>
      </w:pPr>
    </w:p>
    <w:p w14:paraId="4647E710" w14:textId="77777777" w:rsidR="008430BD" w:rsidRPr="001C3EC8" w:rsidRDefault="008430BD" w:rsidP="008430BD">
      <w:pPr>
        <w:spacing w:line="240" w:lineRule="auto"/>
        <w:jc w:val="left"/>
        <w:rPr>
          <w:noProof/>
          <w:color w:val="000000" w:themeColor="text1"/>
          <w:sz w:val="20"/>
          <w:szCs w:val="40"/>
          <w:lang w:eastAsia="cs-CZ"/>
        </w:rPr>
      </w:pPr>
    </w:p>
    <w:p w14:paraId="4F782542" w14:textId="77777777" w:rsidR="008430BD" w:rsidRPr="001C3EC8" w:rsidRDefault="008430BD" w:rsidP="008430BD">
      <w:pPr>
        <w:spacing w:line="240" w:lineRule="auto"/>
        <w:jc w:val="left"/>
        <w:rPr>
          <w:noProof/>
          <w:color w:val="000000" w:themeColor="text1"/>
          <w:sz w:val="20"/>
          <w:szCs w:val="40"/>
          <w:lang w:eastAsia="cs-CZ"/>
        </w:rPr>
      </w:pPr>
    </w:p>
    <w:p w14:paraId="4F3A23A7" w14:textId="77777777" w:rsidR="008430BD" w:rsidRPr="001C3EC8" w:rsidRDefault="008430BD" w:rsidP="008430BD">
      <w:pPr>
        <w:spacing w:line="240" w:lineRule="auto"/>
        <w:jc w:val="left"/>
        <w:rPr>
          <w:noProof/>
          <w:color w:val="000000" w:themeColor="text1"/>
          <w:sz w:val="20"/>
          <w:szCs w:val="40"/>
          <w:lang w:eastAsia="cs-CZ"/>
        </w:rPr>
      </w:pPr>
    </w:p>
    <w:p w14:paraId="04768CDF" w14:textId="77777777" w:rsidR="008430BD" w:rsidRPr="001C3EC8" w:rsidRDefault="008430BD" w:rsidP="008430BD">
      <w:pPr>
        <w:spacing w:line="240" w:lineRule="auto"/>
        <w:jc w:val="left"/>
        <w:rPr>
          <w:color w:val="000000" w:themeColor="text1"/>
          <w:sz w:val="20"/>
        </w:rPr>
      </w:pPr>
      <w:r w:rsidRPr="001C3EC8">
        <w:rPr>
          <w:color w:val="000000" w:themeColor="text1"/>
          <w:sz w:val="20"/>
        </w:rPr>
        <w:t>© Ministerstvo spravedlnosti, 2021</w:t>
      </w:r>
    </w:p>
    <w:p w14:paraId="5306FA43" w14:textId="77777777" w:rsidR="008430BD" w:rsidRPr="001C3EC8" w:rsidRDefault="008430BD" w:rsidP="008430BD">
      <w:pPr>
        <w:spacing w:line="240" w:lineRule="auto"/>
        <w:jc w:val="left"/>
        <w:rPr>
          <w:color w:val="000000" w:themeColor="text1"/>
          <w:sz w:val="20"/>
        </w:rPr>
      </w:pPr>
      <w:r w:rsidRPr="001C3EC8">
        <w:rPr>
          <w:color w:val="000000" w:themeColor="text1"/>
          <w:sz w:val="20"/>
        </w:rPr>
        <w:t>Vyšehradská 16</w:t>
      </w:r>
    </w:p>
    <w:p w14:paraId="4DBBBF78" w14:textId="77777777" w:rsidR="008430BD" w:rsidRPr="001C3EC8" w:rsidRDefault="008430BD" w:rsidP="008430BD">
      <w:pPr>
        <w:spacing w:line="240" w:lineRule="auto"/>
        <w:jc w:val="left"/>
        <w:rPr>
          <w:color w:val="000000" w:themeColor="text1"/>
          <w:sz w:val="20"/>
        </w:rPr>
      </w:pPr>
      <w:r w:rsidRPr="001C3EC8">
        <w:rPr>
          <w:color w:val="000000" w:themeColor="text1"/>
          <w:sz w:val="20"/>
        </w:rPr>
        <w:t>128 </w:t>
      </w:r>
      <w:proofErr w:type="gramStart"/>
      <w:r w:rsidRPr="001C3EC8">
        <w:rPr>
          <w:color w:val="000000" w:themeColor="text1"/>
          <w:sz w:val="20"/>
        </w:rPr>
        <w:t>10  Praha</w:t>
      </w:r>
      <w:proofErr w:type="gramEnd"/>
      <w:r w:rsidRPr="001C3EC8">
        <w:rPr>
          <w:color w:val="000000" w:themeColor="text1"/>
          <w:sz w:val="20"/>
        </w:rPr>
        <w:t> 2</w:t>
      </w:r>
    </w:p>
    <w:p w14:paraId="36AD4459" w14:textId="77777777" w:rsidR="008430BD" w:rsidRPr="001C3EC8" w:rsidRDefault="008430BD" w:rsidP="008430BD">
      <w:pPr>
        <w:spacing w:line="240" w:lineRule="auto"/>
        <w:jc w:val="left"/>
        <w:rPr>
          <w:color w:val="000000" w:themeColor="text1"/>
          <w:sz w:val="20"/>
        </w:rPr>
      </w:pPr>
      <w:r w:rsidRPr="001C3EC8">
        <w:rPr>
          <w:color w:val="000000" w:themeColor="text1"/>
          <w:sz w:val="20"/>
        </w:rPr>
        <w:br w:type="page"/>
      </w:r>
    </w:p>
    <w:p w14:paraId="5AEDA315" w14:textId="3C8C9D31" w:rsidR="0025530E" w:rsidRPr="0025530E" w:rsidRDefault="0025530E" w:rsidP="0025530E">
      <w:pPr>
        <w:spacing w:after="160" w:line="259" w:lineRule="auto"/>
        <w:jc w:val="left"/>
        <w:rPr>
          <w:noProof/>
          <w:color w:val="000000" w:themeColor="text1"/>
        </w:rPr>
      </w:pPr>
      <w:r>
        <w:rPr>
          <w:rFonts w:eastAsia="Times New Roman"/>
          <w:noProof/>
          <w:lang w:eastAsia="cs-CZ"/>
        </w:rPr>
        <w:lastRenderedPageBreak/>
        <w:drawing>
          <wp:anchor distT="0" distB="0" distL="114300" distR="114300" simplePos="0" relativeHeight="251677696" behindDoc="0" locked="0" layoutInCell="1" allowOverlap="1" wp14:anchorId="79773012" wp14:editId="056A2029">
            <wp:simplePos x="0" y="0"/>
            <wp:positionH relativeFrom="margin">
              <wp:posOffset>0</wp:posOffset>
            </wp:positionH>
            <wp:positionV relativeFrom="paragraph">
              <wp:posOffset>0</wp:posOffset>
            </wp:positionV>
            <wp:extent cx="2340000" cy="3510000"/>
            <wp:effectExtent l="0" t="0" r="3175" b="0"/>
            <wp:wrapSquare wrapText="bothSides"/>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 4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340000" cy="351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530E">
        <w:rPr>
          <w:noProof/>
          <w:color w:val="000000" w:themeColor="text1"/>
        </w:rPr>
        <w:t>Vážené dámy, vážení pánové,</w:t>
      </w:r>
    </w:p>
    <w:p w14:paraId="4497558A" w14:textId="31E57C62" w:rsidR="0025530E" w:rsidRPr="0025530E" w:rsidRDefault="0025530E" w:rsidP="00EC44A7">
      <w:pPr>
        <w:spacing w:after="160" w:line="259" w:lineRule="auto"/>
        <w:rPr>
          <w:noProof/>
          <w:color w:val="000000" w:themeColor="text1"/>
        </w:rPr>
      </w:pPr>
      <w:r w:rsidRPr="0025530E">
        <w:rPr>
          <w:noProof/>
          <w:color w:val="000000" w:themeColor="text1"/>
        </w:rPr>
        <w:t>již tradičně vám předkládáme statistickou výroční zprávu justice, která je cenným nástrojem pro hodnocení trendů a</w:t>
      </w:r>
      <w:r w:rsidR="00A74487">
        <w:rPr>
          <w:noProof/>
          <w:color w:val="000000" w:themeColor="text1"/>
        </w:rPr>
        <w:t> </w:t>
      </w:r>
      <w:r w:rsidRPr="0025530E">
        <w:rPr>
          <w:noProof/>
          <w:color w:val="000000" w:themeColor="text1"/>
        </w:rPr>
        <w:t>aspektů českého soudnictví.</w:t>
      </w:r>
    </w:p>
    <w:p w14:paraId="3D2E15BC" w14:textId="5C5AB988" w:rsidR="00B07E76" w:rsidRDefault="0025530E" w:rsidP="00EC44A7">
      <w:pPr>
        <w:spacing w:after="160" w:line="259" w:lineRule="auto"/>
        <w:rPr>
          <w:noProof/>
          <w:color w:val="000000" w:themeColor="text1"/>
        </w:rPr>
      </w:pPr>
      <w:r w:rsidRPr="0025530E">
        <w:rPr>
          <w:noProof/>
          <w:color w:val="000000" w:themeColor="text1"/>
        </w:rPr>
        <w:t>Struktura statistické výroční zprávy za rok 2020 se příliš nezměnila a</w:t>
      </w:r>
      <w:r w:rsidR="00EC44A7">
        <w:rPr>
          <w:noProof/>
          <w:color w:val="000000" w:themeColor="text1"/>
        </w:rPr>
        <w:t> </w:t>
      </w:r>
      <w:r w:rsidRPr="0025530E">
        <w:rPr>
          <w:noProof/>
          <w:color w:val="000000" w:themeColor="text1"/>
        </w:rPr>
        <w:t>je v</w:t>
      </w:r>
      <w:r w:rsidR="00EC44A7">
        <w:rPr>
          <w:noProof/>
          <w:color w:val="000000" w:themeColor="text1"/>
        </w:rPr>
        <w:t> </w:t>
      </w:r>
      <w:r w:rsidRPr="0025530E">
        <w:rPr>
          <w:noProof/>
          <w:color w:val="000000" w:themeColor="text1"/>
        </w:rPr>
        <w:t>mnoha ohledech velmi podobná zprávám předchozím. Přidali jsme ale část</w:t>
      </w:r>
      <w:r w:rsidR="00EC44A7">
        <w:rPr>
          <w:noProof/>
          <w:color w:val="000000" w:themeColor="text1"/>
        </w:rPr>
        <w:t> </w:t>
      </w:r>
      <w:r w:rsidRPr="0025530E">
        <w:rPr>
          <w:noProof/>
          <w:color w:val="000000" w:themeColor="text1"/>
        </w:rPr>
        <w:t xml:space="preserve">7, která shrnuje předchozí kapitoly </w:t>
      </w:r>
      <w:r w:rsidR="000C3B1E" w:rsidRPr="0025530E">
        <w:rPr>
          <w:noProof/>
          <w:color w:val="000000" w:themeColor="text1"/>
        </w:rPr>
        <w:t>a</w:t>
      </w:r>
      <w:r w:rsidR="000C3B1E">
        <w:rPr>
          <w:noProof/>
          <w:color w:val="000000" w:themeColor="text1"/>
        </w:rPr>
        <w:t> </w:t>
      </w:r>
      <w:r w:rsidRPr="0025530E">
        <w:rPr>
          <w:noProof/>
          <w:color w:val="000000" w:themeColor="text1"/>
        </w:rPr>
        <w:t>Českou republiku srovnává s</w:t>
      </w:r>
      <w:r w:rsidR="00A74487">
        <w:rPr>
          <w:noProof/>
          <w:color w:val="000000" w:themeColor="text1"/>
        </w:rPr>
        <w:t> </w:t>
      </w:r>
      <w:r w:rsidRPr="0025530E">
        <w:rPr>
          <w:noProof/>
          <w:color w:val="000000" w:themeColor="text1"/>
        </w:rPr>
        <w:t>ostatními členskými státy EU a</w:t>
      </w:r>
      <w:r w:rsidR="00EC44A7">
        <w:rPr>
          <w:noProof/>
          <w:color w:val="000000" w:themeColor="text1"/>
        </w:rPr>
        <w:t> </w:t>
      </w:r>
      <w:r w:rsidRPr="0025530E">
        <w:rPr>
          <w:noProof/>
          <w:color w:val="000000" w:themeColor="text1"/>
        </w:rPr>
        <w:t>dále jsme doplnili statistické údaje vztahující se k</w:t>
      </w:r>
      <w:r w:rsidR="00EC44A7">
        <w:rPr>
          <w:noProof/>
          <w:color w:val="000000" w:themeColor="text1"/>
        </w:rPr>
        <w:t> </w:t>
      </w:r>
      <w:r w:rsidRPr="0025530E">
        <w:rPr>
          <w:noProof/>
          <w:color w:val="000000" w:themeColor="text1"/>
        </w:rPr>
        <w:t>celé soustavě.</w:t>
      </w:r>
    </w:p>
    <w:p w14:paraId="6FA6AE02" w14:textId="303216CE" w:rsidR="0025530E" w:rsidRDefault="0025530E" w:rsidP="00EC44A7">
      <w:pPr>
        <w:spacing w:after="160" w:line="259" w:lineRule="auto"/>
        <w:rPr>
          <w:noProof/>
          <w:color w:val="000000" w:themeColor="text1"/>
        </w:rPr>
      </w:pPr>
      <w:r>
        <w:rPr>
          <w:noProof/>
          <w:lang w:eastAsia="cs-CZ"/>
        </w:rPr>
        <mc:AlternateContent>
          <mc:Choice Requires="wps">
            <w:drawing>
              <wp:anchor distT="0" distB="0" distL="114300" distR="114300" simplePos="0" relativeHeight="251679744" behindDoc="0" locked="0" layoutInCell="1" allowOverlap="1" wp14:anchorId="1128D1A3" wp14:editId="703379F9">
                <wp:simplePos x="0" y="0"/>
                <wp:positionH relativeFrom="margin">
                  <wp:align>left</wp:align>
                </wp:positionH>
                <wp:positionV relativeFrom="paragraph">
                  <wp:posOffset>1435100</wp:posOffset>
                </wp:positionV>
                <wp:extent cx="2347200" cy="144000"/>
                <wp:effectExtent l="0" t="0" r="0" b="8890"/>
                <wp:wrapSquare wrapText="bothSides"/>
                <wp:docPr id="32" name="Textové pole 32"/>
                <wp:cNvGraphicFramePr/>
                <a:graphic xmlns:a="http://schemas.openxmlformats.org/drawingml/2006/main">
                  <a:graphicData uri="http://schemas.microsoft.com/office/word/2010/wordprocessingShape">
                    <wps:wsp>
                      <wps:cNvSpPr txBox="1"/>
                      <wps:spPr>
                        <a:xfrm>
                          <a:off x="0" y="0"/>
                          <a:ext cx="2347200" cy="144000"/>
                        </a:xfrm>
                        <a:prstGeom prst="rect">
                          <a:avLst/>
                        </a:prstGeom>
                        <a:solidFill>
                          <a:prstClr val="white"/>
                        </a:solidFill>
                        <a:ln>
                          <a:noFill/>
                        </a:ln>
                      </wps:spPr>
                      <wps:txbx>
                        <w:txbxContent>
                          <w:p w14:paraId="4B2B8B8D" w14:textId="1767ADE4" w:rsidR="00B4248B" w:rsidRPr="00EC44A7" w:rsidRDefault="00B4248B" w:rsidP="00EC44A7">
                            <w:pPr>
                              <w:pStyle w:val="Titulek"/>
                              <w:jc w:val="left"/>
                              <w:rPr>
                                <w:rFonts w:eastAsia="Times New Roman"/>
                                <w:b w:val="0"/>
                                <w:noProof/>
                                <w:color w:val="auto"/>
                              </w:rPr>
                            </w:pPr>
                            <w:r w:rsidRPr="00AC6883">
                              <w:rPr>
                                <w:b w:val="0"/>
                                <w:color w:val="auto"/>
                              </w:rPr>
                              <w:t xml:space="preserve">Foto: </w:t>
                            </w:r>
                            <w:r w:rsidRPr="00E129AC">
                              <w:rPr>
                                <w:b w:val="0"/>
                                <w:color w:val="auto"/>
                              </w:rPr>
                              <w:t>Nikol Obrová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D1A3" id="Textové pole 32" o:spid="_x0000_s1027" type="#_x0000_t202" style="position:absolute;left:0;text-align:left;margin-left:0;margin-top:113pt;width:184.8pt;height:11.3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" stroked="f">
                <v:textbox inset="0,0,0,0">
                  <w:txbxContent>
                    <w:p w14:paraId="4B2B8B8D" w14:textId="1767ADE4" w:rsidR="00B4248B" w:rsidRPr="00EC44A7" w:rsidRDefault="00B4248B" w:rsidP="00EC44A7">
                      <w:pPr>
                        <w:pStyle w:val="Titulek"/>
                        <w:jc w:val="left"/>
                        <w:rPr>
                          <w:rFonts w:eastAsia="Times New Roman"/>
                          <w:b w:val="0"/>
                          <w:noProof/>
                          <w:color w:val="auto"/>
                        </w:rPr>
                      </w:pPr>
                      <w:r w:rsidRPr="00AC6883">
                        <w:rPr>
                          <w:b w:val="0"/>
                          <w:color w:val="auto"/>
                        </w:rPr>
                        <w:t xml:space="preserve">Foto: </w:t>
                      </w:r>
                      <w:r w:rsidRPr="00E129AC">
                        <w:rPr>
                          <w:b w:val="0"/>
                          <w:color w:val="auto"/>
                        </w:rPr>
                        <w:t>Nikol Obrová</w:t>
                      </w:r>
                    </w:p>
                  </w:txbxContent>
                </v:textbox>
                <w10:wrap type="square" anchorx="margin"/>
              </v:shape>
            </w:pict>
          </mc:Fallback>
        </mc:AlternateContent>
      </w:r>
      <w:r w:rsidRPr="0025530E">
        <w:rPr>
          <w:noProof/>
          <w:color w:val="000000" w:themeColor="text1"/>
        </w:rPr>
        <w:t>I</w:t>
      </w:r>
      <w:r w:rsidR="00EC44A7">
        <w:rPr>
          <w:noProof/>
          <w:color w:val="000000" w:themeColor="text1"/>
        </w:rPr>
        <w:t> </w:t>
      </w:r>
      <w:r w:rsidRPr="0025530E">
        <w:rPr>
          <w:noProof/>
          <w:color w:val="000000" w:themeColor="text1"/>
        </w:rPr>
        <w:t>soudnictví bylo v</w:t>
      </w:r>
      <w:r w:rsidR="00EC44A7">
        <w:rPr>
          <w:noProof/>
          <w:color w:val="000000" w:themeColor="text1"/>
        </w:rPr>
        <w:t> </w:t>
      </w:r>
      <w:r w:rsidRPr="0025530E">
        <w:rPr>
          <w:noProof/>
          <w:color w:val="000000" w:themeColor="text1"/>
        </w:rPr>
        <w:t>loňském roce ovlivněno epidemiologickou situací a</w:t>
      </w:r>
      <w:r w:rsidR="00A74487">
        <w:rPr>
          <w:noProof/>
          <w:color w:val="000000" w:themeColor="text1"/>
        </w:rPr>
        <w:t> </w:t>
      </w:r>
      <w:r w:rsidRPr="0025530E">
        <w:rPr>
          <w:noProof/>
          <w:color w:val="000000" w:themeColor="text1"/>
        </w:rPr>
        <w:t>zavedením vládních restrikcí v</w:t>
      </w:r>
      <w:r w:rsidR="00EC44A7">
        <w:rPr>
          <w:noProof/>
          <w:color w:val="000000" w:themeColor="text1"/>
        </w:rPr>
        <w:t> </w:t>
      </w:r>
      <w:r w:rsidRPr="0025530E">
        <w:rPr>
          <w:noProof/>
          <w:color w:val="000000" w:themeColor="text1"/>
        </w:rPr>
        <w:t>souvislosti s</w:t>
      </w:r>
      <w:r w:rsidR="00A74487">
        <w:rPr>
          <w:noProof/>
          <w:color w:val="000000" w:themeColor="text1"/>
        </w:rPr>
        <w:t> </w:t>
      </w:r>
      <w:r w:rsidRPr="0025530E">
        <w:rPr>
          <w:noProof/>
          <w:color w:val="000000" w:themeColor="text1"/>
        </w:rPr>
        <w:t xml:space="preserve">pandemií onemocnění </w:t>
      </w:r>
      <w:r w:rsidR="000C3B1E">
        <w:rPr>
          <w:noProof/>
          <w:color w:val="000000" w:themeColor="text1"/>
        </w:rPr>
        <w:t>COVID</w:t>
      </w:r>
      <w:r w:rsidR="000C3B1E">
        <w:rPr>
          <w:noProof/>
          <w:color w:val="000000" w:themeColor="text1"/>
        </w:rPr>
        <w:noBreakHyphen/>
        <w:t>19</w:t>
      </w:r>
      <w:r w:rsidRPr="0025530E">
        <w:rPr>
          <w:noProof/>
          <w:color w:val="000000" w:themeColor="text1"/>
        </w:rPr>
        <w:t>, přesto nedošlo k</w:t>
      </w:r>
      <w:r w:rsidR="00A74487">
        <w:rPr>
          <w:noProof/>
          <w:color w:val="000000" w:themeColor="text1"/>
        </w:rPr>
        <w:t> </w:t>
      </w:r>
      <w:r w:rsidRPr="0025530E">
        <w:rPr>
          <w:noProof/>
          <w:color w:val="000000" w:themeColor="text1"/>
        </w:rPr>
        <w:t>situaci, aby některá z</w:t>
      </w:r>
      <w:r w:rsidR="00A74487">
        <w:rPr>
          <w:noProof/>
          <w:color w:val="000000" w:themeColor="text1"/>
        </w:rPr>
        <w:t> </w:t>
      </w:r>
      <w:r w:rsidRPr="0025530E">
        <w:rPr>
          <w:noProof/>
          <w:color w:val="000000" w:themeColor="text1"/>
        </w:rPr>
        <w:t>justičních složek přerušila či výrazně omezila svou činnost. Pandemie měla především dopad na nápad a</w:t>
      </w:r>
      <w:r w:rsidR="00EC44A7">
        <w:rPr>
          <w:noProof/>
          <w:color w:val="000000" w:themeColor="text1"/>
        </w:rPr>
        <w:t> </w:t>
      </w:r>
      <w:r w:rsidRPr="0025530E">
        <w:rPr>
          <w:noProof/>
          <w:color w:val="000000" w:themeColor="text1"/>
        </w:rPr>
        <w:t>v</w:t>
      </w:r>
      <w:r w:rsidR="00EC44A7">
        <w:rPr>
          <w:noProof/>
          <w:color w:val="000000" w:themeColor="text1"/>
        </w:rPr>
        <w:t> </w:t>
      </w:r>
      <w:r w:rsidRPr="0025530E">
        <w:rPr>
          <w:noProof/>
          <w:color w:val="000000" w:themeColor="text1"/>
        </w:rPr>
        <w:t>mnoho agendách došlo k</w:t>
      </w:r>
      <w:r w:rsidR="00A74487">
        <w:rPr>
          <w:noProof/>
          <w:color w:val="000000" w:themeColor="text1"/>
        </w:rPr>
        <w:t> </w:t>
      </w:r>
      <w:r w:rsidRPr="0025530E">
        <w:rPr>
          <w:noProof/>
          <w:color w:val="000000" w:themeColor="text1"/>
        </w:rPr>
        <w:t>poklesu. Citelný je pokles v</w:t>
      </w:r>
      <w:r w:rsidR="00A74487">
        <w:rPr>
          <w:noProof/>
          <w:color w:val="000000" w:themeColor="text1"/>
        </w:rPr>
        <w:t> </w:t>
      </w:r>
      <w:r w:rsidRPr="0025530E">
        <w:rPr>
          <w:noProof/>
          <w:color w:val="000000" w:themeColor="text1"/>
        </w:rPr>
        <w:t>civilní a</w:t>
      </w:r>
      <w:r w:rsidR="00A74487">
        <w:rPr>
          <w:noProof/>
          <w:color w:val="000000" w:themeColor="text1"/>
        </w:rPr>
        <w:t> </w:t>
      </w:r>
      <w:r w:rsidRPr="0025530E">
        <w:rPr>
          <w:noProof/>
          <w:color w:val="000000" w:themeColor="text1"/>
        </w:rPr>
        <w:t>opatrovnické agendě a</w:t>
      </w:r>
      <w:r w:rsidR="00EC44A7">
        <w:rPr>
          <w:noProof/>
          <w:color w:val="000000" w:themeColor="text1"/>
        </w:rPr>
        <w:t> </w:t>
      </w:r>
      <w:r w:rsidRPr="0025530E">
        <w:rPr>
          <w:noProof/>
          <w:color w:val="000000" w:themeColor="text1"/>
        </w:rPr>
        <w:t>v</w:t>
      </w:r>
      <w:r w:rsidR="00EC44A7">
        <w:rPr>
          <w:noProof/>
          <w:color w:val="000000" w:themeColor="text1"/>
        </w:rPr>
        <w:t> </w:t>
      </w:r>
      <w:r w:rsidRPr="0025530E">
        <w:rPr>
          <w:noProof/>
          <w:color w:val="000000" w:themeColor="text1"/>
        </w:rPr>
        <w:t>trestní agendě došlo k</w:t>
      </w:r>
      <w:r w:rsidR="00EC44A7">
        <w:rPr>
          <w:noProof/>
          <w:color w:val="000000" w:themeColor="text1"/>
        </w:rPr>
        <w:t> </w:t>
      </w:r>
      <w:r w:rsidRPr="0025530E">
        <w:rPr>
          <w:noProof/>
          <w:color w:val="000000" w:themeColor="text1"/>
        </w:rPr>
        <w:t>poklesu méně závažných trestných činů. Naopak došlo k</w:t>
      </w:r>
      <w:r w:rsidR="00EC44A7">
        <w:rPr>
          <w:noProof/>
          <w:color w:val="000000" w:themeColor="text1"/>
        </w:rPr>
        <w:t> </w:t>
      </w:r>
      <w:r w:rsidRPr="0025530E">
        <w:rPr>
          <w:noProof/>
          <w:color w:val="000000" w:themeColor="text1"/>
        </w:rPr>
        <w:t>nárůstu v</w:t>
      </w:r>
      <w:r w:rsidR="00EC44A7">
        <w:rPr>
          <w:noProof/>
          <w:color w:val="000000" w:themeColor="text1"/>
        </w:rPr>
        <w:t> </w:t>
      </w:r>
      <w:r w:rsidRPr="0025530E">
        <w:rPr>
          <w:noProof/>
          <w:color w:val="000000" w:themeColor="text1"/>
        </w:rPr>
        <w:t>agendě elektronického platebního rozkazu, kdy soudy v</w:t>
      </w:r>
      <w:r w:rsidR="00EC44A7">
        <w:rPr>
          <w:noProof/>
          <w:color w:val="000000" w:themeColor="text1"/>
        </w:rPr>
        <w:t> </w:t>
      </w:r>
      <w:r w:rsidRPr="0025530E">
        <w:rPr>
          <w:noProof/>
          <w:color w:val="000000" w:themeColor="text1"/>
        </w:rPr>
        <w:t>roce 2020 obdržely o</w:t>
      </w:r>
      <w:r w:rsidR="00EC44A7">
        <w:rPr>
          <w:noProof/>
          <w:color w:val="000000" w:themeColor="text1"/>
        </w:rPr>
        <w:t> </w:t>
      </w:r>
      <w:r w:rsidRPr="0025530E">
        <w:rPr>
          <w:noProof/>
          <w:color w:val="000000" w:themeColor="text1"/>
        </w:rPr>
        <w:t>16</w:t>
      </w:r>
      <w:r w:rsidR="00EC44A7">
        <w:rPr>
          <w:noProof/>
          <w:color w:val="000000" w:themeColor="text1"/>
        </w:rPr>
        <w:t> </w:t>
      </w:r>
      <w:r w:rsidRPr="0025530E">
        <w:rPr>
          <w:noProof/>
          <w:color w:val="000000" w:themeColor="text1"/>
        </w:rPr>
        <w:t>% věcí více, než v</w:t>
      </w:r>
      <w:r w:rsidR="00EC44A7">
        <w:rPr>
          <w:noProof/>
          <w:color w:val="000000" w:themeColor="text1"/>
        </w:rPr>
        <w:t> </w:t>
      </w:r>
      <w:r w:rsidRPr="0025530E">
        <w:rPr>
          <w:noProof/>
          <w:color w:val="000000" w:themeColor="text1"/>
        </w:rPr>
        <w:t>roce 2019.</w:t>
      </w:r>
    </w:p>
    <w:p w14:paraId="6E186A74" w14:textId="1BA060B6" w:rsidR="0025530E" w:rsidRPr="0025530E" w:rsidRDefault="0025530E" w:rsidP="00EC44A7">
      <w:pPr>
        <w:spacing w:after="160" w:line="259" w:lineRule="auto"/>
        <w:rPr>
          <w:noProof/>
          <w:color w:val="000000" w:themeColor="text1"/>
        </w:rPr>
      </w:pPr>
      <w:r w:rsidRPr="0025530E">
        <w:rPr>
          <w:noProof/>
          <w:color w:val="000000" w:themeColor="text1"/>
        </w:rPr>
        <w:t xml:space="preserve">Česká republika zaujímá </w:t>
      </w:r>
      <w:r w:rsidR="000C3B1E" w:rsidRPr="0025530E">
        <w:rPr>
          <w:noProof/>
          <w:color w:val="000000" w:themeColor="text1"/>
        </w:rPr>
        <w:t>v</w:t>
      </w:r>
      <w:r w:rsidR="000C3B1E">
        <w:rPr>
          <w:noProof/>
          <w:color w:val="000000" w:themeColor="text1"/>
        </w:rPr>
        <w:t> </w:t>
      </w:r>
      <w:r w:rsidRPr="0025530E">
        <w:rPr>
          <w:noProof/>
          <w:color w:val="000000" w:themeColor="text1"/>
        </w:rPr>
        <w:t>rámci 27</w:t>
      </w:r>
      <w:r w:rsidR="00EC44A7">
        <w:rPr>
          <w:noProof/>
          <w:color w:val="000000" w:themeColor="text1"/>
        </w:rPr>
        <w:t> </w:t>
      </w:r>
      <w:r w:rsidRPr="0025530E">
        <w:rPr>
          <w:noProof/>
          <w:color w:val="000000" w:themeColor="text1"/>
        </w:rPr>
        <w:t xml:space="preserve">členských států Evropské unie šestou příčku při srovnání délky ve sporných civilních </w:t>
      </w:r>
      <w:r w:rsidR="000C3B1E" w:rsidRPr="0025530E">
        <w:rPr>
          <w:noProof/>
          <w:color w:val="000000" w:themeColor="text1"/>
        </w:rPr>
        <w:t>a</w:t>
      </w:r>
      <w:r w:rsidR="000C3B1E">
        <w:rPr>
          <w:noProof/>
          <w:color w:val="000000" w:themeColor="text1"/>
        </w:rPr>
        <w:t> </w:t>
      </w:r>
      <w:r w:rsidRPr="0025530E">
        <w:rPr>
          <w:noProof/>
          <w:color w:val="000000" w:themeColor="text1"/>
        </w:rPr>
        <w:t xml:space="preserve">obchodních věcech </w:t>
      </w:r>
      <w:r w:rsidR="000C3B1E" w:rsidRPr="0025530E">
        <w:rPr>
          <w:noProof/>
          <w:color w:val="000000" w:themeColor="text1"/>
        </w:rPr>
        <w:t>u</w:t>
      </w:r>
      <w:r w:rsidR="000C3B1E">
        <w:rPr>
          <w:noProof/>
          <w:color w:val="000000" w:themeColor="text1"/>
        </w:rPr>
        <w:t> </w:t>
      </w:r>
      <w:r w:rsidRPr="0025530E">
        <w:rPr>
          <w:noProof/>
          <w:color w:val="000000" w:themeColor="text1"/>
        </w:rPr>
        <w:t xml:space="preserve">soudů prvních stupňů. Oproti roku 2019 jsme se umístili </w:t>
      </w:r>
      <w:r w:rsidR="000C3B1E" w:rsidRPr="0025530E">
        <w:rPr>
          <w:noProof/>
          <w:color w:val="000000" w:themeColor="text1"/>
        </w:rPr>
        <w:t>o</w:t>
      </w:r>
      <w:r w:rsidR="000C3B1E">
        <w:rPr>
          <w:noProof/>
          <w:color w:val="000000" w:themeColor="text1"/>
        </w:rPr>
        <w:t> </w:t>
      </w:r>
      <w:r w:rsidRPr="0025530E">
        <w:rPr>
          <w:noProof/>
          <w:color w:val="000000" w:themeColor="text1"/>
        </w:rPr>
        <w:t>jednu příčku lépe, délka řízení na všech stupních soudní soustavy ve sporných civilních a</w:t>
      </w:r>
      <w:r w:rsidR="00EC44A7">
        <w:rPr>
          <w:noProof/>
          <w:color w:val="000000" w:themeColor="text1"/>
        </w:rPr>
        <w:t> </w:t>
      </w:r>
      <w:r w:rsidRPr="0025530E">
        <w:rPr>
          <w:noProof/>
          <w:color w:val="000000" w:themeColor="text1"/>
        </w:rPr>
        <w:t>obchodních věcech zůstala nižší než 200</w:t>
      </w:r>
      <w:r w:rsidR="00EC44A7">
        <w:rPr>
          <w:noProof/>
          <w:color w:val="000000" w:themeColor="text1"/>
        </w:rPr>
        <w:t> </w:t>
      </w:r>
      <w:r w:rsidRPr="0025530E">
        <w:rPr>
          <w:noProof/>
          <w:color w:val="000000" w:themeColor="text1"/>
        </w:rPr>
        <w:t>dnů, což představuje pátý nejlepší výsledek v</w:t>
      </w:r>
      <w:r w:rsidR="00EC44A7">
        <w:rPr>
          <w:noProof/>
          <w:color w:val="000000" w:themeColor="text1"/>
        </w:rPr>
        <w:t> </w:t>
      </w:r>
      <w:r w:rsidRPr="0025530E">
        <w:rPr>
          <w:noProof/>
          <w:color w:val="000000" w:themeColor="text1"/>
        </w:rPr>
        <w:t>Evropské unii, tzn. zlepšení o</w:t>
      </w:r>
      <w:r w:rsidR="00EC44A7">
        <w:rPr>
          <w:noProof/>
          <w:color w:val="000000" w:themeColor="text1"/>
        </w:rPr>
        <w:t> </w:t>
      </w:r>
      <w:r w:rsidRPr="0025530E">
        <w:rPr>
          <w:noProof/>
          <w:color w:val="000000" w:themeColor="text1"/>
        </w:rPr>
        <w:t>dvě místa.</w:t>
      </w:r>
    </w:p>
    <w:p w14:paraId="02A19260" w14:textId="5FE05975" w:rsidR="0025530E" w:rsidRPr="0025530E" w:rsidRDefault="0025530E" w:rsidP="00EC44A7">
      <w:pPr>
        <w:spacing w:after="160" w:line="259" w:lineRule="auto"/>
        <w:rPr>
          <w:noProof/>
          <w:color w:val="000000" w:themeColor="text1"/>
        </w:rPr>
      </w:pPr>
      <w:r w:rsidRPr="0025530E">
        <w:rPr>
          <w:noProof/>
          <w:color w:val="000000" w:themeColor="text1"/>
        </w:rPr>
        <w:t xml:space="preserve">Víme, že dílčí nedostatky má české soudnictví </w:t>
      </w:r>
      <w:r w:rsidR="000C3B1E" w:rsidRPr="0025530E">
        <w:rPr>
          <w:noProof/>
          <w:color w:val="000000" w:themeColor="text1"/>
        </w:rPr>
        <w:t>v</w:t>
      </w:r>
      <w:r w:rsidR="000C3B1E">
        <w:rPr>
          <w:noProof/>
          <w:color w:val="000000" w:themeColor="text1"/>
        </w:rPr>
        <w:t> </w:t>
      </w:r>
      <w:r w:rsidRPr="0025530E">
        <w:rPr>
          <w:noProof/>
          <w:color w:val="000000" w:themeColor="text1"/>
        </w:rPr>
        <w:t xml:space="preserve">oblasti online dostupnosti informací, např. pokud jde </w:t>
      </w:r>
      <w:r w:rsidR="000C3B1E" w:rsidRPr="0025530E">
        <w:rPr>
          <w:noProof/>
          <w:color w:val="000000" w:themeColor="text1"/>
        </w:rPr>
        <w:t>o</w:t>
      </w:r>
      <w:r w:rsidR="000C3B1E">
        <w:rPr>
          <w:noProof/>
          <w:color w:val="000000" w:themeColor="text1"/>
        </w:rPr>
        <w:t> </w:t>
      </w:r>
      <w:r w:rsidRPr="0025530E">
        <w:rPr>
          <w:noProof/>
          <w:color w:val="000000" w:themeColor="text1"/>
        </w:rPr>
        <w:t>jejich přístupnost osobám se zrakovým či sluchovým postižením. Prostor pro zlepšení lze spatřovat i</w:t>
      </w:r>
      <w:r w:rsidR="00EC44A7">
        <w:rPr>
          <w:noProof/>
          <w:color w:val="000000" w:themeColor="text1"/>
        </w:rPr>
        <w:t> </w:t>
      </w:r>
      <w:r w:rsidRPr="0025530E">
        <w:rPr>
          <w:noProof/>
          <w:color w:val="000000" w:themeColor="text1"/>
        </w:rPr>
        <w:t>v</w:t>
      </w:r>
      <w:r w:rsidR="00EC44A7">
        <w:rPr>
          <w:noProof/>
          <w:color w:val="000000" w:themeColor="text1"/>
        </w:rPr>
        <w:t> </w:t>
      </w:r>
      <w:r w:rsidRPr="0025530E">
        <w:rPr>
          <w:noProof/>
          <w:color w:val="000000" w:themeColor="text1"/>
        </w:rPr>
        <w:t>oblasti bezplatného zpřístupňování soudních rozhodnutí s</w:t>
      </w:r>
      <w:r w:rsidR="00EC44A7">
        <w:rPr>
          <w:noProof/>
          <w:color w:val="000000" w:themeColor="text1"/>
        </w:rPr>
        <w:t> </w:t>
      </w:r>
      <w:r w:rsidRPr="0025530E">
        <w:rPr>
          <w:noProof/>
          <w:color w:val="000000" w:themeColor="text1"/>
        </w:rPr>
        <w:t>příslušnými metadaty z</w:t>
      </w:r>
      <w:r w:rsidR="00EC44A7">
        <w:rPr>
          <w:noProof/>
          <w:color w:val="000000" w:themeColor="text1"/>
        </w:rPr>
        <w:t> </w:t>
      </w:r>
      <w:r w:rsidRPr="0025530E">
        <w:rPr>
          <w:noProof/>
          <w:color w:val="000000" w:themeColor="text1"/>
        </w:rPr>
        <w:t>elektronických databází.</w:t>
      </w:r>
    </w:p>
    <w:p w14:paraId="4162084B" w14:textId="2E118A2F" w:rsidR="0025530E" w:rsidRPr="0025530E" w:rsidRDefault="0025530E" w:rsidP="00EC44A7">
      <w:pPr>
        <w:spacing w:after="160" w:line="259" w:lineRule="auto"/>
        <w:rPr>
          <w:noProof/>
          <w:color w:val="000000" w:themeColor="text1"/>
        </w:rPr>
      </w:pPr>
      <w:r w:rsidRPr="0025530E">
        <w:rPr>
          <w:noProof/>
          <w:color w:val="000000" w:themeColor="text1"/>
        </w:rPr>
        <w:t>Dlouhodobě však dochází ke zlepšení vnímání nezávislosti českých soudů a</w:t>
      </w:r>
      <w:r w:rsidR="00EC44A7">
        <w:rPr>
          <w:noProof/>
          <w:color w:val="000000" w:themeColor="text1"/>
        </w:rPr>
        <w:t> </w:t>
      </w:r>
      <w:r w:rsidRPr="0025530E">
        <w:rPr>
          <w:noProof/>
          <w:color w:val="000000" w:themeColor="text1"/>
        </w:rPr>
        <w:t>soudců, a</w:t>
      </w:r>
      <w:r w:rsidR="00EC44A7">
        <w:rPr>
          <w:noProof/>
          <w:color w:val="000000" w:themeColor="text1"/>
        </w:rPr>
        <w:t> </w:t>
      </w:r>
      <w:r w:rsidRPr="0025530E">
        <w:rPr>
          <w:noProof/>
          <w:color w:val="000000" w:themeColor="text1"/>
        </w:rPr>
        <w:t>to jak ze strany obecné veřejnosti, tak ze strany obchodních společností. Více než 55</w:t>
      </w:r>
      <w:r w:rsidR="00EC44A7">
        <w:rPr>
          <w:noProof/>
          <w:color w:val="000000" w:themeColor="text1"/>
        </w:rPr>
        <w:t> </w:t>
      </w:r>
      <w:r w:rsidRPr="0025530E">
        <w:rPr>
          <w:noProof/>
          <w:color w:val="000000" w:themeColor="text1"/>
        </w:rPr>
        <w:t xml:space="preserve">% respondentů vnímá nezávislost českých soudů </w:t>
      </w:r>
      <w:r w:rsidR="000C3B1E" w:rsidRPr="0025530E">
        <w:rPr>
          <w:noProof/>
          <w:color w:val="000000" w:themeColor="text1"/>
        </w:rPr>
        <w:t>a</w:t>
      </w:r>
      <w:r w:rsidR="000C3B1E">
        <w:rPr>
          <w:noProof/>
          <w:color w:val="000000" w:themeColor="text1"/>
        </w:rPr>
        <w:t> </w:t>
      </w:r>
      <w:r w:rsidRPr="0025530E">
        <w:rPr>
          <w:noProof/>
          <w:color w:val="000000" w:themeColor="text1"/>
        </w:rPr>
        <w:t>soudců pozitivně. To je zhruba o</w:t>
      </w:r>
      <w:r w:rsidR="00EC44A7">
        <w:rPr>
          <w:noProof/>
          <w:color w:val="000000" w:themeColor="text1"/>
        </w:rPr>
        <w:t> </w:t>
      </w:r>
      <w:r w:rsidRPr="0025530E">
        <w:rPr>
          <w:noProof/>
          <w:color w:val="000000" w:themeColor="text1"/>
        </w:rPr>
        <w:t>5</w:t>
      </w:r>
      <w:r w:rsidR="00EC44A7">
        <w:rPr>
          <w:noProof/>
          <w:color w:val="000000" w:themeColor="text1"/>
        </w:rPr>
        <w:t> </w:t>
      </w:r>
      <w:r w:rsidRPr="0025530E">
        <w:rPr>
          <w:noProof/>
          <w:color w:val="000000" w:themeColor="text1"/>
        </w:rPr>
        <w:t>% více než v</w:t>
      </w:r>
      <w:r w:rsidR="00EC44A7">
        <w:rPr>
          <w:noProof/>
          <w:color w:val="000000" w:themeColor="text1"/>
        </w:rPr>
        <w:t> </w:t>
      </w:r>
      <w:r w:rsidRPr="0025530E">
        <w:rPr>
          <w:noProof/>
          <w:color w:val="000000" w:themeColor="text1"/>
        </w:rPr>
        <w:t>předchozím roce.</w:t>
      </w:r>
    </w:p>
    <w:p w14:paraId="3174032D" w14:textId="1D5DC4F7" w:rsidR="0025530E" w:rsidRPr="0025530E" w:rsidRDefault="0025530E" w:rsidP="00EC44A7">
      <w:pPr>
        <w:spacing w:after="160" w:line="259" w:lineRule="auto"/>
        <w:rPr>
          <w:noProof/>
          <w:color w:val="000000" w:themeColor="text1"/>
        </w:rPr>
      </w:pPr>
      <w:r w:rsidRPr="0025530E">
        <w:rPr>
          <w:noProof/>
          <w:color w:val="000000" w:themeColor="text1"/>
        </w:rPr>
        <w:t>Jsem ráda, že naše společné úsilí přináší pozitivní výsledky. Naším cílem je i</w:t>
      </w:r>
      <w:r w:rsidR="00EC44A7">
        <w:rPr>
          <w:noProof/>
          <w:color w:val="000000" w:themeColor="text1"/>
        </w:rPr>
        <w:t> </w:t>
      </w:r>
      <w:r w:rsidRPr="0025530E">
        <w:rPr>
          <w:noProof/>
          <w:color w:val="000000" w:themeColor="text1"/>
        </w:rPr>
        <w:t xml:space="preserve">do budoucna rozvíjet podmínky pro udržení </w:t>
      </w:r>
      <w:r w:rsidR="000C3B1E" w:rsidRPr="0025530E">
        <w:rPr>
          <w:noProof/>
          <w:color w:val="000000" w:themeColor="text1"/>
        </w:rPr>
        <w:t>a</w:t>
      </w:r>
      <w:r w:rsidR="000C3B1E">
        <w:rPr>
          <w:noProof/>
          <w:color w:val="000000" w:themeColor="text1"/>
        </w:rPr>
        <w:t> </w:t>
      </w:r>
      <w:r w:rsidRPr="0025530E">
        <w:rPr>
          <w:noProof/>
          <w:color w:val="000000" w:themeColor="text1"/>
        </w:rPr>
        <w:t>posilování kvality, efektivity a</w:t>
      </w:r>
      <w:r w:rsidR="00EC44A7">
        <w:rPr>
          <w:noProof/>
          <w:color w:val="000000" w:themeColor="text1"/>
        </w:rPr>
        <w:t> </w:t>
      </w:r>
      <w:r w:rsidRPr="0025530E">
        <w:rPr>
          <w:noProof/>
          <w:color w:val="000000" w:themeColor="text1"/>
        </w:rPr>
        <w:t>nezávislosti soudního systému.</w:t>
      </w:r>
    </w:p>
    <w:p w14:paraId="4AAA93C3" w14:textId="77777777" w:rsidR="0025530E" w:rsidRPr="0025530E" w:rsidRDefault="0025530E" w:rsidP="0025530E">
      <w:pPr>
        <w:spacing w:after="160" w:line="259" w:lineRule="auto"/>
        <w:jc w:val="left"/>
        <w:rPr>
          <w:noProof/>
          <w:color w:val="000000" w:themeColor="text1"/>
        </w:rPr>
      </w:pPr>
    </w:p>
    <w:p w14:paraId="0CF38572" w14:textId="77777777" w:rsidR="0025530E" w:rsidRPr="0025530E" w:rsidRDefault="0025530E" w:rsidP="0025530E">
      <w:pPr>
        <w:spacing w:after="160" w:line="259" w:lineRule="auto"/>
        <w:jc w:val="left"/>
        <w:rPr>
          <w:noProof/>
          <w:color w:val="000000" w:themeColor="text1"/>
        </w:rPr>
      </w:pPr>
    </w:p>
    <w:p w14:paraId="16797C6E" w14:textId="77777777" w:rsidR="0025530E" w:rsidRPr="00EC44A7" w:rsidRDefault="0025530E" w:rsidP="00EC44A7">
      <w:pPr>
        <w:spacing w:line="240" w:lineRule="auto"/>
        <w:jc w:val="right"/>
        <w:rPr>
          <w:i/>
          <w:iCs/>
          <w:noProof/>
          <w:color w:val="000000" w:themeColor="text1"/>
        </w:rPr>
      </w:pPr>
      <w:r w:rsidRPr="00EC44A7">
        <w:rPr>
          <w:i/>
          <w:iCs/>
          <w:noProof/>
          <w:color w:val="000000" w:themeColor="text1"/>
        </w:rPr>
        <w:t>Mgr. Marie Benešová</w:t>
      </w:r>
    </w:p>
    <w:p w14:paraId="42F75B22" w14:textId="77777777" w:rsidR="00EC44A7" w:rsidRDefault="0025530E" w:rsidP="00EC44A7">
      <w:pPr>
        <w:spacing w:line="240" w:lineRule="auto"/>
        <w:jc w:val="right"/>
        <w:rPr>
          <w:noProof/>
          <w:color w:val="000000" w:themeColor="text1"/>
        </w:rPr>
      </w:pPr>
      <w:r w:rsidRPr="0025530E">
        <w:rPr>
          <w:noProof/>
          <w:color w:val="000000" w:themeColor="text1"/>
        </w:rPr>
        <w:t>ministryně spravedlnosti</w:t>
      </w:r>
    </w:p>
    <w:p w14:paraId="2752BBFE" w14:textId="266FF069" w:rsidR="00F47516" w:rsidRPr="001C3EC8" w:rsidRDefault="00F47516" w:rsidP="00EC44A7">
      <w:pPr>
        <w:spacing w:after="160" w:line="259" w:lineRule="auto"/>
        <w:rPr>
          <w:noProof/>
          <w:color w:val="000000" w:themeColor="text1"/>
        </w:rPr>
      </w:pPr>
      <w:r w:rsidRPr="001C3EC8">
        <w:rPr>
          <w:noProof/>
          <w:color w:val="000000" w:themeColor="text1"/>
        </w:rPr>
        <w:br w:type="page"/>
      </w:r>
    </w:p>
    <w:p w14:paraId="6A0C93A4" w14:textId="77777777" w:rsidR="008430BD" w:rsidRPr="001C3EC8" w:rsidRDefault="008430BD" w:rsidP="008430BD">
      <w:pPr>
        <w:pStyle w:val="Nadpis1"/>
        <w:ind w:left="432" w:hanging="432"/>
        <w:rPr>
          <w:color w:val="000000" w:themeColor="text1"/>
        </w:rPr>
      </w:pPr>
      <w:bookmarkStart w:id="0" w:name="_Toc508873365"/>
      <w:bookmarkStart w:id="1" w:name="_Toc75952047"/>
      <w:r w:rsidRPr="001C3EC8">
        <w:rPr>
          <w:color w:val="000000" w:themeColor="text1"/>
        </w:rPr>
        <w:lastRenderedPageBreak/>
        <w:t>Obsah</w:t>
      </w:r>
      <w:bookmarkEnd w:id="0"/>
      <w:bookmarkEnd w:id="1"/>
    </w:p>
    <w:p w14:paraId="23B8DA0F" w14:textId="77777777" w:rsidR="00EC44A7" w:rsidRDefault="00EC44A7">
      <w:pPr>
        <w:pStyle w:val="Obsah1"/>
        <w:rPr>
          <w:color w:val="000000" w:themeColor="text1"/>
        </w:rPr>
      </w:pPr>
    </w:p>
    <w:p w14:paraId="79E7028D" w14:textId="21C0F2C3" w:rsidR="00021FDD" w:rsidRDefault="008430BD">
      <w:pPr>
        <w:pStyle w:val="Obsah1"/>
        <w:rPr>
          <w:rFonts w:asciiTheme="minorHAnsi" w:eastAsiaTheme="minorEastAsia" w:hAnsiTheme="minorHAnsi" w:cstheme="minorBidi"/>
          <w:noProof/>
          <w:sz w:val="22"/>
          <w:lang w:eastAsia="cs-CZ"/>
        </w:rPr>
      </w:pPr>
      <w:r w:rsidRPr="001C3EC8">
        <w:rPr>
          <w:color w:val="000000" w:themeColor="text1"/>
        </w:rPr>
        <w:fldChar w:fldCharType="begin"/>
      </w:r>
      <w:r w:rsidRPr="001C3EC8">
        <w:rPr>
          <w:color w:val="000000" w:themeColor="text1"/>
        </w:rPr>
        <w:instrText xml:space="preserve"> TOC \o "1-3" \h \z \u </w:instrText>
      </w:r>
      <w:r w:rsidRPr="001C3EC8">
        <w:rPr>
          <w:color w:val="000000" w:themeColor="text1"/>
        </w:rPr>
        <w:fldChar w:fldCharType="separate"/>
      </w:r>
      <w:hyperlink w:anchor="_Toc75952047" w:history="1">
        <w:r w:rsidR="00021FDD" w:rsidRPr="00896B32">
          <w:rPr>
            <w:rStyle w:val="Hypertextovodkaz"/>
            <w:noProof/>
          </w:rPr>
          <w:t>Obsah</w:t>
        </w:r>
        <w:r w:rsidR="00021FDD">
          <w:rPr>
            <w:noProof/>
            <w:webHidden/>
          </w:rPr>
          <w:tab/>
        </w:r>
        <w:r w:rsidR="00021FDD">
          <w:rPr>
            <w:noProof/>
            <w:webHidden/>
          </w:rPr>
          <w:fldChar w:fldCharType="begin"/>
        </w:r>
        <w:r w:rsidR="00021FDD">
          <w:rPr>
            <w:noProof/>
            <w:webHidden/>
          </w:rPr>
          <w:instrText xml:space="preserve"> PAGEREF _Toc75952047 \h </w:instrText>
        </w:r>
        <w:r w:rsidR="00021FDD">
          <w:rPr>
            <w:noProof/>
            <w:webHidden/>
          </w:rPr>
        </w:r>
        <w:r w:rsidR="00021FDD">
          <w:rPr>
            <w:noProof/>
            <w:webHidden/>
          </w:rPr>
          <w:fldChar w:fldCharType="separate"/>
        </w:r>
        <w:r w:rsidR="00021FDD">
          <w:rPr>
            <w:noProof/>
            <w:webHidden/>
          </w:rPr>
          <w:t>4</w:t>
        </w:r>
        <w:r w:rsidR="00021FDD">
          <w:rPr>
            <w:noProof/>
            <w:webHidden/>
          </w:rPr>
          <w:fldChar w:fldCharType="end"/>
        </w:r>
      </w:hyperlink>
    </w:p>
    <w:p w14:paraId="2E59C88B" w14:textId="10E26654" w:rsidR="00021FDD" w:rsidRDefault="00CB73FC">
      <w:pPr>
        <w:pStyle w:val="Obsah1"/>
        <w:tabs>
          <w:tab w:val="left" w:pos="482"/>
        </w:tabs>
        <w:rPr>
          <w:rFonts w:asciiTheme="minorHAnsi" w:eastAsiaTheme="minorEastAsia" w:hAnsiTheme="minorHAnsi" w:cstheme="minorBidi"/>
          <w:noProof/>
          <w:sz w:val="22"/>
          <w:lang w:eastAsia="cs-CZ"/>
        </w:rPr>
      </w:pPr>
      <w:hyperlink w:anchor="_Toc75952048" w:history="1">
        <w:r w:rsidR="00021FDD" w:rsidRPr="00896B32">
          <w:rPr>
            <w:rStyle w:val="Hypertextovodkaz"/>
            <w:noProof/>
          </w:rPr>
          <w:t>1</w:t>
        </w:r>
        <w:r w:rsidR="00021FDD">
          <w:rPr>
            <w:rFonts w:asciiTheme="minorHAnsi" w:eastAsiaTheme="minorEastAsia" w:hAnsiTheme="minorHAnsi" w:cstheme="minorBidi"/>
            <w:noProof/>
            <w:sz w:val="22"/>
            <w:lang w:eastAsia="cs-CZ"/>
          </w:rPr>
          <w:tab/>
        </w:r>
        <w:r w:rsidR="00021FDD" w:rsidRPr="00896B32">
          <w:rPr>
            <w:rStyle w:val="Hypertextovodkaz"/>
            <w:noProof/>
          </w:rPr>
          <w:t>Úvod</w:t>
        </w:r>
        <w:r w:rsidR="00021FDD">
          <w:rPr>
            <w:noProof/>
            <w:webHidden/>
          </w:rPr>
          <w:tab/>
        </w:r>
        <w:r w:rsidR="00021FDD">
          <w:rPr>
            <w:noProof/>
            <w:webHidden/>
          </w:rPr>
          <w:fldChar w:fldCharType="begin"/>
        </w:r>
        <w:r w:rsidR="00021FDD">
          <w:rPr>
            <w:noProof/>
            <w:webHidden/>
          </w:rPr>
          <w:instrText xml:space="preserve"> PAGEREF _Toc75952048 \h </w:instrText>
        </w:r>
        <w:r w:rsidR="00021FDD">
          <w:rPr>
            <w:noProof/>
            <w:webHidden/>
          </w:rPr>
        </w:r>
        <w:r w:rsidR="00021FDD">
          <w:rPr>
            <w:noProof/>
            <w:webHidden/>
          </w:rPr>
          <w:fldChar w:fldCharType="separate"/>
        </w:r>
        <w:r w:rsidR="00021FDD">
          <w:rPr>
            <w:noProof/>
            <w:webHidden/>
          </w:rPr>
          <w:t>8</w:t>
        </w:r>
        <w:r w:rsidR="00021FDD">
          <w:rPr>
            <w:noProof/>
            <w:webHidden/>
          </w:rPr>
          <w:fldChar w:fldCharType="end"/>
        </w:r>
      </w:hyperlink>
    </w:p>
    <w:p w14:paraId="456F56EF" w14:textId="3F54F6D5" w:rsidR="00021FDD" w:rsidRDefault="00CB73FC">
      <w:pPr>
        <w:pStyle w:val="Obsah2"/>
        <w:rPr>
          <w:rFonts w:asciiTheme="minorHAnsi" w:eastAsiaTheme="minorEastAsia" w:hAnsiTheme="minorHAnsi" w:cstheme="minorBidi"/>
          <w:sz w:val="22"/>
          <w:lang w:eastAsia="cs-CZ"/>
        </w:rPr>
      </w:pPr>
      <w:hyperlink w:anchor="_Toc75952049" w:history="1">
        <w:r w:rsidR="00021FDD" w:rsidRPr="00896B32">
          <w:rPr>
            <w:rStyle w:val="Hypertextovodkaz"/>
          </w:rPr>
          <w:t>1.1</w:t>
        </w:r>
        <w:r w:rsidR="00021FDD">
          <w:rPr>
            <w:rFonts w:asciiTheme="minorHAnsi" w:eastAsiaTheme="minorEastAsia" w:hAnsiTheme="minorHAnsi" w:cstheme="minorBidi"/>
            <w:sz w:val="22"/>
            <w:lang w:eastAsia="cs-CZ"/>
          </w:rPr>
          <w:tab/>
        </w:r>
        <w:r w:rsidR="00021FDD" w:rsidRPr="00896B32">
          <w:rPr>
            <w:rStyle w:val="Hypertextovodkaz"/>
          </w:rPr>
          <w:t>Základní východiska, předpoklady, omezení a upřesňující poznámky</w:t>
        </w:r>
        <w:r w:rsidR="00021FDD">
          <w:rPr>
            <w:webHidden/>
          </w:rPr>
          <w:tab/>
        </w:r>
        <w:r w:rsidR="00021FDD">
          <w:rPr>
            <w:webHidden/>
          </w:rPr>
          <w:fldChar w:fldCharType="begin"/>
        </w:r>
        <w:r w:rsidR="00021FDD">
          <w:rPr>
            <w:webHidden/>
          </w:rPr>
          <w:instrText xml:space="preserve"> PAGEREF _Toc75952049 \h </w:instrText>
        </w:r>
        <w:r w:rsidR="00021FDD">
          <w:rPr>
            <w:webHidden/>
          </w:rPr>
        </w:r>
        <w:r w:rsidR="00021FDD">
          <w:rPr>
            <w:webHidden/>
          </w:rPr>
          <w:fldChar w:fldCharType="separate"/>
        </w:r>
        <w:r w:rsidR="00021FDD">
          <w:rPr>
            <w:webHidden/>
          </w:rPr>
          <w:t>8</w:t>
        </w:r>
        <w:r w:rsidR="00021FDD">
          <w:rPr>
            <w:webHidden/>
          </w:rPr>
          <w:fldChar w:fldCharType="end"/>
        </w:r>
      </w:hyperlink>
    </w:p>
    <w:p w14:paraId="5B66F1E1" w14:textId="44D3B096" w:rsidR="00021FDD" w:rsidRDefault="00CB73FC">
      <w:pPr>
        <w:pStyle w:val="Obsah2"/>
        <w:rPr>
          <w:rFonts w:asciiTheme="minorHAnsi" w:eastAsiaTheme="minorEastAsia" w:hAnsiTheme="minorHAnsi" w:cstheme="minorBidi"/>
          <w:sz w:val="22"/>
          <w:lang w:eastAsia="cs-CZ"/>
        </w:rPr>
      </w:pPr>
      <w:hyperlink w:anchor="_Toc75952050" w:history="1">
        <w:r w:rsidR="00021FDD" w:rsidRPr="00896B32">
          <w:rPr>
            <w:rStyle w:val="Hypertextovodkaz"/>
          </w:rPr>
          <w:t>1.2</w:t>
        </w:r>
        <w:r w:rsidR="00021FDD">
          <w:rPr>
            <w:rFonts w:asciiTheme="minorHAnsi" w:eastAsiaTheme="minorEastAsia" w:hAnsiTheme="minorHAnsi" w:cstheme="minorBidi"/>
            <w:sz w:val="22"/>
            <w:lang w:eastAsia="cs-CZ"/>
          </w:rPr>
          <w:tab/>
        </w:r>
        <w:r w:rsidR="00021FDD" w:rsidRPr="00896B32">
          <w:rPr>
            <w:rStyle w:val="Hypertextovodkaz"/>
          </w:rPr>
          <w:t>Změny oproti verzi z minulého roku</w:t>
        </w:r>
        <w:r w:rsidR="00021FDD">
          <w:rPr>
            <w:webHidden/>
          </w:rPr>
          <w:tab/>
        </w:r>
        <w:r w:rsidR="00021FDD">
          <w:rPr>
            <w:webHidden/>
          </w:rPr>
          <w:fldChar w:fldCharType="begin"/>
        </w:r>
        <w:r w:rsidR="00021FDD">
          <w:rPr>
            <w:webHidden/>
          </w:rPr>
          <w:instrText xml:space="preserve"> PAGEREF _Toc75952050 \h </w:instrText>
        </w:r>
        <w:r w:rsidR="00021FDD">
          <w:rPr>
            <w:webHidden/>
          </w:rPr>
        </w:r>
        <w:r w:rsidR="00021FDD">
          <w:rPr>
            <w:webHidden/>
          </w:rPr>
          <w:fldChar w:fldCharType="separate"/>
        </w:r>
        <w:r w:rsidR="00021FDD">
          <w:rPr>
            <w:webHidden/>
          </w:rPr>
          <w:t>11</w:t>
        </w:r>
        <w:r w:rsidR="00021FDD">
          <w:rPr>
            <w:webHidden/>
          </w:rPr>
          <w:fldChar w:fldCharType="end"/>
        </w:r>
      </w:hyperlink>
    </w:p>
    <w:p w14:paraId="175A2386" w14:textId="3A6A5294" w:rsidR="00021FDD" w:rsidRDefault="00CB73FC">
      <w:pPr>
        <w:pStyle w:val="Obsah1"/>
        <w:tabs>
          <w:tab w:val="left" w:pos="482"/>
        </w:tabs>
        <w:rPr>
          <w:rFonts w:asciiTheme="minorHAnsi" w:eastAsiaTheme="minorEastAsia" w:hAnsiTheme="minorHAnsi" w:cstheme="minorBidi"/>
          <w:noProof/>
          <w:sz w:val="22"/>
          <w:lang w:eastAsia="cs-CZ"/>
        </w:rPr>
      </w:pPr>
      <w:hyperlink w:anchor="_Toc75952051" w:history="1">
        <w:r w:rsidR="00021FDD" w:rsidRPr="00896B32">
          <w:rPr>
            <w:rStyle w:val="Hypertextovodkaz"/>
            <w:noProof/>
          </w:rPr>
          <w:t>2</w:t>
        </w:r>
        <w:r w:rsidR="00021FDD">
          <w:rPr>
            <w:rFonts w:asciiTheme="minorHAnsi" w:eastAsiaTheme="minorEastAsia" w:hAnsiTheme="minorHAnsi" w:cstheme="minorBidi"/>
            <w:noProof/>
            <w:sz w:val="22"/>
            <w:lang w:eastAsia="cs-CZ"/>
          </w:rPr>
          <w:tab/>
        </w:r>
        <w:r w:rsidR="00021FDD" w:rsidRPr="00896B32">
          <w:rPr>
            <w:rStyle w:val="Hypertextovodkaz"/>
            <w:noProof/>
          </w:rPr>
          <w:t>Okresní soudy</w:t>
        </w:r>
        <w:r w:rsidR="00021FDD">
          <w:rPr>
            <w:noProof/>
            <w:webHidden/>
          </w:rPr>
          <w:tab/>
        </w:r>
        <w:r w:rsidR="00021FDD">
          <w:rPr>
            <w:noProof/>
            <w:webHidden/>
          </w:rPr>
          <w:fldChar w:fldCharType="begin"/>
        </w:r>
        <w:r w:rsidR="00021FDD">
          <w:rPr>
            <w:noProof/>
            <w:webHidden/>
          </w:rPr>
          <w:instrText xml:space="preserve"> PAGEREF _Toc75952051 \h </w:instrText>
        </w:r>
        <w:r w:rsidR="00021FDD">
          <w:rPr>
            <w:noProof/>
            <w:webHidden/>
          </w:rPr>
        </w:r>
        <w:r w:rsidR="00021FDD">
          <w:rPr>
            <w:noProof/>
            <w:webHidden/>
          </w:rPr>
          <w:fldChar w:fldCharType="separate"/>
        </w:r>
        <w:r w:rsidR="00021FDD">
          <w:rPr>
            <w:noProof/>
            <w:webHidden/>
          </w:rPr>
          <w:t>12</w:t>
        </w:r>
        <w:r w:rsidR="00021FDD">
          <w:rPr>
            <w:noProof/>
            <w:webHidden/>
          </w:rPr>
          <w:fldChar w:fldCharType="end"/>
        </w:r>
      </w:hyperlink>
    </w:p>
    <w:p w14:paraId="78119CE6" w14:textId="66EC2C36" w:rsidR="00021FDD" w:rsidRDefault="00CB73FC">
      <w:pPr>
        <w:pStyle w:val="Obsah2"/>
        <w:rPr>
          <w:rFonts w:asciiTheme="minorHAnsi" w:eastAsiaTheme="minorEastAsia" w:hAnsiTheme="minorHAnsi" w:cstheme="minorBidi"/>
          <w:sz w:val="22"/>
          <w:lang w:eastAsia="cs-CZ"/>
        </w:rPr>
      </w:pPr>
      <w:hyperlink w:anchor="_Toc75952052" w:history="1">
        <w:r w:rsidR="00021FDD" w:rsidRPr="00896B32">
          <w:rPr>
            <w:rStyle w:val="Hypertextovodkaz"/>
          </w:rPr>
          <w:t>2.1</w:t>
        </w:r>
        <w:r w:rsidR="00021FDD">
          <w:rPr>
            <w:rFonts w:asciiTheme="minorHAnsi" w:eastAsiaTheme="minorEastAsia" w:hAnsiTheme="minorHAnsi" w:cstheme="minorBidi"/>
            <w:sz w:val="22"/>
            <w:lang w:eastAsia="cs-CZ"/>
          </w:rPr>
          <w:tab/>
        </w:r>
        <w:r w:rsidR="00021FDD" w:rsidRPr="00896B32">
          <w:rPr>
            <w:rStyle w:val="Hypertextovodkaz"/>
          </w:rPr>
          <w:t>Personál</w:t>
        </w:r>
        <w:r w:rsidR="00021FDD">
          <w:rPr>
            <w:webHidden/>
          </w:rPr>
          <w:tab/>
        </w:r>
        <w:r w:rsidR="00021FDD">
          <w:rPr>
            <w:webHidden/>
          </w:rPr>
          <w:fldChar w:fldCharType="begin"/>
        </w:r>
        <w:r w:rsidR="00021FDD">
          <w:rPr>
            <w:webHidden/>
          </w:rPr>
          <w:instrText xml:space="preserve"> PAGEREF _Toc75952052 \h </w:instrText>
        </w:r>
        <w:r w:rsidR="00021FDD">
          <w:rPr>
            <w:webHidden/>
          </w:rPr>
        </w:r>
        <w:r w:rsidR="00021FDD">
          <w:rPr>
            <w:webHidden/>
          </w:rPr>
          <w:fldChar w:fldCharType="separate"/>
        </w:r>
        <w:r w:rsidR="00021FDD">
          <w:rPr>
            <w:webHidden/>
          </w:rPr>
          <w:t>12</w:t>
        </w:r>
        <w:r w:rsidR="00021FDD">
          <w:rPr>
            <w:webHidden/>
          </w:rPr>
          <w:fldChar w:fldCharType="end"/>
        </w:r>
      </w:hyperlink>
    </w:p>
    <w:p w14:paraId="56BD1FDC" w14:textId="17081654" w:rsidR="00021FDD" w:rsidRDefault="00CB73FC">
      <w:pPr>
        <w:pStyle w:val="Obsah3"/>
        <w:rPr>
          <w:rFonts w:asciiTheme="minorHAnsi" w:eastAsiaTheme="minorEastAsia" w:hAnsiTheme="minorHAnsi" w:cstheme="minorBidi"/>
          <w:noProof/>
          <w:sz w:val="22"/>
          <w:lang w:eastAsia="cs-CZ"/>
        </w:rPr>
      </w:pPr>
      <w:hyperlink w:anchor="_Toc75952053" w:history="1">
        <w:r w:rsidR="00021FDD" w:rsidRPr="00896B32">
          <w:rPr>
            <w:rStyle w:val="Hypertextovodkaz"/>
            <w:noProof/>
          </w:rPr>
          <w:t>2.1.1</w:t>
        </w:r>
        <w:r w:rsidR="00021FDD">
          <w:rPr>
            <w:rFonts w:asciiTheme="minorHAnsi" w:eastAsiaTheme="minorEastAsia" w:hAnsiTheme="minorHAnsi" w:cstheme="minorBidi"/>
            <w:noProof/>
            <w:sz w:val="22"/>
            <w:lang w:eastAsia="cs-CZ"/>
          </w:rPr>
          <w:tab/>
        </w:r>
        <w:r w:rsidR="00021FDD" w:rsidRPr="00896B32">
          <w:rPr>
            <w:rStyle w:val="Hypertextovodkaz"/>
            <w:noProof/>
          </w:rPr>
          <w:t>Soudci</w:t>
        </w:r>
        <w:r w:rsidR="00021FDD">
          <w:rPr>
            <w:noProof/>
            <w:webHidden/>
          </w:rPr>
          <w:tab/>
        </w:r>
        <w:r w:rsidR="00021FDD">
          <w:rPr>
            <w:noProof/>
            <w:webHidden/>
          </w:rPr>
          <w:fldChar w:fldCharType="begin"/>
        </w:r>
        <w:r w:rsidR="00021FDD">
          <w:rPr>
            <w:noProof/>
            <w:webHidden/>
          </w:rPr>
          <w:instrText xml:space="preserve"> PAGEREF _Toc75952053 \h </w:instrText>
        </w:r>
        <w:r w:rsidR="00021FDD">
          <w:rPr>
            <w:noProof/>
            <w:webHidden/>
          </w:rPr>
        </w:r>
        <w:r w:rsidR="00021FDD">
          <w:rPr>
            <w:noProof/>
            <w:webHidden/>
          </w:rPr>
          <w:fldChar w:fldCharType="separate"/>
        </w:r>
        <w:r w:rsidR="00021FDD">
          <w:rPr>
            <w:noProof/>
            <w:webHidden/>
          </w:rPr>
          <w:t>12</w:t>
        </w:r>
        <w:r w:rsidR="00021FDD">
          <w:rPr>
            <w:noProof/>
            <w:webHidden/>
          </w:rPr>
          <w:fldChar w:fldCharType="end"/>
        </w:r>
      </w:hyperlink>
    </w:p>
    <w:p w14:paraId="307C21F3" w14:textId="7D408122" w:rsidR="00021FDD" w:rsidRDefault="00CB73FC">
      <w:pPr>
        <w:pStyle w:val="Obsah3"/>
        <w:rPr>
          <w:rFonts w:asciiTheme="minorHAnsi" w:eastAsiaTheme="minorEastAsia" w:hAnsiTheme="minorHAnsi" w:cstheme="minorBidi"/>
          <w:noProof/>
          <w:sz w:val="22"/>
          <w:lang w:eastAsia="cs-CZ"/>
        </w:rPr>
      </w:pPr>
      <w:hyperlink w:anchor="_Toc75952054" w:history="1">
        <w:r w:rsidR="00021FDD" w:rsidRPr="00896B32">
          <w:rPr>
            <w:rStyle w:val="Hypertextovodkaz"/>
            <w:noProof/>
          </w:rPr>
          <w:t>2.1.2</w:t>
        </w:r>
        <w:r w:rsidR="00021FDD">
          <w:rPr>
            <w:rFonts w:asciiTheme="minorHAnsi" w:eastAsiaTheme="minorEastAsia" w:hAnsiTheme="minorHAnsi" w:cstheme="minorBidi"/>
            <w:noProof/>
            <w:sz w:val="22"/>
            <w:lang w:eastAsia="cs-CZ"/>
          </w:rPr>
          <w:tab/>
        </w:r>
        <w:r w:rsidR="00021FDD" w:rsidRPr="00896B32">
          <w:rPr>
            <w:rStyle w:val="Hypertextovodkaz"/>
            <w:noProof/>
          </w:rPr>
          <w:t>Zaměstnanci ve výkonu a ve správě</w:t>
        </w:r>
        <w:r w:rsidR="00021FDD">
          <w:rPr>
            <w:noProof/>
            <w:webHidden/>
          </w:rPr>
          <w:tab/>
        </w:r>
        <w:r w:rsidR="00021FDD">
          <w:rPr>
            <w:noProof/>
            <w:webHidden/>
          </w:rPr>
          <w:fldChar w:fldCharType="begin"/>
        </w:r>
        <w:r w:rsidR="00021FDD">
          <w:rPr>
            <w:noProof/>
            <w:webHidden/>
          </w:rPr>
          <w:instrText xml:space="preserve"> PAGEREF _Toc75952054 \h </w:instrText>
        </w:r>
        <w:r w:rsidR="00021FDD">
          <w:rPr>
            <w:noProof/>
            <w:webHidden/>
          </w:rPr>
        </w:r>
        <w:r w:rsidR="00021FDD">
          <w:rPr>
            <w:noProof/>
            <w:webHidden/>
          </w:rPr>
          <w:fldChar w:fldCharType="separate"/>
        </w:r>
        <w:r w:rsidR="00021FDD">
          <w:rPr>
            <w:noProof/>
            <w:webHidden/>
          </w:rPr>
          <w:t>19</w:t>
        </w:r>
        <w:r w:rsidR="00021FDD">
          <w:rPr>
            <w:noProof/>
            <w:webHidden/>
          </w:rPr>
          <w:fldChar w:fldCharType="end"/>
        </w:r>
      </w:hyperlink>
    </w:p>
    <w:p w14:paraId="252F37C1" w14:textId="79ED9D7C" w:rsidR="00021FDD" w:rsidRDefault="00CB73FC">
      <w:pPr>
        <w:pStyle w:val="Obsah3"/>
        <w:rPr>
          <w:rFonts w:asciiTheme="minorHAnsi" w:eastAsiaTheme="minorEastAsia" w:hAnsiTheme="minorHAnsi" w:cstheme="minorBidi"/>
          <w:noProof/>
          <w:sz w:val="22"/>
          <w:lang w:eastAsia="cs-CZ"/>
        </w:rPr>
      </w:pPr>
      <w:hyperlink w:anchor="_Toc75952055" w:history="1">
        <w:r w:rsidR="00021FDD" w:rsidRPr="00896B32">
          <w:rPr>
            <w:rStyle w:val="Hypertextovodkaz"/>
            <w:noProof/>
          </w:rPr>
          <w:t>2.1.3</w:t>
        </w:r>
        <w:r w:rsidR="00021FDD">
          <w:rPr>
            <w:rFonts w:asciiTheme="minorHAnsi" w:eastAsiaTheme="minorEastAsia" w:hAnsiTheme="minorHAnsi" w:cstheme="minorBidi"/>
            <w:noProof/>
            <w:sz w:val="22"/>
            <w:lang w:eastAsia="cs-CZ"/>
          </w:rPr>
          <w:tab/>
        </w:r>
        <w:r w:rsidR="00021FDD" w:rsidRPr="00896B32">
          <w:rPr>
            <w:rStyle w:val="Hypertextovodkaz"/>
            <w:noProof/>
          </w:rPr>
          <w:t>Přísedící soudu</w:t>
        </w:r>
        <w:r w:rsidR="00021FDD">
          <w:rPr>
            <w:noProof/>
            <w:webHidden/>
          </w:rPr>
          <w:tab/>
        </w:r>
        <w:r w:rsidR="00021FDD">
          <w:rPr>
            <w:noProof/>
            <w:webHidden/>
          </w:rPr>
          <w:fldChar w:fldCharType="begin"/>
        </w:r>
        <w:r w:rsidR="00021FDD">
          <w:rPr>
            <w:noProof/>
            <w:webHidden/>
          </w:rPr>
          <w:instrText xml:space="preserve"> PAGEREF _Toc75952055 \h </w:instrText>
        </w:r>
        <w:r w:rsidR="00021FDD">
          <w:rPr>
            <w:noProof/>
            <w:webHidden/>
          </w:rPr>
        </w:r>
        <w:r w:rsidR="00021FDD">
          <w:rPr>
            <w:noProof/>
            <w:webHidden/>
          </w:rPr>
          <w:fldChar w:fldCharType="separate"/>
        </w:r>
        <w:r w:rsidR="00021FDD">
          <w:rPr>
            <w:noProof/>
            <w:webHidden/>
          </w:rPr>
          <w:t>20</w:t>
        </w:r>
        <w:r w:rsidR="00021FDD">
          <w:rPr>
            <w:noProof/>
            <w:webHidden/>
          </w:rPr>
          <w:fldChar w:fldCharType="end"/>
        </w:r>
      </w:hyperlink>
    </w:p>
    <w:p w14:paraId="1F7A9DBD" w14:textId="228577F9" w:rsidR="00021FDD" w:rsidRDefault="00CB73FC">
      <w:pPr>
        <w:pStyle w:val="Obsah2"/>
        <w:rPr>
          <w:rFonts w:asciiTheme="minorHAnsi" w:eastAsiaTheme="minorEastAsia" w:hAnsiTheme="minorHAnsi" w:cstheme="minorBidi"/>
          <w:sz w:val="22"/>
          <w:lang w:eastAsia="cs-CZ"/>
        </w:rPr>
      </w:pPr>
      <w:hyperlink w:anchor="_Toc75952056" w:history="1">
        <w:r w:rsidR="00021FDD" w:rsidRPr="00896B32">
          <w:rPr>
            <w:rStyle w:val="Hypertextovodkaz"/>
          </w:rPr>
          <w:t>2.2</w:t>
        </w:r>
        <w:r w:rsidR="00021FDD">
          <w:rPr>
            <w:rFonts w:asciiTheme="minorHAnsi" w:eastAsiaTheme="minorEastAsia" w:hAnsiTheme="minorHAnsi" w:cstheme="minorBidi"/>
            <w:sz w:val="22"/>
            <w:lang w:eastAsia="cs-CZ"/>
          </w:rPr>
          <w:tab/>
        </w:r>
        <w:r w:rsidR="00021FDD" w:rsidRPr="00896B32">
          <w:rPr>
            <w:rStyle w:val="Hypertextovodkaz"/>
          </w:rPr>
          <w:t>Civilní agenda</w:t>
        </w:r>
        <w:r w:rsidR="00021FDD">
          <w:rPr>
            <w:webHidden/>
          </w:rPr>
          <w:tab/>
        </w:r>
        <w:r w:rsidR="00021FDD">
          <w:rPr>
            <w:webHidden/>
          </w:rPr>
          <w:fldChar w:fldCharType="begin"/>
        </w:r>
        <w:r w:rsidR="00021FDD">
          <w:rPr>
            <w:webHidden/>
          </w:rPr>
          <w:instrText xml:space="preserve"> PAGEREF _Toc75952056 \h </w:instrText>
        </w:r>
        <w:r w:rsidR="00021FDD">
          <w:rPr>
            <w:webHidden/>
          </w:rPr>
        </w:r>
        <w:r w:rsidR="00021FDD">
          <w:rPr>
            <w:webHidden/>
          </w:rPr>
          <w:fldChar w:fldCharType="separate"/>
        </w:r>
        <w:r w:rsidR="00021FDD">
          <w:rPr>
            <w:webHidden/>
          </w:rPr>
          <w:t>23</w:t>
        </w:r>
        <w:r w:rsidR="00021FDD">
          <w:rPr>
            <w:webHidden/>
          </w:rPr>
          <w:fldChar w:fldCharType="end"/>
        </w:r>
      </w:hyperlink>
    </w:p>
    <w:p w14:paraId="3E021F19" w14:textId="31F50E68" w:rsidR="00021FDD" w:rsidRDefault="00CB73FC">
      <w:pPr>
        <w:pStyle w:val="Obsah3"/>
        <w:rPr>
          <w:rFonts w:asciiTheme="minorHAnsi" w:eastAsiaTheme="minorEastAsia" w:hAnsiTheme="minorHAnsi" w:cstheme="minorBidi"/>
          <w:noProof/>
          <w:sz w:val="22"/>
          <w:lang w:eastAsia="cs-CZ"/>
        </w:rPr>
      </w:pPr>
      <w:hyperlink w:anchor="_Toc75952057" w:history="1">
        <w:r w:rsidR="00021FDD" w:rsidRPr="00896B32">
          <w:rPr>
            <w:rStyle w:val="Hypertextovodkaz"/>
            <w:noProof/>
          </w:rPr>
          <w:t>2.2.1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_Toc75952057 \h </w:instrText>
        </w:r>
        <w:r w:rsidR="00021FDD">
          <w:rPr>
            <w:noProof/>
            <w:webHidden/>
          </w:rPr>
        </w:r>
        <w:r w:rsidR="00021FDD">
          <w:rPr>
            <w:noProof/>
            <w:webHidden/>
          </w:rPr>
          <w:fldChar w:fldCharType="separate"/>
        </w:r>
        <w:r w:rsidR="00021FDD">
          <w:rPr>
            <w:noProof/>
            <w:webHidden/>
          </w:rPr>
          <w:t>23</w:t>
        </w:r>
        <w:r w:rsidR="00021FDD">
          <w:rPr>
            <w:noProof/>
            <w:webHidden/>
          </w:rPr>
          <w:fldChar w:fldCharType="end"/>
        </w:r>
      </w:hyperlink>
    </w:p>
    <w:p w14:paraId="726FC7D6" w14:textId="2AA8EB9B" w:rsidR="00021FDD" w:rsidRDefault="00CB73FC">
      <w:pPr>
        <w:pStyle w:val="Obsah3"/>
        <w:rPr>
          <w:rFonts w:asciiTheme="minorHAnsi" w:eastAsiaTheme="minorEastAsia" w:hAnsiTheme="minorHAnsi" w:cstheme="minorBidi"/>
          <w:noProof/>
          <w:sz w:val="22"/>
          <w:lang w:eastAsia="cs-CZ"/>
        </w:rPr>
      </w:pPr>
      <w:hyperlink w:anchor="_Toc75952058" w:history="1">
        <w:r w:rsidR="00021FDD" w:rsidRPr="00896B32">
          <w:rPr>
            <w:rStyle w:val="Hypertextovodkaz"/>
            <w:noProof/>
          </w:rPr>
          <w:t>2.2.2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_Toc75952058 \h </w:instrText>
        </w:r>
        <w:r w:rsidR="00021FDD">
          <w:rPr>
            <w:noProof/>
            <w:webHidden/>
          </w:rPr>
        </w:r>
        <w:r w:rsidR="00021FDD">
          <w:rPr>
            <w:noProof/>
            <w:webHidden/>
          </w:rPr>
          <w:fldChar w:fldCharType="separate"/>
        </w:r>
        <w:r w:rsidR="00021FDD">
          <w:rPr>
            <w:noProof/>
            <w:webHidden/>
          </w:rPr>
          <w:t>27</w:t>
        </w:r>
        <w:r w:rsidR="00021FDD">
          <w:rPr>
            <w:noProof/>
            <w:webHidden/>
          </w:rPr>
          <w:fldChar w:fldCharType="end"/>
        </w:r>
      </w:hyperlink>
    </w:p>
    <w:p w14:paraId="45526111" w14:textId="6DBEBEDE" w:rsidR="00021FDD" w:rsidRDefault="00CB73FC">
      <w:pPr>
        <w:pStyle w:val="Obsah3"/>
        <w:rPr>
          <w:rFonts w:asciiTheme="minorHAnsi" w:eastAsiaTheme="minorEastAsia" w:hAnsiTheme="minorHAnsi" w:cstheme="minorBidi"/>
          <w:noProof/>
          <w:sz w:val="22"/>
          <w:lang w:eastAsia="cs-CZ"/>
        </w:rPr>
      </w:pPr>
      <w:hyperlink w:anchor="_Toc75952059" w:history="1">
        <w:r w:rsidR="00021FDD" w:rsidRPr="00896B32">
          <w:rPr>
            <w:rStyle w:val="Hypertextovodkaz"/>
            <w:noProof/>
          </w:rPr>
          <w:t>2.2.3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_Toc75952059 \h </w:instrText>
        </w:r>
        <w:r w:rsidR="00021FDD">
          <w:rPr>
            <w:noProof/>
            <w:webHidden/>
          </w:rPr>
        </w:r>
        <w:r w:rsidR="00021FDD">
          <w:rPr>
            <w:noProof/>
            <w:webHidden/>
          </w:rPr>
          <w:fldChar w:fldCharType="separate"/>
        </w:r>
        <w:r w:rsidR="00021FDD">
          <w:rPr>
            <w:noProof/>
            <w:webHidden/>
          </w:rPr>
          <w:t>29</w:t>
        </w:r>
        <w:r w:rsidR="00021FDD">
          <w:rPr>
            <w:noProof/>
            <w:webHidden/>
          </w:rPr>
          <w:fldChar w:fldCharType="end"/>
        </w:r>
      </w:hyperlink>
    </w:p>
    <w:p w14:paraId="04629AA0" w14:textId="0F0C7B4C" w:rsidR="00021FDD" w:rsidRDefault="00CB73FC">
      <w:pPr>
        <w:pStyle w:val="Obsah3"/>
        <w:rPr>
          <w:rFonts w:asciiTheme="minorHAnsi" w:eastAsiaTheme="minorEastAsia" w:hAnsiTheme="minorHAnsi" w:cstheme="minorBidi"/>
          <w:noProof/>
          <w:sz w:val="22"/>
          <w:lang w:eastAsia="cs-CZ"/>
        </w:rPr>
      </w:pPr>
      <w:hyperlink w:anchor="_Toc75952060" w:history="1">
        <w:r w:rsidR="00021FDD" w:rsidRPr="00896B32">
          <w:rPr>
            <w:rStyle w:val="Hypertextovodkaz"/>
            <w:noProof/>
          </w:rPr>
          <w:t>2.2.4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_Toc75952060 \h </w:instrText>
        </w:r>
        <w:r w:rsidR="00021FDD">
          <w:rPr>
            <w:noProof/>
            <w:webHidden/>
          </w:rPr>
        </w:r>
        <w:r w:rsidR="00021FDD">
          <w:rPr>
            <w:noProof/>
            <w:webHidden/>
          </w:rPr>
          <w:fldChar w:fldCharType="separate"/>
        </w:r>
        <w:r w:rsidR="00021FDD">
          <w:rPr>
            <w:noProof/>
            <w:webHidden/>
          </w:rPr>
          <w:t>32</w:t>
        </w:r>
        <w:r w:rsidR="00021FDD">
          <w:rPr>
            <w:noProof/>
            <w:webHidden/>
          </w:rPr>
          <w:fldChar w:fldCharType="end"/>
        </w:r>
      </w:hyperlink>
    </w:p>
    <w:p w14:paraId="55D2B09C" w14:textId="23EA5E73" w:rsidR="00021FDD" w:rsidRDefault="00CB73FC">
      <w:pPr>
        <w:pStyle w:val="Obsah3"/>
        <w:rPr>
          <w:rFonts w:asciiTheme="minorHAnsi" w:eastAsiaTheme="minorEastAsia" w:hAnsiTheme="minorHAnsi" w:cstheme="minorBidi"/>
          <w:noProof/>
          <w:sz w:val="22"/>
          <w:lang w:eastAsia="cs-CZ"/>
        </w:rPr>
      </w:pPr>
      <w:hyperlink w:anchor="_Toc75952061" w:history="1">
        <w:r w:rsidR="00021FDD" w:rsidRPr="00896B32">
          <w:rPr>
            <w:rStyle w:val="Hypertextovodkaz"/>
            <w:noProof/>
          </w:rPr>
          <w:t>2.2.5</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_Toc75952061 \h </w:instrText>
        </w:r>
        <w:r w:rsidR="00021FDD">
          <w:rPr>
            <w:noProof/>
            <w:webHidden/>
          </w:rPr>
        </w:r>
        <w:r w:rsidR="00021FDD">
          <w:rPr>
            <w:noProof/>
            <w:webHidden/>
          </w:rPr>
          <w:fldChar w:fldCharType="separate"/>
        </w:r>
        <w:r w:rsidR="00021FDD">
          <w:rPr>
            <w:noProof/>
            <w:webHidden/>
          </w:rPr>
          <w:t>35</w:t>
        </w:r>
        <w:r w:rsidR="00021FDD">
          <w:rPr>
            <w:noProof/>
            <w:webHidden/>
          </w:rPr>
          <w:fldChar w:fldCharType="end"/>
        </w:r>
      </w:hyperlink>
    </w:p>
    <w:p w14:paraId="0ECE2B43" w14:textId="740FB148" w:rsidR="00021FDD" w:rsidRDefault="00CB73FC">
      <w:pPr>
        <w:pStyle w:val="Obsah2"/>
        <w:rPr>
          <w:rFonts w:asciiTheme="minorHAnsi" w:eastAsiaTheme="minorEastAsia" w:hAnsiTheme="minorHAnsi" w:cstheme="minorBidi"/>
          <w:sz w:val="22"/>
          <w:lang w:eastAsia="cs-CZ"/>
        </w:rPr>
      </w:pPr>
      <w:hyperlink w:anchor="_Toc75952062" w:history="1">
        <w:r w:rsidR="00021FDD" w:rsidRPr="00896B32">
          <w:rPr>
            <w:rStyle w:val="Hypertextovodkaz"/>
          </w:rPr>
          <w:t>2.3</w:t>
        </w:r>
        <w:r w:rsidR="00021FDD">
          <w:rPr>
            <w:rFonts w:asciiTheme="minorHAnsi" w:eastAsiaTheme="minorEastAsia" w:hAnsiTheme="minorHAnsi" w:cstheme="minorBidi"/>
            <w:sz w:val="22"/>
            <w:lang w:eastAsia="cs-CZ"/>
          </w:rPr>
          <w:tab/>
        </w:r>
        <w:r w:rsidR="00021FDD" w:rsidRPr="00896B32">
          <w:rPr>
            <w:rStyle w:val="Hypertextovodkaz"/>
          </w:rPr>
          <w:t>Civilní agenda – elektronické rozkazní řízení</w:t>
        </w:r>
        <w:r w:rsidR="00021FDD">
          <w:rPr>
            <w:webHidden/>
          </w:rPr>
          <w:tab/>
        </w:r>
        <w:r w:rsidR="00021FDD">
          <w:rPr>
            <w:webHidden/>
          </w:rPr>
          <w:fldChar w:fldCharType="begin"/>
        </w:r>
        <w:r w:rsidR="00021FDD">
          <w:rPr>
            <w:webHidden/>
          </w:rPr>
          <w:instrText xml:space="preserve"> PAGEREF _Toc75952062 \h </w:instrText>
        </w:r>
        <w:r w:rsidR="00021FDD">
          <w:rPr>
            <w:webHidden/>
          </w:rPr>
        </w:r>
        <w:r w:rsidR="00021FDD">
          <w:rPr>
            <w:webHidden/>
          </w:rPr>
          <w:fldChar w:fldCharType="separate"/>
        </w:r>
        <w:r w:rsidR="00021FDD">
          <w:rPr>
            <w:webHidden/>
          </w:rPr>
          <w:t>39</w:t>
        </w:r>
        <w:r w:rsidR="00021FDD">
          <w:rPr>
            <w:webHidden/>
          </w:rPr>
          <w:fldChar w:fldCharType="end"/>
        </w:r>
      </w:hyperlink>
    </w:p>
    <w:p w14:paraId="165E73F9" w14:textId="341FFF9A" w:rsidR="00021FDD" w:rsidRDefault="00CB73FC">
      <w:pPr>
        <w:pStyle w:val="Obsah3"/>
        <w:rPr>
          <w:rFonts w:asciiTheme="minorHAnsi" w:eastAsiaTheme="minorEastAsia" w:hAnsiTheme="minorHAnsi" w:cstheme="minorBidi"/>
          <w:noProof/>
          <w:sz w:val="22"/>
          <w:lang w:eastAsia="cs-CZ"/>
        </w:rPr>
      </w:pPr>
      <w:hyperlink w:anchor="_Toc75952063" w:history="1">
        <w:r w:rsidR="00021FDD" w:rsidRPr="00896B32">
          <w:rPr>
            <w:rStyle w:val="Hypertextovodkaz"/>
            <w:noProof/>
          </w:rPr>
          <w:t>2.3.1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_Toc75952063 \h </w:instrText>
        </w:r>
        <w:r w:rsidR="00021FDD">
          <w:rPr>
            <w:noProof/>
            <w:webHidden/>
          </w:rPr>
        </w:r>
        <w:r w:rsidR="00021FDD">
          <w:rPr>
            <w:noProof/>
            <w:webHidden/>
          </w:rPr>
          <w:fldChar w:fldCharType="separate"/>
        </w:r>
        <w:r w:rsidR="00021FDD">
          <w:rPr>
            <w:noProof/>
            <w:webHidden/>
          </w:rPr>
          <w:t>39</w:t>
        </w:r>
        <w:r w:rsidR="00021FDD">
          <w:rPr>
            <w:noProof/>
            <w:webHidden/>
          </w:rPr>
          <w:fldChar w:fldCharType="end"/>
        </w:r>
      </w:hyperlink>
    </w:p>
    <w:p w14:paraId="4093C7A3" w14:textId="2991D6B7" w:rsidR="00021FDD" w:rsidRDefault="00CB73FC">
      <w:pPr>
        <w:pStyle w:val="Obsah3"/>
        <w:rPr>
          <w:rFonts w:asciiTheme="minorHAnsi" w:eastAsiaTheme="minorEastAsia" w:hAnsiTheme="minorHAnsi" w:cstheme="minorBidi"/>
          <w:noProof/>
          <w:sz w:val="22"/>
          <w:lang w:eastAsia="cs-CZ"/>
        </w:rPr>
      </w:pPr>
      <w:hyperlink w:anchor="_Toc75952064" w:history="1">
        <w:r w:rsidR="00021FDD" w:rsidRPr="00896B32">
          <w:rPr>
            <w:rStyle w:val="Hypertextovodkaz"/>
            <w:noProof/>
          </w:rPr>
          <w:t>2.3.2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_Toc75952064 \h </w:instrText>
        </w:r>
        <w:r w:rsidR="00021FDD">
          <w:rPr>
            <w:noProof/>
            <w:webHidden/>
          </w:rPr>
        </w:r>
        <w:r w:rsidR="00021FDD">
          <w:rPr>
            <w:noProof/>
            <w:webHidden/>
          </w:rPr>
          <w:fldChar w:fldCharType="separate"/>
        </w:r>
        <w:r w:rsidR="00021FDD">
          <w:rPr>
            <w:noProof/>
            <w:webHidden/>
          </w:rPr>
          <w:t>41</w:t>
        </w:r>
        <w:r w:rsidR="00021FDD">
          <w:rPr>
            <w:noProof/>
            <w:webHidden/>
          </w:rPr>
          <w:fldChar w:fldCharType="end"/>
        </w:r>
      </w:hyperlink>
    </w:p>
    <w:p w14:paraId="005E8A31" w14:textId="2CC7DEB3" w:rsidR="00021FDD" w:rsidRDefault="00CB73FC">
      <w:pPr>
        <w:pStyle w:val="Obsah3"/>
        <w:rPr>
          <w:rFonts w:asciiTheme="minorHAnsi" w:eastAsiaTheme="minorEastAsia" w:hAnsiTheme="minorHAnsi" w:cstheme="minorBidi"/>
          <w:noProof/>
          <w:sz w:val="22"/>
          <w:lang w:eastAsia="cs-CZ"/>
        </w:rPr>
      </w:pPr>
      <w:hyperlink w:anchor="_Toc75952065" w:history="1">
        <w:r w:rsidR="00021FDD" w:rsidRPr="00896B32">
          <w:rPr>
            <w:rStyle w:val="Hypertextovodkaz"/>
            <w:noProof/>
          </w:rPr>
          <w:t>2.3.3</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_Toc75952065 \h </w:instrText>
        </w:r>
        <w:r w:rsidR="00021FDD">
          <w:rPr>
            <w:noProof/>
            <w:webHidden/>
          </w:rPr>
        </w:r>
        <w:r w:rsidR="00021FDD">
          <w:rPr>
            <w:noProof/>
            <w:webHidden/>
          </w:rPr>
          <w:fldChar w:fldCharType="separate"/>
        </w:r>
        <w:r w:rsidR="00021FDD">
          <w:rPr>
            <w:noProof/>
            <w:webHidden/>
          </w:rPr>
          <w:t>43</w:t>
        </w:r>
        <w:r w:rsidR="00021FDD">
          <w:rPr>
            <w:noProof/>
            <w:webHidden/>
          </w:rPr>
          <w:fldChar w:fldCharType="end"/>
        </w:r>
      </w:hyperlink>
    </w:p>
    <w:p w14:paraId="45E82256" w14:textId="6A9A94B8" w:rsidR="00021FDD" w:rsidRDefault="00CB73FC">
      <w:pPr>
        <w:pStyle w:val="Obsah2"/>
        <w:rPr>
          <w:rFonts w:asciiTheme="minorHAnsi" w:eastAsiaTheme="minorEastAsia" w:hAnsiTheme="minorHAnsi" w:cstheme="minorBidi"/>
          <w:sz w:val="22"/>
          <w:lang w:eastAsia="cs-CZ"/>
        </w:rPr>
      </w:pPr>
      <w:hyperlink w:anchor="_Toc75952066" w:history="1">
        <w:r w:rsidR="00021FDD" w:rsidRPr="00896B32">
          <w:rPr>
            <w:rStyle w:val="Hypertextovodkaz"/>
          </w:rPr>
          <w:t>2.4</w:t>
        </w:r>
        <w:r w:rsidR="00021FDD">
          <w:rPr>
            <w:rFonts w:asciiTheme="minorHAnsi" w:eastAsiaTheme="minorEastAsia" w:hAnsiTheme="minorHAnsi" w:cstheme="minorBidi"/>
            <w:sz w:val="22"/>
            <w:lang w:eastAsia="cs-CZ"/>
          </w:rPr>
          <w:tab/>
        </w:r>
        <w:r w:rsidR="00021FDD" w:rsidRPr="00896B32">
          <w:rPr>
            <w:rStyle w:val="Hypertextovodkaz"/>
          </w:rPr>
          <w:t>Trestní agenda</w:t>
        </w:r>
        <w:r w:rsidR="00021FDD">
          <w:rPr>
            <w:webHidden/>
          </w:rPr>
          <w:tab/>
        </w:r>
        <w:r w:rsidR="00021FDD">
          <w:rPr>
            <w:webHidden/>
          </w:rPr>
          <w:fldChar w:fldCharType="begin"/>
        </w:r>
        <w:r w:rsidR="00021FDD">
          <w:rPr>
            <w:webHidden/>
          </w:rPr>
          <w:instrText xml:space="preserve"> PAGEREF _Toc75952066 \h </w:instrText>
        </w:r>
        <w:r w:rsidR="00021FDD">
          <w:rPr>
            <w:webHidden/>
          </w:rPr>
        </w:r>
        <w:r w:rsidR="00021FDD">
          <w:rPr>
            <w:webHidden/>
          </w:rPr>
          <w:fldChar w:fldCharType="separate"/>
        </w:r>
        <w:r w:rsidR="00021FDD">
          <w:rPr>
            <w:webHidden/>
          </w:rPr>
          <w:t>45</w:t>
        </w:r>
        <w:r w:rsidR="00021FDD">
          <w:rPr>
            <w:webHidden/>
          </w:rPr>
          <w:fldChar w:fldCharType="end"/>
        </w:r>
      </w:hyperlink>
    </w:p>
    <w:p w14:paraId="757A2158" w14:textId="22498B42" w:rsidR="00021FDD" w:rsidRDefault="00CB73FC">
      <w:pPr>
        <w:pStyle w:val="Obsah3"/>
        <w:rPr>
          <w:rFonts w:asciiTheme="minorHAnsi" w:eastAsiaTheme="minorEastAsia" w:hAnsiTheme="minorHAnsi" w:cstheme="minorBidi"/>
          <w:noProof/>
          <w:sz w:val="22"/>
          <w:lang w:eastAsia="cs-CZ"/>
        </w:rPr>
      </w:pPr>
      <w:hyperlink w:anchor="_Toc75952067" w:history="1">
        <w:r w:rsidR="00021FDD" w:rsidRPr="00896B32">
          <w:rPr>
            <w:rStyle w:val="Hypertextovodkaz"/>
            <w:noProof/>
          </w:rPr>
          <w:t>2.4.1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_Toc75952067 \h </w:instrText>
        </w:r>
        <w:r w:rsidR="00021FDD">
          <w:rPr>
            <w:noProof/>
            <w:webHidden/>
          </w:rPr>
        </w:r>
        <w:r w:rsidR="00021FDD">
          <w:rPr>
            <w:noProof/>
            <w:webHidden/>
          </w:rPr>
          <w:fldChar w:fldCharType="separate"/>
        </w:r>
        <w:r w:rsidR="00021FDD">
          <w:rPr>
            <w:noProof/>
            <w:webHidden/>
          </w:rPr>
          <w:t>45</w:t>
        </w:r>
        <w:r w:rsidR="00021FDD">
          <w:rPr>
            <w:noProof/>
            <w:webHidden/>
          </w:rPr>
          <w:fldChar w:fldCharType="end"/>
        </w:r>
      </w:hyperlink>
    </w:p>
    <w:p w14:paraId="695E2EF8" w14:textId="040680B5" w:rsidR="00021FDD" w:rsidRDefault="00CB73FC">
      <w:pPr>
        <w:pStyle w:val="Obsah3"/>
        <w:rPr>
          <w:rFonts w:asciiTheme="minorHAnsi" w:eastAsiaTheme="minorEastAsia" w:hAnsiTheme="minorHAnsi" w:cstheme="minorBidi"/>
          <w:noProof/>
          <w:sz w:val="22"/>
          <w:lang w:eastAsia="cs-CZ"/>
        </w:rPr>
      </w:pPr>
      <w:hyperlink w:anchor="_Toc75952068" w:history="1">
        <w:r w:rsidR="00021FDD" w:rsidRPr="00896B32">
          <w:rPr>
            <w:rStyle w:val="Hypertextovodkaz"/>
            <w:noProof/>
          </w:rPr>
          <w:t>2.4.2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_Toc75952068 \h </w:instrText>
        </w:r>
        <w:r w:rsidR="00021FDD">
          <w:rPr>
            <w:noProof/>
            <w:webHidden/>
          </w:rPr>
        </w:r>
        <w:r w:rsidR="00021FDD">
          <w:rPr>
            <w:noProof/>
            <w:webHidden/>
          </w:rPr>
          <w:fldChar w:fldCharType="separate"/>
        </w:r>
        <w:r w:rsidR="00021FDD">
          <w:rPr>
            <w:noProof/>
            <w:webHidden/>
          </w:rPr>
          <w:t>49</w:t>
        </w:r>
        <w:r w:rsidR="00021FDD">
          <w:rPr>
            <w:noProof/>
            <w:webHidden/>
          </w:rPr>
          <w:fldChar w:fldCharType="end"/>
        </w:r>
      </w:hyperlink>
    </w:p>
    <w:p w14:paraId="5D3CBFA0" w14:textId="3A5658D9" w:rsidR="00021FDD" w:rsidRDefault="00CB73FC">
      <w:pPr>
        <w:pStyle w:val="Obsah3"/>
        <w:rPr>
          <w:rFonts w:asciiTheme="minorHAnsi" w:eastAsiaTheme="minorEastAsia" w:hAnsiTheme="minorHAnsi" w:cstheme="minorBidi"/>
          <w:noProof/>
          <w:sz w:val="22"/>
          <w:lang w:eastAsia="cs-CZ"/>
        </w:rPr>
      </w:pPr>
      <w:hyperlink w:anchor="_Toc75952069" w:history="1">
        <w:r w:rsidR="00021FDD" w:rsidRPr="00896B32">
          <w:rPr>
            <w:rStyle w:val="Hypertextovodkaz"/>
            <w:noProof/>
          </w:rPr>
          <w:t>2.4.3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_Toc75952069 \h </w:instrText>
        </w:r>
        <w:r w:rsidR="00021FDD">
          <w:rPr>
            <w:noProof/>
            <w:webHidden/>
          </w:rPr>
        </w:r>
        <w:r w:rsidR="00021FDD">
          <w:rPr>
            <w:noProof/>
            <w:webHidden/>
          </w:rPr>
          <w:fldChar w:fldCharType="separate"/>
        </w:r>
        <w:r w:rsidR="00021FDD">
          <w:rPr>
            <w:noProof/>
            <w:webHidden/>
          </w:rPr>
          <w:t>51</w:t>
        </w:r>
        <w:r w:rsidR="00021FDD">
          <w:rPr>
            <w:noProof/>
            <w:webHidden/>
          </w:rPr>
          <w:fldChar w:fldCharType="end"/>
        </w:r>
      </w:hyperlink>
    </w:p>
    <w:p w14:paraId="7E904DAA" w14:textId="69DD0351" w:rsidR="00021FDD" w:rsidRDefault="00CB73FC">
      <w:pPr>
        <w:pStyle w:val="Obsah3"/>
        <w:rPr>
          <w:rFonts w:asciiTheme="minorHAnsi" w:eastAsiaTheme="minorEastAsia" w:hAnsiTheme="minorHAnsi" w:cstheme="minorBidi"/>
          <w:noProof/>
          <w:sz w:val="22"/>
          <w:lang w:eastAsia="cs-CZ"/>
        </w:rPr>
      </w:pPr>
      <w:hyperlink w:anchor="_Toc75952070" w:history="1">
        <w:r w:rsidR="00021FDD" w:rsidRPr="00896B32">
          <w:rPr>
            <w:rStyle w:val="Hypertextovodkaz"/>
            <w:noProof/>
          </w:rPr>
          <w:t>2.4.4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_Toc75952070 \h </w:instrText>
        </w:r>
        <w:r w:rsidR="00021FDD">
          <w:rPr>
            <w:noProof/>
            <w:webHidden/>
          </w:rPr>
        </w:r>
        <w:r w:rsidR="00021FDD">
          <w:rPr>
            <w:noProof/>
            <w:webHidden/>
          </w:rPr>
          <w:fldChar w:fldCharType="separate"/>
        </w:r>
        <w:r w:rsidR="00021FDD">
          <w:rPr>
            <w:noProof/>
            <w:webHidden/>
          </w:rPr>
          <w:t>52</w:t>
        </w:r>
        <w:r w:rsidR="00021FDD">
          <w:rPr>
            <w:noProof/>
            <w:webHidden/>
          </w:rPr>
          <w:fldChar w:fldCharType="end"/>
        </w:r>
      </w:hyperlink>
    </w:p>
    <w:p w14:paraId="01006C39" w14:textId="611A07A7" w:rsidR="00021FDD" w:rsidRDefault="00CB73FC">
      <w:pPr>
        <w:pStyle w:val="Obsah3"/>
        <w:rPr>
          <w:rFonts w:asciiTheme="minorHAnsi" w:eastAsiaTheme="minorEastAsia" w:hAnsiTheme="minorHAnsi" w:cstheme="minorBidi"/>
          <w:noProof/>
          <w:sz w:val="22"/>
          <w:lang w:eastAsia="cs-CZ"/>
        </w:rPr>
      </w:pPr>
      <w:hyperlink w:anchor="_Toc75952071" w:history="1">
        <w:r w:rsidR="00021FDD" w:rsidRPr="00896B32">
          <w:rPr>
            <w:rStyle w:val="Hypertextovodkaz"/>
            <w:noProof/>
          </w:rPr>
          <w:t>2.4.5</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_Toc75952071 \h </w:instrText>
        </w:r>
        <w:r w:rsidR="00021FDD">
          <w:rPr>
            <w:noProof/>
            <w:webHidden/>
          </w:rPr>
        </w:r>
        <w:r w:rsidR="00021FDD">
          <w:rPr>
            <w:noProof/>
            <w:webHidden/>
          </w:rPr>
          <w:fldChar w:fldCharType="separate"/>
        </w:r>
        <w:r w:rsidR="00021FDD">
          <w:rPr>
            <w:noProof/>
            <w:webHidden/>
          </w:rPr>
          <w:t>55</w:t>
        </w:r>
        <w:r w:rsidR="00021FDD">
          <w:rPr>
            <w:noProof/>
            <w:webHidden/>
          </w:rPr>
          <w:fldChar w:fldCharType="end"/>
        </w:r>
      </w:hyperlink>
    </w:p>
    <w:p w14:paraId="084464C2" w14:textId="0DBA92F0" w:rsidR="00021FDD" w:rsidRDefault="00CB73FC">
      <w:pPr>
        <w:pStyle w:val="Obsah2"/>
        <w:rPr>
          <w:rFonts w:asciiTheme="minorHAnsi" w:eastAsiaTheme="minorEastAsia" w:hAnsiTheme="minorHAnsi" w:cstheme="minorBidi"/>
          <w:sz w:val="22"/>
          <w:lang w:eastAsia="cs-CZ"/>
        </w:rPr>
      </w:pPr>
      <w:hyperlink w:anchor="_Toc75952072" w:history="1">
        <w:r w:rsidR="00021FDD" w:rsidRPr="00896B32">
          <w:rPr>
            <w:rStyle w:val="Hypertextovodkaz"/>
          </w:rPr>
          <w:t>2.5</w:t>
        </w:r>
        <w:r w:rsidR="00021FDD">
          <w:rPr>
            <w:rFonts w:asciiTheme="minorHAnsi" w:eastAsiaTheme="minorEastAsia" w:hAnsiTheme="minorHAnsi" w:cstheme="minorBidi"/>
            <w:sz w:val="22"/>
            <w:lang w:eastAsia="cs-CZ"/>
          </w:rPr>
          <w:tab/>
        </w:r>
        <w:r w:rsidR="00021FDD" w:rsidRPr="00896B32">
          <w:rPr>
            <w:rStyle w:val="Hypertextovodkaz"/>
          </w:rPr>
          <w:t>Opatrovnická agenda</w:t>
        </w:r>
        <w:r w:rsidR="00021FDD">
          <w:rPr>
            <w:webHidden/>
          </w:rPr>
          <w:tab/>
        </w:r>
        <w:r w:rsidR="00021FDD">
          <w:rPr>
            <w:webHidden/>
          </w:rPr>
          <w:fldChar w:fldCharType="begin"/>
        </w:r>
        <w:r w:rsidR="00021FDD">
          <w:rPr>
            <w:webHidden/>
          </w:rPr>
          <w:instrText xml:space="preserve"> PAGEREF _Toc75952072 \h </w:instrText>
        </w:r>
        <w:r w:rsidR="00021FDD">
          <w:rPr>
            <w:webHidden/>
          </w:rPr>
        </w:r>
        <w:r w:rsidR="00021FDD">
          <w:rPr>
            <w:webHidden/>
          </w:rPr>
          <w:fldChar w:fldCharType="separate"/>
        </w:r>
        <w:r w:rsidR="00021FDD">
          <w:rPr>
            <w:webHidden/>
          </w:rPr>
          <w:t>66</w:t>
        </w:r>
        <w:r w:rsidR="00021FDD">
          <w:rPr>
            <w:webHidden/>
          </w:rPr>
          <w:fldChar w:fldCharType="end"/>
        </w:r>
      </w:hyperlink>
    </w:p>
    <w:p w14:paraId="42DA13BC" w14:textId="46048083" w:rsidR="00021FDD" w:rsidRDefault="00CB73FC">
      <w:pPr>
        <w:pStyle w:val="Obsah3"/>
        <w:rPr>
          <w:rFonts w:asciiTheme="minorHAnsi" w:eastAsiaTheme="minorEastAsia" w:hAnsiTheme="minorHAnsi" w:cstheme="minorBidi"/>
          <w:noProof/>
          <w:sz w:val="22"/>
          <w:lang w:eastAsia="cs-CZ"/>
        </w:rPr>
      </w:pPr>
      <w:hyperlink w:anchor="_Toc75952073" w:history="1">
        <w:r w:rsidR="00021FDD" w:rsidRPr="00896B32">
          <w:rPr>
            <w:rStyle w:val="Hypertextovodkaz"/>
            <w:noProof/>
          </w:rPr>
          <w:t>2.5.1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_Toc75952073 \h </w:instrText>
        </w:r>
        <w:r w:rsidR="00021FDD">
          <w:rPr>
            <w:noProof/>
            <w:webHidden/>
          </w:rPr>
        </w:r>
        <w:r w:rsidR="00021FDD">
          <w:rPr>
            <w:noProof/>
            <w:webHidden/>
          </w:rPr>
          <w:fldChar w:fldCharType="separate"/>
        </w:r>
        <w:r w:rsidR="00021FDD">
          <w:rPr>
            <w:noProof/>
            <w:webHidden/>
          </w:rPr>
          <w:t>66</w:t>
        </w:r>
        <w:r w:rsidR="00021FDD">
          <w:rPr>
            <w:noProof/>
            <w:webHidden/>
          </w:rPr>
          <w:fldChar w:fldCharType="end"/>
        </w:r>
      </w:hyperlink>
    </w:p>
    <w:p w14:paraId="4333ED8C" w14:textId="08429530" w:rsidR="00021FDD" w:rsidRDefault="00CB73FC">
      <w:pPr>
        <w:pStyle w:val="Obsah3"/>
        <w:rPr>
          <w:rFonts w:asciiTheme="minorHAnsi" w:eastAsiaTheme="minorEastAsia" w:hAnsiTheme="minorHAnsi" w:cstheme="minorBidi"/>
          <w:noProof/>
          <w:sz w:val="22"/>
          <w:lang w:eastAsia="cs-CZ"/>
        </w:rPr>
      </w:pPr>
      <w:hyperlink w:anchor="_Toc75952074" w:history="1">
        <w:r w:rsidR="00021FDD" w:rsidRPr="00896B32">
          <w:rPr>
            <w:rStyle w:val="Hypertextovodkaz"/>
            <w:noProof/>
          </w:rPr>
          <w:t>2.5.2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_Toc75952074 \h </w:instrText>
        </w:r>
        <w:r w:rsidR="00021FDD">
          <w:rPr>
            <w:noProof/>
            <w:webHidden/>
          </w:rPr>
        </w:r>
        <w:r w:rsidR="00021FDD">
          <w:rPr>
            <w:noProof/>
            <w:webHidden/>
          </w:rPr>
          <w:fldChar w:fldCharType="separate"/>
        </w:r>
        <w:r w:rsidR="00021FDD">
          <w:rPr>
            <w:noProof/>
            <w:webHidden/>
          </w:rPr>
          <w:t>69</w:t>
        </w:r>
        <w:r w:rsidR="00021FDD">
          <w:rPr>
            <w:noProof/>
            <w:webHidden/>
          </w:rPr>
          <w:fldChar w:fldCharType="end"/>
        </w:r>
      </w:hyperlink>
    </w:p>
    <w:p w14:paraId="3A2CF8B7" w14:textId="6EF1000C" w:rsidR="00021FDD" w:rsidRDefault="00CB73FC">
      <w:pPr>
        <w:pStyle w:val="Obsah3"/>
        <w:rPr>
          <w:rFonts w:asciiTheme="minorHAnsi" w:eastAsiaTheme="minorEastAsia" w:hAnsiTheme="minorHAnsi" w:cstheme="minorBidi"/>
          <w:noProof/>
          <w:sz w:val="22"/>
          <w:lang w:eastAsia="cs-CZ"/>
        </w:rPr>
      </w:pPr>
      <w:hyperlink w:anchor="_Toc75952075" w:history="1">
        <w:r w:rsidR="00021FDD" w:rsidRPr="00896B32">
          <w:rPr>
            <w:rStyle w:val="Hypertextovodkaz"/>
            <w:noProof/>
          </w:rPr>
          <w:t>2.5.3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 přepočtu na soudce</w:t>
        </w:r>
        <w:r w:rsidR="00021FDD">
          <w:rPr>
            <w:noProof/>
            <w:webHidden/>
          </w:rPr>
          <w:tab/>
        </w:r>
        <w:r w:rsidR="00021FDD">
          <w:rPr>
            <w:noProof/>
            <w:webHidden/>
          </w:rPr>
          <w:fldChar w:fldCharType="begin"/>
        </w:r>
        <w:r w:rsidR="00021FDD">
          <w:rPr>
            <w:noProof/>
            <w:webHidden/>
          </w:rPr>
          <w:instrText xml:space="preserve"> PAGEREF _Toc75952075 \h </w:instrText>
        </w:r>
        <w:r w:rsidR="00021FDD">
          <w:rPr>
            <w:noProof/>
            <w:webHidden/>
          </w:rPr>
        </w:r>
        <w:r w:rsidR="00021FDD">
          <w:rPr>
            <w:noProof/>
            <w:webHidden/>
          </w:rPr>
          <w:fldChar w:fldCharType="separate"/>
        </w:r>
        <w:r w:rsidR="00021FDD">
          <w:rPr>
            <w:noProof/>
            <w:webHidden/>
          </w:rPr>
          <w:t>71</w:t>
        </w:r>
        <w:r w:rsidR="00021FDD">
          <w:rPr>
            <w:noProof/>
            <w:webHidden/>
          </w:rPr>
          <w:fldChar w:fldCharType="end"/>
        </w:r>
      </w:hyperlink>
    </w:p>
    <w:p w14:paraId="6A4E4AB0" w14:textId="2C6E1653" w:rsidR="00021FDD" w:rsidRDefault="00CB73FC">
      <w:pPr>
        <w:pStyle w:val="Obsah3"/>
        <w:rPr>
          <w:rFonts w:asciiTheme="minorHAnsi" w:eastAsiaTheme="minorEastAsia" w:hAnsiTheme="minorHAnsi" w:cstheme="minorBidi"/>
          <w:noProof/>
          <w:sz w:val="22"/>
          <w:lang w:eastAsia="cs-CZ"/>
        </w:rPr>
      </w:pPr>
      <w:hyperlink w:anchor="_Toc75952076" w:history="1">
        <w:r w:rsidR="00021FDD" w:rsidRPr="00896B32">
          <w:rPr>
            <w:rStyle w:val="Hypertextovodkaz"/>
            <w:noProof/>
          </w:rPr>
          <w:t>2.5.4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_Toc75952076 \h </w:instrText>
        </w:r>
        <w:r w:rsidR="00021FDD">
          <w:rPr>
            <w:noProof/>
            <w:webHidden/>
          </w:rPr>
        </w:r>
        <w:r w:rsidR="00021FDD">
          <w:rPr>
            <w:noProof/>
            <w:webHidden/>
          </w:rPr>
          <w:fldChar w:fldCharType="separate"/>
        </w:r>
        <w:r w:rsidR="00021FDD">
          <w:rPr>
            <w:noProof/>
            <w:webHidden/>
          </w:rPr>
          <w:t>72</w:t>
        </w:r>
        <w:r w:rsidR="00021FDD">
          <w:rPr>
            <w:noProof/>
            <w:webHidden/>
          </w:rPr>
          <w:fldChar w:fldCharType="end"/>
        </w:r>
      </w:hyperlink>
    </w:p>
    <w:p w14:paraId="58942358" w14:textId="68AFB042" w:rsidR="00021FDD" w:rsidRDefault="00CB73FC">
      <w:pPr>
        <w:pStyle w:val="Obsah3"/>
        <w:rPr>
          <w:rFonts w:asciiTheme="minorHAnsi" w:eastAsiaTheme="minorEastAsia" w:hAnsiTheme="minorHAnsi" w:cstheme="minorBidi"/>
          <w:noProof/>
          <w:sz w:val="22"/>
          <w:lang w:eastAsia="cs-CZ"/>
        </w:rPr>
      </w:pPr>
      <w:hyperlink w:anchor="_Toc75952077" w:history="1">
        <w:r w:rsidR="00021FDD" w:rsidRPr="00896B32">
          <w:rPr>
            <w:rStyle w:val="Hypertextovodkaz"/>
            <w:noProof/>
          </w:rPr>
          <w:t>2.5.5</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_Toc75952077 \h </w:instrText>
        </w:r>
        <w:r w:rsidR="00021FDD">
          <w:rPr>
            <w:noProof/>
            <w:webHidden/>
          </w:rPr>
        </w:r>
        <w:r w:rsidR="00021FDD">
          <w:rPr>
            <w:noProof/>
            <w:webHidden/>
          </w:rPr>
          <w:fldChar w:fldCharType="separate"/>
        </w:r>
        <w:r w:rsidR="00021FDD">
          <w:rPr>
            <w:noProof/>
            <w:webHidden/>
          </w:rPr>
          <w:t>75</w:t>
        </w:r>
        <w:r w:rsidR="00021FDD">
          <w:rPr>
            <w:noProof/>
            <w:webHidden/>
          </w:rPr>
          <w:fldChar w:fldCharType="end"/>
        </w:r>
      </w:hyperlink>
    </w:p>
    <w:p w14:paraId="461CC5E7" w14:textId="3040A48E" w:rsidR="00021FDD" w:rsidRDefault="00CB73FC">
      <w:pPr>
        <w:pStyle w:val="Obsah2"/>
        <w:rPr>
          <w:rFonts w:asciiTheme="minorHAnsi" w:eastAsiaTheme="minorEastAsia" w:hAnsiTheme="minorHAnsi" w:cstheme="minorBidi"/>
          <w:sz w:val="22"/>
          <w:lang w:eastAsia="cs-CZ"/>
        </w:rPr>
      </w:pPr>
      <w:hyperlink w:anchor="_Toc75952078" w:history="1">
        <w:r w:rsidR="00021FDD" w:rsidRPr="00896B32">
          <w:rPr>
            <w:rStyle w:val="Hypertextovodkaz"/>
          </w:rPr>
          <w:t>2.6</w:t>
        </w:r>
        <w:r w:rsidR="00021FDD">
          <w:rPr>
            <w:rFonts w:asciiTheme="minorHAnsi" w:eastAsiaTheme="minorEastAsia" w:hAnsiTheme="minorHAnsi" w:cstheme="minorBidi"/>
            <w:sz w:val="22"/>
            <w:lang w:eastAsia="cs-CZ"/>
          </w:rPr>
          <w:tab/>
        </w:r>
        <w:r w:rsidR="00021FDD" w:rsidRPr="00896B32">
          <w:rPr>
            <w:rStyle w:val="Hypertextovodkaz"/>
          </w:rPr>
          <w:t>DEA</w:t>
        </w:r>
        <w:r w:rsidR="00021FDD">
          <w:rPr>
            <w:webHidden/>
          </w:rPr>
          <w:tab/>
        </w:r>
        <w:r w:rsidR="00021FDD">
          <w:rPr>
            <w:webHidden/>
          </w:rPr>
          <w:fldChar w:fldCharType="begin"/>
        </w:r>
        <w:r w:rsidR="00021FDD">
          <w:rPr>
            <w:webHidden/>
          </w:rPr>
          <w:instrText xml:space="preserve"> PAGEREF _Toc75952078 \h </w:instrText>
        </w:r>
        <w:r w:rsidR="00021FDD">
          <w:rPr>
            <w:webHidden/>
          </w:rPr>
        </w:r>
        <w:r w:rsidR="00021FDD">
          <w:rPr>
            <w:webHidden/>
          </w:rPr>
          <w:fldChar w:fldCharType="separate"/>
        </w:r>
        <w:r w:rsidR="00021FDD">
          <w:rPr>
            <w:webHidden/>
          </w:rPr>
          <w:t>80</w:t>
        </w:r>
        <w:r w:rsidR="00021FDD">
          <w:rPr>
            <w:webHidden/>
          </w:rPr>
          <w:fldChar w:fldCharType="end"/>
        </w:r>
      </w:hyperlink>
    </w:p>
    <w:p w14:paraId="58E10E13" w14:textId="527CF538" w:rsidR="00021FDD" w:rsidRDefault="00CB73FC">
      <w:pPr>
        <w:pStyle w:val="Obsah3"/>
        <w:rPr>
          <w:rFonts w:asciiTheme="minorHAnsi" w:eastAsiaTheme="minorEastAsia" w:hAnsiTheme="minorHAnsi" w:cstheme="minorBidi"/>
          <w:noProof/>
          <w:sz w:val="22"/>
          <w:lang w:eastAsia="cs-CZ"/>
        </w:rPr>
      </w:pPr>
      <w:hyperlink w:anchor="_Toc75952079" w:history="1">
        <w:r w:rsidR="00021FDD" w:rsidRPr="00896B32">
          <w:rPr>
            <w:rStyle w:val="Hypertextovodkaz"/>
            <w:noProof/>
          </w:rPr>
          <w:t>2.6.1</w:t>
        </w:r>
        <w:r w:rsidR="00021FDD">
          <w:rPr>
            <w:rFonts w:asciiTheme="minorHAnsi" w:eastAsiaTheme="minorEastAsia" w:hAnsiTheme="minorHAnsi" w:cstheme="minorBidi"/>
            <w:noProof/>
            <w:sz w:val="22"/>
            <w:lang w:eastAsia="cs-CZ"/>
          </w:rPr>
          <w:tab/>
        </w:r>
        <w:r w:rsidR="00021FDD" w:rsidRPr="00896B32">
          <w:rPr>
            <w:rStyle w:val="Hypertextovodkaz"/>
            <w:noProof/>
          </w:rPr>
          <w:t>Výsledky a jejich interpretace</w:t>
        </w:r>
        <w:r w:rsidR="00021FDD">
          <w:rPr>
            <w:noProof/>
            <w:webHidden/>
          </w:rPr>
          <w:tab/>
        </w:r>
        <w:r w:rsidR="00021FDD">
          <w:rPr>
            <w:noProof/>
            <w:webHidden/>
          </w:rPr>
          <w:fldChar w:fldCharType="begin"/>
        </w:r>
        <w:r w:rsidR="00021FDD">
          <w:rPr>
            <w:noProof/>
            <w:webHidden/>
          </w:rPr>
          <w:instrText xml:space="preserve"> PAGEREF _Toc75952079 \h </w:instrText>
        </w:r>
        <w:r w:rsidR="00021FDD">
          <w:rPr>
            <w:noProof/>
            <w:webHidden/>
          </w:rPr>
        </w:r>
        <w:r w:rsidR="00021FDD">
          <w:rPr>
            <w:noProof/>
            <w:webHidden/>
          </w:rPr>
          <w:fldChar w:fldCharType="separate"/>
        </w:r>
        <w:r w:rsidR="00021FDD">
          <w:rPr>
            <w:noProof/>
            <w:webHidden/>
          </w:rPr>
          <w:t>80</w:t>
        </w:r>
        <w:r w:rsidR="00021FDD">
          <w:rPr>
            <w:noProof/>
            <w:webHidden/>
          </w:rPr>
          <w:fldChar w:fldCharType="end"/>
        </w:r>
      </w:hyperlink>
    </w:p>
    <w:p w14:paraId="4CE5E2F7" w14:textId="2A302BCF" w:rsidR="00021FDD" w:rsidRDefault="00CB73FC">
      <w:pPr>
        <w:pStyle w:val="Obsah3"/>
        <w:rPr>
          <w:rFonts w:asciiTheme="minorHAnsi" w:eastAsiaTheme="minorEastAsia" w:hAnsiTheme="minorHAnsi" w:cstheme="minorBidi"/>
          <w:noProof/>
          <w:sz w:val="22"/>
          <w:lang w:eastAsia="cs-CZ"/>
        </w:rPr>
      </w:pPr>
      <w:hyperlink w:anchor="_Toc75952080" w:history="1">
        <w:r w:rsidR="00021FDD" w:rsidRPr="00896B32">
          <w:rPr>
            <w:rStyle w:val="Hypertextovodkaz"/>
            <w:noProof/>
          </w:rPr>
          <w:t>2.6.2</w:t>
        </w:r>
        <w:r w:rsidR="00021FDD">
          <w:rPr>
            <w:rFonts w:asciiTheme="minorHAnsi" w:eastAsiaTheme="minorEastAsia" w:hAnsiTheme="minorHAnsi" w:cstheme="minorBidi"/>
            <w:noProof/>
            <w:sz w:val="22"/>
            <w:lang w:eastAsia="cs-CZ"/>
          </w:rPr>
          <w:tab/>
        </w:r>
        <w:r w:rsidR="00021FDD" w:rsidRPr="00896B32">
          <w:rPr>
            <w:rStyle w:val="Hypertextovodkaz"/>
            <w:noProof/>
          </w:rPr>
          <w:t>Srovnání s rokem 2019</w:t>
        </w:r>
        <w:r w:rsidR="00021FDD">
          <w:rPr>
            <w:noProof/>
            <w:webHidden/>
          </w:rPr>
          <w:tab/>
        </w:r>
        <w:r w:rsidR="00021FDD">
          <w:rPr>
            <w:noProof/>
            <w:webHidden/>
          </w:rPr>
          <w:fldChar w:fldCharType="begin"/>
        </w:r>
        <w:r w:rsidR="00021FDD">
          <w:rPr>
            <w:noProof/>
            <w:webHidden/>
          </w:rPr>
          <w:instrText xml:space="preserve"> PAGEREF _Toc75952080 \h </w:instrText>
        </w:r>
        <w:r w:rsidR="00021FDD">
          <w:rPr>
            <w:noProof/>
            <w:webHidden/>
          </w:rPr>
        </w:r>
        <w:r w:rsidR="00021FDD">
          <w:rPr>
            <w:noProof/>
            <w:webHidden/>
          </w:rPr>
          <w:fldChar w:fldCharType="separate"/>
        </w:r>
        <w:r w:rsidR="00021FDD">
          <w:rPr>
            <w:noProof/>
            <w:webHidden/>
          </w:rPr>
          <w:t>81</w:t>
        </w:r>
        <w:r w:rsidR="00021FDD">
          <w:rPr>
            <w:noProof/>
            <w:webHidden/>
          </w:rPr>
          <w:fldChar w:fldCharType="end"/>
        </w:r>
      </w:hyperlink>
    </w:p>
    <w:p w14:paraId="2A41056F" w14:textId="670C8C1F" w:rsidR="00021FDD" w:rsidRDefault="00CB73FC">
      <w:pPr>
        <w:pStyle w:val="Obsah1"/>
        <w:tabs>
          <w:tab w:val="left" w:pos="482"/>
        </w:tabs>
        <w:rPr>
          <w:rFonts w:asciiTheme="minorHAnsi" w:eastAsiaTheme="minorEastAsia" w:hAnsiTheme="minorHAnsi" w:cstheme="minorBidi"/>
          <w:noProof/>
          <w:sz w:val="22"/>
          <w:lang w:eastAsia="cs-CZ"/>
        </w:rPr>
      </w:pPr>
      <w:hyperlink w:anchor="_Toc75952081" w:history="1">
        <w:r w:rsidR="00021FDD" w:rsidRPr="00896B32">
          <w:rPr>
            <w:rStyle w:val="Hypertextovodkaz"/>
            <w:noProof/>
          </w:rPr>
          <w:t>3</w:t>
        </w:r>
        <w:r w:rsidR="00021FDD">
          <w:rPr>
            <w:rFonts w:asciiTheme="minorHAnsi" w:eastAsiaTheme="minorEastAsia" w:hAnsiTheme="minorHAnsi" w:cstheme="minorBidi"/>
            <w:noProof/>
            <w:sz w:val="22"/>
            <w:lang w:eastAsia="cs-CZ"/>
          </w:rPr>
          <w:tab/>
        </w:r>
        <w:r w:rsidR="00021FDD" w:rsidRPr="00896B32">
          <w:rPr>
            <w:rStyle w:val="Hypertextovodkaz"/>
            <w:noProof/>
          </w:rPr>
          <w:t>Krajské soudy</w:t>
        </w:r>
        <w:r w:rsidR="00021FDD">
          <w:rPr>
            <w:noProof/>
            <w:webHidden/>
          </w:rPr>
          <w:tab/>
        </w:r>
        <w:r w:rsidR="00021FDD">
          <w:rPr>
            <w:noProof/>
            <w:webHidden/>
          </w:rPr>
          <w:fldChar w:fldCharType="begin"/>
        </w:r>
        <w:r w:rsidR="00021FDD">
          <w:rPr>
            <w:noProof/>
            <w:webHidden/>
          </w:rPr>
          <w:instrText xml:space="preserve"> PAGEREF _Toc75952081 \h </w:instrText>
        </w:r>
        <w:r w:rsidR="00021FDD">
          <w:rPr>
            <w:noProof/>
            <w:webHidden/>
          </w:rPr>
        </w:r>
        <w:r w:rsidR="00021FDD">
          <w:rPr>
            <w:noProof/>
            <w:webHidden/>
          </w:rPr>
          <w:fldChar w:fldCharType="separate"/>
        </w:r>
        <w:r w:rsidR="00021FDD">
          <w:rPr>
            <w:noProof/>
            <w:webHidden/>
          </w:rPr>
          <w:t>84</w:t>
        </w:r>
        <w:r w:rsidR="00021FDD">
          <w:rPr>
            <w:noProof/>
            <w:webHidden/>
          </w:rPr>
          <w:fldChar w:fldCharType="end"/>
        </w:r>
      </w:hyperlink>
    </w:p>
    <w:p w14:paraId="1B7A35CA" w14:textId="5CC1369B" w:rsidR="00021FDD" w:rsidRDefault="00CB73FC">
      <w:pPr>
        <w:pStyle w:val="Obsah2"/>
        <w:rPr>
          <w:rFonts w:asciiTheme="minorHAnsi" w:eastAsiaTheme="minorEastAsia" w:hAnsiTheme="minorHAnsi" w:cstheme="minorBidi"/>
          <w:sz w:val="22"/>
          <w:lang w:eastAsia="cs-CZ"/>
        </w:rPr>
      </w:pPr>
      <w:hyperlink w:anchor="_Toc75952082" w:history="1">
        <w:r w:rsidR="00021FDD" w:rsidRPr="00896B32">
          <w:rPr>
            <w:rStyle w:val="Hypertextovodkaz"/>
          </w:rPr>
          <w:t>3.1</w:t>
        </w:r>
        <w:r w:rsidR="00021FDD">
          <w:rPr>
            <w:rFonts w:asciiTheme="minorHAnsi" w:eastAsiaTheme="minorEastAsia" w:hAnsiTheme="minorHAnsi" w:cstheme="minorBidi"/>
            <w:sz w:val="22"/>
            <w:lang w:eastAsia="cs-CZ"/>
          </w:rPr>
          <w:tab/>
        </w:r>
        <w:r w:rsidR="00021FDD" w:rsidRPr="00896B32">
          <w:rPr>
            <w:rStyle w:val="Hypertextovodkaz"/>
          </w:rPr>
          <w:t>Personál</w:t>
        </w:r>
        <w:r w:rsidR="00021FDD">
          <w:rPr>
            <w:webHidden/>
          </w:rPr>
          <w:tab/>
        </w:r>
        <w:r w:rsidR="00021FDD">
          <w:rPr>
            <w:webHidden/>
          </w:rPr>
          <w:fldChar w:fldCharType="begin"/>
        </w:r>
        <w:r w:rsidR="00021FDD">
          <w:rPr>
            <w:webHidden/>
          </w:rPr>
          <w:instrText xml:space="preserve"> PAGEREF _Toc75952082 \h </w:instrText>
        </w:r>
        <w:r w:rsidR="00021FDD">
          <w:rPr>
            <w:webHidden/>
          </w:rPr>
        </w:r>
        <w:r w:rsidR="00021FDD">
          <w:rPr>
            <w:webHidden/>
          </w:rPr>
          <w:fldChar w:fldCharType="separate"/>
        </w:r>
        <w:r w:rsidR="00021FDD">
          <w:rPr>
            <w:webHidden/>
          </w:rPr>
          <w:t>84</w:t>
        </w:r>
        <w:r w:rsidR="00021FDD">
          <w:rPr>
            <w:webHidden/>
          </w:rPr>
          <w:fldChar w:fldCharType="end"/>
        </w:r>
      </w:hyperlink>
    </w:p>
    <w:p w14:paraId="3A6E3E48" w14:textId="26B79DAE" w:rsidR="00021FDD" w:rsidRDefault="00CB73FC">
      <w:pPr>
        <w:pStyle w:val="Obsah3"/>
        <w:rPr>
          <w:rFonts w:asciiTheme="minorHAnsi" w:eastAsiaTheme="minorEastAsia" w:hAnsiTheme="minorHAnsi" w:cstheme="minorBidi"/>
          <w:noProof/>
          <w:sz w:val="22"/>
          <w:lang w:eastAsia="cs-CZ"/>
        </w:rPr>
      </w:pPr>
      <w:hyperlink w:anchor="_Toc75952083" w:history="1">
        <w:r w:rsidR="00021FDD" w:rsidRPr="00896B32">
          <w:rPr>
            <w:rStyle w:val="Hypertextovodkaz"/>
            <w:noProof/>
          </w:rPr>
          <w:t>3.1.1</w:t>
        </w:r>
        <w:r w:rsidR="00021FDD">
          <w:rPr>
            <w:rFonts w:asciiTheme="minorHAnsi" w:eastAsiaTheme="minorEastAsia" w:hAnsiTheme="minorHAnsi" w:cstheme="minorBidi"/>
            <w:noProof/>
            <w:sz w:val="22"/>
            <w:lang w:eastAsia="cs-CZ"/>
          </w:rPr>
          <w:tab/>
        </w:r>
        <w:r w:rsidR="00021FDD" w:rsidRPr="00896B32">
          <w:rPr>
            <w:rStyle w:val="Hypertextovodkaz"/>
            <w:noProof/>
          </w:rPr>
          <w:t>Soudci</w:t>
        </w:r>
        <w:r w:rsidR="00021FDD">
          <w:rPr>
            <w:noProof/>
            <w:webHidden/>
          </w:rPr>
          <w:tab/>
        </w:r>
        <w:r w:rsidR="00021FDD">
          <w:rPr>
            <w:noProof/>
            <w:webHidden/>
          </w:rPr>
          <w:fldChar w:fldCharType="begin"/>
        </w:r>
        <w:r w:rsidR="00021FDD">
          <w:rPr>
            <w:noProof/>
            <w:webHidden/>
          </w:rPr>
          <w:instrText xml:space="preserve"> PAGEREF _Toc75952083 \h </w:instrText>
        </w:r>
        <w:r w:rsidR="00021FDD">
          <w:rPr>
            <w:noProof/>
            <w:webHidden/>
          </w:rPr>
        </w:r>
        <w:r w:rsidR="00021FDD">
          <w:rPr>
            <w:noProof/>
            <w:webHidden/>
          </w:rPr>
          <w:fldChar w:fldCharType="separate"/>
        </w:r>
        <w:r w:rsidR="00021FDD">
          <w:rPr>
            <w:noProof/>
            <w:webHidden/>
          </w:rPr>
          <w:t>84</w:t>
        </w:r>
        <w:r w:rsidR="00021FDD">
          <w:rPr>
            <w:noProof/>
            <w:webHidden/>
          </w:rPr>
          <w:fldChar w:fldCharType="end"/>
        </w:r>
      </w:hyperlink>
    </w:p>
    <w:p w14:paraId="325816F7" w14:textId="65BE757D" w:rsidR="00021FDD" w:rsidRDefault="00CB73FC">
      <w:pPr>
        <w:pStyle w:val="Obsah3"/>
        <w:rPr>
          <w:rFonts w:asciiTheme="minorHAnsi" w:eastAsiaTheme="minorEastAsia" w:hAnsiTheme="minorHAnsi" w:cstheme="minorBidi"/>
          <w:noProof/>
          <w:sz w:val="22"/>
          <w:lang w:eastAsia="cs-CZ"/>
        </w:rPr>
      </w:pPr>
      <w:hyperlink w:anchor="_Toc75952084" w:history="1">
        <w:r w:rsidR="00021FDD" w:rsidRPr="00896B32">
          <w:rPr>
            <w:rStyle w:val="Hypertextovodkaz"/>
            <w:noProof/>
          </w:rPr>
          <w:t>3.1.2</w:t>
        </w:r>
        <w:r w:rsidR="00021FDD">
          <w:rPr>
            <w:rFonts w:asciiTheme="minorHAnsi" w:eastAsiaTheme="minorEastAsia" w:hAnsiTheme="minorHAnsi" w:cstheme="minorBidi"/>
            <w:noProof/>
            <w:sz w:val="22"/>
            <w:lang w:eastAsia="cs-CZ"/>
          </w:rPr>
          <w:tab/>
        </w:r>
        <w:r w:rsidR="00021FDD" w:rsidRPr="00896B32">
          <w:rPr>
            <w:rStyle w:val="Hypertextovodkaz"/>
            <w:noProof/>
          </w:rPr>
          <w:t>Zaměstnanci ve výkonu a ve správě</w:t>
        </w:r>
        <w:r w:rsidR="00021FDD">
          <w:rPr>
            <w:noProof/>
            <w:webHidden/>
          </w:rPr>
          <w:tab/>
        </w:r>
        <w:r w:rsidR="00021FDD">
          <w:rPr>
            <w:noProof/>
            <w:webHidden/>
          </w:rPr>
          <w:fldChar w:fldCharType="begin"/>
        </w:r>
        <w:r w:rsidR="00021FDD">
          <w:rPr>
            <w:noProof/>
            <w:webHidden/>
          </w:rPr>
          <w:instrText xml:space="preserve"> PAGEREF _Toc75952084 \h </w:instrText>
        </w:r>
        <w:r w:rsidR="00021FDD">
          <w:rPr>
            <w:noProof/>
            <w:webHidden/>
          </w:rPr>
        </w:r>
        <w:r w:rsidR="00021FDD">
          <w:rPr>
            <w:noProof/>
            <w:webHidden/>
          </w:rPr>
          <w:fldChar w:fldCharType="separate"/>
        </w:r>
        <w:r w:rsidR="00021FDD">
          <w:rPr>
            <w:noProof/>
            <w:webHidden/>
          </w:rPr>
          <w:t>90</w:t>
        </w:r>
        <w:r w:rsidR="00021FDD">
          <w:rPr>
            <w:noProof/>
            <w:webHidden/>
          </w:rPr>
          <w:fldChar w:fldCharType="end"/>
        </w:r>
      </w:hyperlink>
    </w:p>
    <w:p w14:paraId="7875CE27" w14:textId="6AB6D208" w:rsidR="00021FDD" w:rsidRDefault="00CB73FC">
      <w:pPr>
        <w:pStyle w:val="Obsah3"/>
        <w:rPr>
          <w:rFonts w:asciiTheme="minorHAnsi" w:eastAsiaTheme="minorEastAsia" w:hAnsiTheme="minorHAnsi" w:cstheme="minorBidi"/>
          <w:noProof/>
          <w:sz w:val="22"/>
          <w:lang w:eastAsia="cs-CZ"/>
        </w:rPr>
      </w:pPr>
      <w:hyperlink w:anchor="_Toc75952085" w:history="1">
        <w:r w:rsidR="00021FDD" w:rsidRPr="00896B32">
          <w:rPr>
            <w:rStyle w:val="Hypertextovodkaz"/>
            <w:noProof/>
          </w:rPr>
          <w:t>3.1.3</w:t>
        </w:r>
        <w:r w:rsidR="00021FDD">
          <w:rPr>
            <w:rFonts w:asciiTheme="minorHAnsi" w:eastAsiaTheme="minorEastAsia" w:hAnsiTheme="minorHAnsi" w:cstheme="minorBidi"/>
            <w:noProof/>
            <w:sz w:val="22"/>
            <w:lang w:eastAsia="cs-CZ"/>
          </w:rPr>
          <w:tab/>
        </w:r>
        <w:r w:rsidR="00021FDD" w:rsidRPr="00896B32">
          <w:rPr>
            <w:rStyle w:val="Hypertextovodkaz"/>
            <w:noProof/>
          </w:rPr>
          <w:t>Přísedící soudu</w:t>
        </w:r>
        <w:r w:rsidR="00021FDD">
          <w:rPr>
            <w:noProof/>
            <w:webHidden/>
          </w:rPr>
          <w:tab/>
        </w:r>
        <w:r w:rsidR="00021FDD">
          <w:rPr>
            <w:noProof/>
            <w:webHidden/>
          </w:rPr>
          <w:fldChar w:fldCharType="begin"/>
        </w:r>
        <w:r w:rsidR="00021FDD">
          <w:rPr>
            <w:noProof/>
            <w:webHidden/>
          </w:rPr>
          <w:instrText xml:space="preserve"> PAGEREF _Toc75952085 \h </w:instrText>
        </w:r>
        <w:r w:rsidR="00021FDD">
          <w:rPr>
            <w:noProof/>
            <w:webHidden/>
          </w:rPr>
        </w:r>
        <w:r w:rsidR="00021FDD">
          <w:rPr>
            <w:noProof/>
            <w:webHidden/>
          </w:rPr>
          <w:fldChar w:fldCharType="separate"/>
        </w:r>
        <w:r w:rsidR="00021FDD">
          <w:rPr>
            <w:noProof/>
            <w:webHidden/>
          </w:rPr>
          <w:t>91</w:t>
        </w:r>
        <w:r w:rsidR="00021FDD">
          <w:rPr>
            <w:noProof/>
            <w:webHidden/>
          </w:rPr>
          <w:fldChar w:fldCharType="end"/>
        </w:r>
      </w:hyperlink>
    </w:p>
    <w:p w14:paraId="5A72B8DC" w14:textId="7947869C" w:rsidR="00021FDD" w:rsidRDefault="00CB73FC">
      <w:pPr>
        <w:pStyle w:val="Obsah2"/>
        <w:rPr>
          <w:rFonts w:asciiTheme="minorHAnsi" w:eastAsiaTheme="minorEastAsia" w:hAnsiTheme="minorHAnsi" w:cstheme="minorBidi"/>
          <w:sz w:val="22"/>
          <w:lang w:eastAsia="cs-CZ"/>
        </w:rPr>
      </w:pPr>
      <w:hyperlink w:anchor="_Toc75952086" w:history="1">
        <w:r w:rsidR="00021FDD" w:rsidRPr="00896B32">
          <w:rPr>
            <w:rStyle w:val="Hypertextovodkaz"/>
          </w:rPr>
          <w:t>3.2</w:t>
        </w:r>
        <w:r w:rsidR="00021FDD">
          <w:rPr>
            <w:rFonts w:asciiTheme="minorHAnsi" w:eastAsiaTheme="minorEastAsia" w:hAnsiTheme="minorHAnsi" w:cstheme="minorBidi"/>
            <w:sz w:val="22"/>
            <w:lang w:eastAsia="cs-CZ"/>
          </w:rPr>
          <w:tab/>
        </w:r>
        <w:r w:rsidR="00021FDD" w:rsidRPr="00896B32">
          <w:rPr>
            <w:rStyle w:val="Hypertextovodkaz"/>
          </w:rPr>
          <w:t>Prvostupňová civilní a obchodní agenda</w:t>
        </w:r>
        <w:r w:rsidR="00021FDD">
          <w:rPr>
            <w:webHidden/>
          </w:rPr>
          <w:tab/>
        </w:r>
        <w:r w:rsidR="00021FDD">
          <w:rPr>
            <w:webHidden/>
          </w:rPr>
          <w:fldChar w:fldCharType="begin"/>
        </w:r>
        <w:r w:rsidR="00021FDD">
          <w:rPr>
            <w:webHidden/>
          </w:rPr>
          <w:instrText xml:space="preserve"> PAGEREF _Toc75952086 \h </w:instrText>
        </w:r>
        <w:r w:rsidR="00021FDD">
          <w:rPr>
            <w:webHidden/>
          </w:rPr>
        </w:r>
        <w:r w:rsidR="00021FDD">
          <w:rPr>
            <w:webHidden/>
          </w:rPr>
          <w:fldChar w:fldCharType="separate"/>
        </w:r>
        <w:r w:rsidR="00021FDD">
          <w:rPr>
            <w:webHidden/>
          </w:rPr>
          <w:t>93</w:t>
        </w:r>
        <w:r w:rsidR="00021FDD">
          <w:rPr>
            <w:webHidden/>
          </w:rPr>
          <w:fldChar w:fldCharType="end"/>
        </w:r>
      </w:hyperlink>
    </w:p>
    <w:p w14:paraId="7E2AB226" w14:textId="2436EC40" w:rsidR="00021FDD" w:rsidRDefault="00CB73FC">
      <w:pPr>
        <w:pStyle w:val="Obsah3"/>
        <w:rPr>
          <w:rFonts w:asciiTheme="minorHAnsi" w:eastAsiaTheme="minorEastAsia" w:hAnsiTheme="minorHAnsi" w:cstheme="minorBidi"/>
          <w:noProof/>
          <w:sz w:val="22"/>
          <w:lang w:eastAsia="cs-CZ"/>
        </w:rPr>
      </w:pPr>
      <w:hyperlink w:anchor="_Toc75952087" w:history="1">
        <w:r w:rsidR="00021FDD" w:rsidRPr="00896B32">
          <w:rPr>
            <w:rStyle w:val="Hypertextovodkaz"/>
            <w:noProof/>
          </w:rPr>
          <w:t>3.2.1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_Toc75952087 \h </w:instrText>
        </w:r>
        <w:r w:rsidR="00021FDD">
          <w:rPr>
            <w:noProof/>
            <w:webHidden/>
          </w:rPr>
        </w:r>
        <w:r w:rsidR="00021FDD">
          <w:rPr>
            <w:noProof/>
            <w:webHidden/>
          </w:rPr>
          <w:fldChar w:fldCharType="separate"/>
        </w:r>
        <w:r w:rsidR="00021FDD">
          <w:rPr>
            <w:noProof/>
            <w:webHidden/>
          </w:rPr>
          <w:t>93</w:t>
        </w:r>
        <w:r w:rsidR="00021FDD">
          <w:rPr>
            <w:noProof/>
            <w:webHidden/>
          </w:rPr>
          <w:fldChar w:fldCharType="end"/>
        </w:r>
      </w:hyperlink>
    </w:p>
    <w:p w14:paraId="47016107" w14:textId="5879C7AF" w:rsidR="00021FDD" w:rsidRDefault="00CB73FC">
      <w:pPr>
        <w:pStyle w:val="Obsah3"/>
        <w:rPr>
          <w:rFonts w:asciiTheme="minorHAnsi" w:eastAsiaTheme="minorEastAsia" w:hAnsiTheme="minorHAnsi" w:cstheme="minorBidi"/>
          <w:noProof/>
          <w:sz w:val="22"/>
          <w:lang w:eastAsia="cs-CZ"/>
        </w:rPr>
      </w:pPr>
      <w:hyperlink w:anchor="_Toc75952088" w:history="1">
        <w:r w:rsidR="00021FDD" w:rsidRPr="00896B32">
          <w:rPr>
            <w:rStyle w:val="Hypertextovodkaz"/>
            <w:noProof/>
          </w:rPr>
          <w:t>3.2.2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_Toc75952088 \h </w:instrText>
        </w:r>
        <w:r w:rsidR="00021FDD">
          <w:rPr>
            <w:noProof/>
            <w:webHidden/>
          </w:rPr>
        </w:r>
        <w:r w:rsidR="00021FDD">
          <w:rPr>
            <w:noProof/>
            <w:webHidden/>
          </w:rPr>
          <w:fldChar w:fldCharType="separate"/>
        </w:r>
        <w:r w:rsidR="00021FDD">
          <w:rPr>
            <w:noProof/>
            <w:webHidden/>
          </w:rPr>
          <w:t>95</w:t>
        </w:r>
        <w:r w:rsidR="00021FDD">
          <w:rPr>
            <w:noProof/>
            <w:webHidden/>
          </w:rPr>
          <w:fldChar w:fldCharType="end"/>
        </w:r>
      </w:hyperlink>
    </w:p>
    <w:p w14:paraId="1AF421E3" w14:textId="180B1208" w:rsidR="00021FDD" w:rsidRDefault="00CB73FC">
      <w:pPr>
        <w:pStyle w:val="Obsah3"/>
        <w:rPr>
          <w:rFonts w:asciiTheme="minorHAnsi" w:eastAsiaTheme="minorEastAsia" w:hAnsiTheme="minorHAnsi" w:cstheme="minorBidi"/>
          <w:noProof/>
          <w:sz w:val="22"/>
          <w:lang w:eastAsia="cs-CZ"/>
        </w:rPr>
      </w:pPr>
      <w:hyperlink w:anchor="_Toc75952089" w:history="1">
        <w:r w:rsidR="00021FDD" w:rsidRPr="00896B32">
          <w:rPr>
            <w:rStyle w:val="Hypertextovodkaz"/>
            <w:noProof/>
          </w:rPr>
          <w:t>3.2.3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 přepočtu na soudce</w:t>
        </w:r>
        <w:r w:rsidR="00021FDD">
          <w:rPr>
            <w:noProof/>
            <w:webHidden/>
          </w:rPr>
          <w:tab/>
        </w:r>
        <w:r w:rsidR="00021FDD">
          <w:rPr>
            <w:noProof/>
            <w:webHidden/>
          </w:rPr>
          <w:fldChar w:fldCharType="begin"/>
        </w:r>
        <w:r w:rsidR="00021FDD">
          <w:rPr>
            <w:noProof/>
            <w:webHidden/>
          </w:rPr>
          <w:instrText xml:space="preserve"> PAGEREF _Toc75952089 \h </w:instrText>
        </w:r>
        <w:r w:rsidR="00021FDD">
          <w:rPr>
            <w:noProof/>
            <w:webHidden/>
          </w:rPr>
        </w:r>
        <w:r w:rsidR="00021FDD">
          <w:rPr>
            <w:noProof/>
            <w:webHidden/>
          </w:rPr>
          <w:fldChar w:fldCharType="separate"/>
        </w:r>
        <w:r w:rsidR="00021FDD">
          <w:rPr>
            <w:noProof/>
            <w:webHidden/>
          </w:rPr>
          <w:t>97</w:t>
        </w:r>
        <w:r w:rsidR="00021FDD">
          <w:rPr>
            <w:noProof/>
            <w:webHidden/>
          </w:rPr>
          <w:fldChar w:fldCharType="end"/>
        </w:r>
      </w:hyperlink>
    </w:p>
    <w:p w14:paraId="22C4BADD" w14:textId="09F486E4" w:rsidR="00021FDD" w:rsidRDefault="00CB73FC">
      <w:pPr>
        <w:pStyle w:val="Obsah3"/>
        <w:rPr>
          <w:rFonts w:asciiTheme="minorHAnsi" w:eastAsiaTheme="minorEastAsia" w:hAnsiTheme="minorHAnsi" w:cstheme="minorBidi"/>
          <w:noProof/>
          <w:sz w:val="22"/>
          <w:lang w:eastAsia="cs-CZ"/>
        </w:rPr>
      </w:pPr>
      <w:hyperlink w:anchor="_Toc75952090" w:history="1">
        <w:r w:rsidR="00021FDD" w:rsidRPr="00896B32">
          <w:rPr>
            <w:rStyle w:val="Hypertextovodkaz"/>
            <w:noProof/>
          </w:rPr>
          <w:t>3.2.4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_Toc75952090 \h </w:instrText>
        </w:r>
        <w:r w:rsidR="00021FDD">
          <w:rPr>
            <w:noProof/>
            <w:webHidden/>
          </w:rPr>
        </w:r>
        <w:r w:rsidR="00021FDD">
          <w:rPr>
            <w:noProof/>
            <w:webHidden/>
          </w:rPr>
          <w:fldChar w:fldCharType="separate"/>
        </w:r>
        <w:r w:rsidR="00021FDD">
          <w:rPr>
            <w:noProof/>
            <w:webHidden/>
          </w:rPr>
          <w:t>98</w:t>
        </w:r>
        <w:r w:rsidR="00021FDD">
          <w:rPr>
            <w:noProof/>
            <w:webHidden/>
          </w:rPr>
          <w:fldChar w:fldCharType="end"/>
        </w:r>
      </w:hyperlink>
    </w:p>
    <w:p w14:paraId="70416901" w14:textId="6346F414" w:rsidR="00021FDD" w:rsidRDefault="00CB73FC">
      <w:pPr>
        <w:pStyle w:val="Obsah3"/>
        <w:rPr>
          <w:rFonts w:asciiTheme="minorHAnsi" w:eastAsiaTheme="minorEastAsia" w:hAnsiTheme="minorHAnsi" w:cstheme="minorBidi"/>
          <w:noProof/>
          <w:sz w:val="22"/>
          <w:lang w:eastAsia="cs-CZ"/>
        </w:rPr>
      </w:pPr>
      <w:hyperlink w:anchor="_Toc75952091" w:history="1">
        <w:r w:rsidR="00021FDD" w:rsidRPr="00896B32">
          <w:rPr>
            <w:rStyle w:val="Hypertextovodkaz"/>
            <w:noProof/>
          </w:rPr>
          <w:t>3.2.5</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_Toc75952091 \h </w:instrText>
        </w:r>
        <w:r w:rsidR="00021FDD">
          <w:rPr>
            <w:noProof/>
            <w:webHidden/>
          </w:rPr>
        </w:r>
        <w:r w:rsidR="00021FDD">
          <w:rPr>
            <w:noProof/>
            <w:webHidden/>
          </w:rPr>
          <w:fldChar w:fldCharType="separate"/>
        </w:r>
        <w:r w:rsidR="00021FDD">
          <w:rPr>
            <w:noProof/>
            <w:webHidden/>
          </w:rPr>
          <w:t>100</w:t>
        </w:r>
        <w:r w:rsidR="00021FDD">
          <w:rPr>
            <w:noProof/>
            <w:webHidden/>
          </w:rPr>
          <w:fldChar w:fldCharType="end"/>
        </w:r>
      </w:hyperlink>
    </w:p>
    <w:p w14:paraId="18663876" w14:textId="6FCAAD73" w:rsidR="00021FDD" w:rsidRDefault="00CB73FC">
      <w:pPr>
        <w:pStyle w:val="Obsah2"/>
        <w:rPr>
          <w:rFonts w:asciiTheme="minorHAnsi" w:eastAsiaTheme="minorEastAsia" w:hAnsiTheme="minorHAnsi" w:cstheme="minorBidi"/>
          <w:sz w:val="22"/>
          <w:lang w:eastAsia="cs-CZ"/>
        </w:rPr>
      </w:pPr>
      <w:hyperlink w:anchor="_Toc75952092" w:history="1">
        <w:r w:rsidR="00021FDD" w:rsidRPr="00896B32">
          <w:rPr>
            <w:rStyle w:val="Hypertextovodkaz"/>
          </w:rPr>
          <w:t>3.3</w:t>
        </w:r>
        <w:r w:rsidR="00021FDD">
          <w:rPr>
            <w:rFonts w:asciiTheme="minorHAnsi" w:eastAsiaTheme="minorEastAsia" w:hAnsiTheme="minorHAnsi" w:cstheme="minorBidi"/>
            <w:sz w:val="22"/>
            <w:lang w:eastAsia="cs-CZ"/>
          </w:rPr>
          <w:tab/>
        </w:r>
        <w:r w:rsidR="00021FDD" w:rsidRPr="00896B32">
          <w:rPr>
            <w:rStyle w:val="Hypertextovodkaz"/>
          </w:rPr>
          <w:t>Civilní odvolací agenda</w:t>
        </w:r>
        <w:r w:rsidR="00021FDD">
          <w:rPr>
            <w:webHidden/>
          </w:rPr>
          <w:tab/>
        </w:r>
        <w:r w:rsidR="00021FDD">
          <w:rPr>
            <w:webHidden/>
          </w:rPr>
          <w:fldChar w:fldCharType="begin"/>
        </w:r>
        <w:r w:rsidR="00021FDD">
          <w:rPr>
            <w:webHidden/>
          </w:rPr>
          <w:instrText xml:space="preserve"> PAGEREF _Toc75952092 \h </w:instrText>
        </w:r>
        <w:r w:rsidR="00021FDD">
          <w:rPr>
            <w:webHidden/>
          </w:rPr>
        </w:r>
        <w:r w:rsidR="00021FDD">
          <w:rPr>
            <w:webHidden/>
          </w:rPr>
          <w:fldChar w:fldCharType="separate"/>
        </w:r>
        <w:r w:rsidR="00021FDD">
          <w:rPr>
            <w:webHidden/>
          </w:rPr>
          <w:t>103</w:t>
        </w:r>
        <w:r w:rsidR="00021FDD">
          <w:rPr>
            <w:webHidden/>
          </w:rPr>
          <w:fldChar w:fldCharType="end"/>
        </w:r>
      </w:hyperlink>
    </w:p>
    <w:p w14:paraId="2490CC54" w14:textId="1D128EB9" w:rsidR="00021FDD" w:rsidRDefault="00CB73FC">
      <w:pPr>
        <w:pStyle w:val="Obsah3"/>
        <w:rPr>
          <w:rFonts w:asciiTheme="minorHAnsi" w:eastAsiaTheme="minorEastAsia" w:hAnsiTheme="minorHAnsi" w:cstheme="minorBidi"/>
          <w:noProof/>
          <w:sz w:val="22"/>
          <w:lang w:eastAsia="cs-CZ"/>
        </w:rPr>
      </w:pPr>
      <w:hyperlink w:anchor="_Toc75952093" w:history="1">
        <w:r w:rsidR="00021FDD" w:rsidRPr="00896B32">
          <w:rPr>
            <w:rStyle w:val="Hypertextovodkaz"/>
            <w:noProof/>
          </w:rPr>
          <w:t>3.3.1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_Toc75952093 \h </w:instrText>
        </w:r>
        <w:r w:rsidR="00021FDD">
          <w:rPr>
            <w:noProof/>
            <w:webHidden/>
          </w:rPr>
        </w:r>
        <w:r w:rsidR="00021FDD">
          <w:rPr>
            <w:noProof/>
            <w:webHidden/>
          </w:rPr>
          <w:fldChar w:fldCharType="separate"/>
        </w:r>
        <w:r w:rsidR="00021FDD">
          <w:rPr>
            <w:noProof/>
            <w:webHidden/>
          </w:rPr>
          <w:t>103</w:t>
        </w:r>
        <w:r w:rsidR="00021FDD">
          <w:rPr>
            <w:noProof/>
            <w:webHidden/>
          </w:rPr>
          <w:fldChar w:fldCharType="end"/>
        </w:r>
      </w:hyperlink>
    </w:p>
    <w:p w14:paraId="61FB749A" w14:textId="132DD151" w:rsidR="00021FDD" w:rsidRDefault="00CB73FC">
      <w:pPr>
        <w:pStyle w:val="Obsah3"/>
        <w:rPr>
          <w:rFonts w:asciiTheme="minorHAnsi" w:eastAsiaTheme="minorEastAsia" w:hAnsiTheme="minorHAnsi" w:cstheme="minorBidi"/>
          <w:noProof/>
          <w:sz w:val="22"/>
          <w:lang w:eastAsia="cs-CZ"/>
        </w:rPr>
      </w:pPr>
      <w:hyperlink w:anchor="_Toc75952094" w:history="1">
        <w:r w:rsidR="00021FDD" w:rsidRPr="00896B32">
          <w:rPr>
            <w:rStyle w:val="Hypertextovodkaz"/>
            <w:noProof/>
          </w:rPr>
          <w:t>3.3.2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_Toc75952094 \h </w:instrText>
        </w:r>
        <w:r w:rsidR="00021FDD">
          <w:rPr>
            <w:noProof/>
            <w:webHidden/>
          </w:rPr>
        </w:r>
        <w:r w:rsidR="00021FDD">
          <w:rPr>
            <w:noProof/>
            <w:webHidden/>
          </w:rPr>
          <w:fldChar w:fldCharType="separate"/>
        </w:r>
        <w:r w:rsidR="00021FDD">
          <w:rPr>
            <w:noProof/>
            <w:webHidden/>
          </w:rPr>
          <w:t>105</w:t>
        </w:r>
        <w:r w:rsidR="00021FDD">
          <w:rPr>
            <w:noProof/>
            <w:webHidden/>
          </w:rPr>
          <w:fldChar w:fldCharType="end"/>
        </w:r>
      </w:hyperlink>
    </w:p>
    <w:p w14:paraId="06B519BB" w14:textId="0827D654" w:rsidR="00021FDD" w:rsidRDefault="00CB73FC">
      <w:pPr>
        <w:pStyle w:val="Obsah3"/>
        <w:rPr>
          <w:rFonts w:asciiTheme="minorHAnsi" w:eastAsiaTheme="minorEastAsia" w:hAnsiTheme="minorHAnsi" w:cstheme="minorBidi"/>
          <w:noProof/>
          <w:sz w:val="22"/>
          <w:lang w:eastAsia="cs-CZ"/>
        </w:rPr>
      </w:pPr>
      <w:hyperlink w:anchor="_Toc75952095" w:history="1">
        <w:r w:rsidR="00021FDD" w:rsidRPr="00896B32">
          <w:rPr>
            <w:rStyle w:val="Hypertextovodkaz"/>
            <w:noProof/>
          </w:rPr>
          <w:t>3.3.3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_Toc75952095 \h </w:instrText>
        </w:r>
        <w:r w:rsidR="00021FDD">
          <w:rPr>
            <w:noProof/>
            <w:webHidden/>
          </w:rPr>
        </w:r>
        <w:r w:rsidR="00021FDD">
          <w:rPr>
            <w:noProof/>
            <w:webHidden/>
          </w:rPr>
          <w:fldChar w:fldCharType="separate"/>
        </w:r>
        <w:r w:rsidR="00021FDD">
          <w:rPr>
            <w:noProof/>
            <w:webHidden/>
          </w:rPr>
          <w:t>106</w:t>
        </w:r>
        <w:r w:rsidR="00021FDD">
          <w:rPr>
            <w:noProof/>
            <w:webHidden/>
          </w:rPr>
          <w:fldChar w:fldCharType="end"/>
        </w:r>
      </w:hyperlink>
    </w:p>
    <w:p w14:paraId="6CA8CFFB" w14:textId="654D1347" w:rsidR="00021FDD" w:rsidRDefault="00CB73FC">
      <w:pPr>
        <w:pStyle w:val="Obsah3"/>
        <w:rPr>
          <w:rFonts w:asciiTheme="minorHAnsi" w:eastAsiaTheme="minorEastAsia" w:hAnsiTheme="minorHAnsi" w:cstheme="minorBidi"/>
          <w:noProof/>
          <w:sz w:val="22"/>
          <w:lang w:eastAsia="cs-CZ"/>
        </w:rPr>
      </w:pPr>
      <w:hyperlink w:anchor="_Toc75952096" w:history="1">
        <w:r w:rsidR="00021FDD" w:rsidRPr="00896B32">
          <w:rPr>
            <w:rStyle w:val="Hypertextovodkaz"/>
            <w:noProof/>
          </w:rPr>
          <w:t>3.3.4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_Toc75952096 \h </w:instrText>
        </w:r>
        <w:r w:rsidR="00021FDD">
          <w:rPr>
            <w:noProof/>
            <w:webHidden/>
          </w:rPr>
        </w:r>
        <w:r w:rsidR="00021FDD">
          <w:rPr>
            <w:noProof/>
            <w:webHidden/>
          </w:rPr>
          <w:fldChar w:fldCharType="separate"/>
        </w:r>
        <w:r w:rsidR="00021FDD">
          <w:rPr>
            <w:noProof/>
            <w:webHidden/>
          </w:rPr>
          <w:t>107</w:t>
        </w:r>
        <w:r w:rsidR="00021FDD">
          <w:rPr>
            <w:noProof/>
            <w:webHidden/>
          </w:rPr>
          <w:fldChar w:fldCharType="end"/>
        </w:r>
      </w:hyperlink>
    </w:p>
    <w:p w14:paraId="233FC11A" w14:textId="376FD6A1" w:rsidR="00021FDD" w:rsidRDefault="00CB73FC">
      <w:pPr>
        <w:pStyle w:val="Obsah2"/>
        <w:rPr>
          <w:rFonts w:asciiTheme="minorHAnsi" w:eastAsiaTheme="minorEastAsia" w:hAnsiTheme="minorHAnsi" w:cstheme="minorBidi"/>
          <w:sz w:val="22"/>
          <w:lang w:eastAsia="cs-CZ"/>
        </w:rPr>
      </w:pPr>
      <w:hyperlink w:anchor="_Toc75952097" w:history="1">
        <w:r w:rsidR="00021FDD" w:rsidRPr="00896B32">
          <w:rPr>
            <w:rStyle w:val="Hypertextovodkaz"/>
          </w:rPr>
          <w:t>3.4</w:t>
        </w:r>
        <w:r w:rsidR="00021FDD">
          <w:rPr>
            <w:rFonts w:asciiTheme="minorHAnsi" w:eastAsiaTheme="minorEastAsia" w:hAnsiTheme="minorHAnsi" w:cstheme="minorBidi"/>
            <w:sz w:val="22"/>
            <w:lang w:eastAsia="cs-CZ"/>
          </w:rPr>
          <w:tab/>
        </w:r>
        <w:r w:rsidR="00021FDD" w:rsidRPr="00896B32">
          <w:rPr>
            <w:rStyle w:val="Hypertextovodkaz"/>
          </w:rPr>
          <w:t>Trestní prvostupňová agenda</w:t>
        </w:r>
        <w:r w:rsidR="00021FDD">
          <w:rPr>
            <w:webHidden/>
          </w:rPr>
          <w:tab/>
        </w:r>
        <w:r w:rsidR="00021FDD">
          <w:rPr>
            <w:webHidden/>
          </w:rPr>
          <w:fldChar w:fldCharType="begin"/>
        </w:r>
        <w:r w:rsidR="00021FDD">
          <w:rPr>
            <w:webHidden/>
          </w:rPr>
          <w:instrText xml:space="preserve"> PAGEREF _Toc75952097 \h </w:instrText>
        </w:r>
        <w:r w:rsidR="00021FDD">
          <w:rPr>
            <w:webHidden/>
          </w:rPr>
        </w:r>
        <w:r w:rsidR="00021FDD">
          <w:rPr>
            <w:webHidden/>
          </w:rPr>
          <w:fldChar w:fldCharType="separate"/>
        </w:r>
        <w:r w:rsidR="00021FDD">
          <w:rPr>
            <w:webHidden/>
          </w:rPr>
          <w:t>109</w:t>
        </w:r>
        <w:r w:rsidR="00021FDD">
          <w:rPr>
            <w:webHidden/>
          </w:rPr>
          <w:fldChar w:fldCharType="end"/>
        </w:r>
      </w:hyperlink>
    </w:p>
    <w:p w14:paraId="5FDFD218" w14:textId="28920BF3" w:rsidR="00021FDD" w:rsidRDefault="00CB73FC">
      <w:pPr>
        <w:pStyle w:val="Obsah3"/>
        <w:rPr>
          <w:rFonts w:asciiTheme="minorHAnsi" w:eastAsiaTheme="minorEastAsia" w:hAnsiTheme="minorHAnsi" w:cstheme="minorBidi"/>
          <w:noProof/>
          <w:sz w:val="22"/>
          <w:lang w:eastAsia="cs-CZ"/>
        </w:rPr>
      </w:pPr>
      <w:hyperlink w:anchor="_Toc75952098" w:history="1">
        <w:r w:rsidR="00021FDD" w:rsidRPr="00896B32">
          <w:rPr>
            <w:rStyle w:val="Hypertextovodkaz"/>
            <w:noProof/>
          </w:rPr>
          <w:t>3.4.1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_Toc75952098 \h </w:instrText>
        </w:r>
        <w:r w:rsidR="00021FDD">
          <w:rPr>
            <w:noProof/>
            <w:webHidden/>
          </w:rPr>
        </w:r>
        <w:r w:rsidR="00021FDD">
          <w:rPr>
            <w:noProof/>
            <w:webHidden/>
          </w:rPr>
          <w:fldChar w:fldCharType="separate"/>
        </w:r>
        <w:r w:rsidR="00021FDD">
          <w:rPr>
            <w:noProof/>
            <w:webHidden/>
          </w:rPr>
          <w:t>109</w:t>
        </w:r>
        <w:r w:rsidR="00021FDD">
          <w:rPr>
            <w:noProof/>
            <w:webHidden/>
          </w:rPr>
          <w:fldChar w:fldCharType="end"/>
        </w:r>
      </w:hyperlink>
    </w:p>
    <w:p w14:paraId="288BBFC8" w14:textId="2BB3638C" w:rsidR="00021FDD" w:rsidRDefault="00CB73FC">
      <w:pPr>
        <w:pStyle w:val="Obsah3"/>
        <w:rPr>
          <w:rFonts w:asciiTheme="minorHAnsi" w:eastAsiaTheme="minorEastAsia" w:hAnsiTheme="minorHAnsi" w:cstheme="minorBidi"/>
          <w:noProof/>
          <w:sz w:val="22"/>
          <w:lang w:eastAsia="cs-CZ"/>
        </w:rPr>
      </w:pPr>
      <w:hyperlink w:anchor="_Toc75952099" w:history="1">
        <w:r w:rsidR="00021FDD" w:rsidRPr="00896B32">
          <w:rPr>
            <w:rStyle w:val="Hypertextovodkaz"/>
            <w:noProof/>
          </w:rPr>
          <w:t>3.4.2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_Toc75952099 \h </w:instrText>
        </w:r>
        <w:r w:rsidR="00021FDD">
          <w:rPr>
            <w:noProof/>
            <w:webHidden/>
          </w:rPr>
        </w:r>
        <w:r w:rsidR="00021FDD">
          <w:rPr>
            <w:noProof/>
            <w:webHidden/>
          </w:rPr>
          <w:fldChar w:fldCharType="separate"/>
        </w:r>
        <w:r w:rsidR="00021FDD">
          <w:rPr>
            <w:noProof/>
            <w:webHidden/>
          </w:rPr>
          <w:t>110</w:t>
        </w:r>
        <w:r w:rsidR="00021FDD">
          <w:rPr>
            <w:noProof/>
            <w:webHidden/>
          </w:rPr>
          <w:fldChar w:fldCharType="end"/>
        </w:r>
      </w:hyperlink>
    </w:p>
    <w:p w14:paraId="14492610" w14:textId="4B2ECFF7" w:rsidR="00021FDD" w:rsidRDefault="00CB73FC">
      <w:pPr>
        <w:pStyle w:val="Obsah3"/>
        <w:rPr>
          <w:rFonts w:asciiTheme="minorHAnsi" w:eastAsiaTheme="minorEastAsia" w:hAnsiTheme="minorHAnsi" w:cstheme="minorBidi"/>
          <w:noProof/>
          <w:sz w:val="22"/>
          <w:lang w:eastAsia="cs-CZ"/>
        </w:rPr>
      </w:pPr>
      <w:hyperlink w:anchor="_Toc75952100" w:history="1">
        <w:r w:rsidR="00021FDD" w:rsidRPr="00896B32">
          <w:rPr>
            <w:rStyle w:val="Hypertextovodkaz"/>
            <w:noProof/>
          </w:rPr>
          <w:t>3.4.3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 přepočtu na soudce</w:t>
        </w:r>
        <w:r w:rsidR="00021FDD">
          <w:rPr>
            <w:noProof/>
            <w:webHidden/>
          </w:rPr>
          <w:tab/>
        </w:r>
        <w:r w:rsidR="00021FDD">
          <w:rPr>
            <w:noProof/>
            <w:webHidden/>
          </w:rPr>
          <w:fldChar w:fldCharType="begin"/>
        </w:r>
        <w:r w:rsidR="00021FDD">
          <w:rPr>
            <w:noProof/>
            <w:webHidden/>
          </w:rPr>
          <w:instrText xml:space="preserve"> PAGEREF _Toc75952100 \h </w:instrText>
        </w:r>
        <w:r w:rsidR="00021FDD">
          <w:rPr>
            <w:noProof/>
            <w:webHidden/>
          </w:rPr>
        </w:r>
        <w:r w:rsidR="00021FDD">
          <w:rPr>
            <w:noProof/>
            <w:webHidden/>
          </w:rPr>
          <w:fldChar w:fldCharType="separate"/>
        </w:r>
        <w:r w:rsidR="00021FDD">
          <w:rPr>
            <w:noProof/>
            <w:webHidden/>
          </w:rPr>
          <w:t>112</w:t>
        </w:r>
        <w:r w:rsidR="00021FDD">
          <w:rPr>
            <w:noProof/>
            <w:webHidden/>
          </w:rPr>
          <w:fldChar w:fldCharType="end"/>
        </w:r>
      </w:hyperlink>
    </w:p>
    <w:p w14:paraId="5545F573" w14:textId="1B6300D6" w:rsidR="00021FDD" w:rsidRDefault="00CB73FC">
      <w:pPr>
        <w:pStyle w:val="Obsah3"/>
        <w:rPr>
          <w:rFonts w:asciiTheme="minorHAnsi" w:eastAsiaTheme="minorEastAsia" w:hAnsiTheme="minorHAnsi" w:cstheme="minorBidi"/>
          <w:noProof/>
          <w:sz w:val="22"/>
          <w:lang w:eastAsia="cs-CZ"/>
        </w:rPr>
      </w:pPr>
      <w:hyperlink w:anchor="_Toc75952101" w:history="1">
        <w:r w:rsidR="00021FDD" w:rsidRPr="00896B32">
          <w:rPr>
            <w:rStyle w:val="Hypertextovodkaz"/>
            <w:noProof/>
          </w:rPr>
          <w:t>3.4.4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_Toc75952101 \h </w:instrText>
        </w:r>
        <w:r w:rsidR="00021FDD">
          <w:rPr>
            <w:noProof/>
            <w:webHidden/>
          </w:rPr>
        </w:r>
        <w:r w:rsidR="00021FDD">
          <w:rPr>
            <w:noProof/>
            <w:webHidden/>
          </w:rPr>
          <w:fldChar w:fldCharType="separate"/>
        </w:r>
        <w:r w:rsidR="00021FDD">
          <w:rPr>
            <w:noProof/>
            <w:webHidden/>
          </w:rPr>
          <w:t>112</w:t>
        </w:r>
        <w:r w:rsidR="00021FDD">
          <w:rPr>
            <w:noProof/>
            <w:webHidden/>
          </w:rPr>
          <w:fldChar w:fldCharType="end"/>
        </w:r>
      </w:hyperlink>
    </w:p>
    <w:p w14:paraId="77E61B1C" w14:textId="367BF5D6" w:rsidR="00021FDD" w:rsidRDefault="00CB73FC">
      <w:pPr>
        <w:pStyle w:val="Obsah3"/>
        <w:rPr>
          <w:rFonts w:asciiTheme="minorHAnsi" w:eastAsiaTheme="minorEastAsia" w:hAnsiTheme="minorHAnsi" w:cstheme="minorBidi"/>
          <w:noProof/>
          <w:sz w:val="22"/>
          <w:lang w:eastAsia="cs-CZ"/>
        </w:rPr>
      </w:pPr>
      <w:hyperlink w:anchor="_Toc75952102" w:history="1">
        <w:r w:rsidR="00021FDD" w:rsidRPr="00896B32">
          <w:rPr>
            <w:rStyle w:val="Hypertextovodkaz"/>
            <w:noProof/>
          </w:rPr>
          <w:t>3.4.5</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_Toc75952102 \h </w:instrText>
        </w:r>
        <w:r w:rsidR="00021FDD">
          <w:rPr>
            <w:noProof/>
            <w:webHidden/>
          </w:rPr>
        </w:r>
        <w:r w:rsidR="00021FDD">
          <w:rPr>
            <w:noProof/>
            <w:webHidden/>
          </w:rPr>
          <w:fldChar w:fldCharType="separate"/>
        </w:r>
        <w:r w:rsidR="00021FDD">
          <w:rPr>
            <w:noProof/>
            <w:webHidden/>
          </w:rPr>
          <w:t>114</w:t>
        </w:r>
        <w:r w:rsidR="00021FDD">
          <w:rPr>
            <w:noProof/>
            <w:webHidden/>
          </w:rPr>
          <w:fldChar w:fldCharType="end"/>
        </w:r>
      </w:hyperlink>
    </w:p>
    <w:p w14:paraId="51AAF54F" w14:textId="1D1449B2" w:rsidR="00021FDD" w:rsidRDefault="00CB73FC">
      <w:pPr>
        <w:pStyle w:val="Obsah2"/>
        <w:rPr>
          <w:rFonts w:asciiTheme="minorHAnsi" w:eastAsiaTheme="minorEastAsia" w:hAnsiTheme="minorHAnsi" w:cstheme="minorBidi"/>
          <w:sz w:val="22"/>
          <w:lang w:eastAsia="cs-CZ"/>
        </w:rPr>
      </w:pPr>
      <w:hyperlink w:anchor="_Toc75952103" w:history="1">
        <w:r w:rsidR="00021FDD" w:rsidRPr="00896B32">
          <w:rPr>
            <w:rStyle w:val="Hypertextovodkaz"/>
          </w:rPr>
          <w:t>3.5</w:t>
        </w:r>
        <w:r w:rsidR="00021FDD">
          <w:rPr>
            <w:rFonts w:asciiTheme="minorHAnsi" w:eastAsiaTheme="minorEastAsia" w:hAnsiTheme="minorHAnsi" w:cstheme="minorBidi"/>
            <w:sz w:val="22"/>
            <w:lang w:eastAsia="cs-CZ"/>
          </w:rPr>
          <w:tab/>
        </w:r>
        <w:r w:rsidR="00021FDD" w:rsidRPr="00896B32">
          <w:rPr>
            <w:rStyle w:val="Hypertextovodkaz"/>
          </w:rPr>
          <w:t>Trestní odvolací agenda</w:t>
        </w:r>
        <w:r w:rsidR="00021FDD">
          <w:rPr>
            <w:webHidden/>
          </w:rPr>
          <w:tab/>
        </w:r>
        <w:r w:rsidR="00021FDD">
          <w:rPr>
            <w:webHidden/>
          </w:rPr>
          <w:fldChar w:fldCharType="begin"/>
        </w:r>
        <w:r w:rsidR="00021FDD">
          <w:rPr>
            <w:webHidden/>
          </w:rPr>
          <w:instrText xml:space="preserve"> PAGEREF _Toc75952103 \h </w:instrText>
        </w:r>
        <w:r w:rsidR="00021FDD">
          <w:rPr>
            <w:webHidden/>
          </w:rPr>
        </w:r>
        <w:r w:rsidR="00021FDD">
          <w:rPr>
            <w:webHidden/>
          </w:rPr>
          <w:fldChar w:fldCharType="separate"/>
        </w:r>
        <w:r w:rsidR="00021FDD">
          <w:rPr>
            <w:webHidden/>
          </w:rPr>
          <w:t>116</w:t>
        </w:r>
        <w:r w:rsidR="00021FDD">
          <w:rPr>
            <w:webHidden/>
          </w:rPr>
          <w:fldChar w:fldCharType="end"/>
        </w:r>
      </w:hyperlink>
    </w:p>
    <w:p w14:paraId="2691C685" w14:textId="71094F00" w:rsidR="00021FDD" w:rsidRDefault="00CB73FC">
      <w:pPr>
        <w:pStyle w:val="Obsah3"/>
        <w:rPr>
          <w:rFonts w:asciiTheme="minorHAnsi" w:eastAsiaTheme="minorEastAsia" w:hAnsiTheme="minorHAnsi" w:cstheme="minorBidi"/>
          <w:noProof/>
          <w:sz w:val="22"/>
          <w:lang w:eastAsia="cs-CZ"/>
        </w:rPr>
      </w:pPr>
      <w:hyperlink w:anchor="_Toc75952104" w:history="1">
        <w:r w:rsidR="00021FDD" w:rsidRPr="00896B32">
          <w:rPr>
            <w:rStyle w:val="Hypertextovodkaz"/>
            <w:noProof/>
          </w:rPr>
          <w:t>3.5.1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_Toc75952104 \h </w:instrText>
        </w:r>
        <w:r w:rsidR="00021FDD">
          <w:rPr>
            <w:noProof/>
            <w:webHidden/>
          </w:rPr>
        </w:r>
        <w:r w:rsidR="00021FDD">
          <w:rPr>
            <w:noProof/>
            <w:webHidden/>
          </w:rPr>
          <w:fldChar w:fldCharType="separate"/>
        </w:r>
        <w:r w:rsidR="00021FDD">
          <w:rPr>
            <w:noProof/>
            <w:webHidden/>
          </w:rPr>
          <w:t>116</w:t>
        </w:r>
        <w:r w:rsidR="00021FDD">
          <w:rPr>
            <w:noProof/>
            <w:webHidden/>
          </w:rPr>
          <w:fldChar w:fldCharType="end"/>
        </w:r>
      </w:hyperlink>
    </w:p>
    <w:p w14:paraId="4179A898" w14:textId="02EFDC1A" w:rsidR="00021FDD" w:rsidRDefault="00CB73FC">
      <w:pPr>
        <w:pStyle w:val="Obsah3"/>
        <w:rPr>
          <w:rFonts w:asciiTheme="minorHAnsi" w:eastAsiaTheme="minorEastAsia" w:hAnsiTheme="minorHAnsi" w:cstheme="minorBidi"/>
          <w:noProof/>
          <w:sz w:val="22"/>
          <w:lang w:eastAsia="cs-CZ"/>
        </w:rPr>
      </w:pPr>
      <w:hyperlink w:anchor="_Toc75952105" w:history="1">
        <w:r w:rsidR="00021FDD" w:rsidRPr="00896B32">
          <w:rPr>
            <w:rStyle w:val="Hypertextovodkaz"/>
            <w:noProof/>
          </w:rPr>
          <w:t>3.5.2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_Toc75952105 \h </w:instrText>
        </w:r>
        <w:r w:rsidR="00021FDD">
          <w:rPr>
            <w:noProof/>
            <w:webHidden/>
          </w:rPr>
        </w:r>
        <w:r w:rsidR="00021FDD">
          <w:rPr>
            <w:noProof/>
            <w:webHidden/>
          </w:rPr>
          <w:fldChar w:fldCharType="separate"/>
        </w:r>
        <w:r w:rsidR="00021FDD">
          <w:rPr>
            <w:noProof/>
            <w:webHidden/>
          </w:rPr>
          <w:t>118</w:t>
        </w:r>
        <w:r w:rsidR="00021FDD">
          <w:rPr>
            <w:noProof/>
            <w:webHidden/>
          </w:rPr>
          <w:fldChar w:fldCharType="end"/>
        </w:r>
      </w:hyperlink>
    </w:p>
    <w:p w14:paraId="7345A59C" w14:textId="4E0CD80E" w:rsidR="00021FDD" w:rsidRDefault="00CB73FC">
      <w:pPr>
        <w:pStyle w:val="Obsah3"/>
        <w:rPr>
          <w:rFonts w:asciiTheme="minorHAnsi" w:eastAsiaTheme="minorEastAsia" w:hAnsiTheme="minorHAnsi" w:cstheme="minorBidi"/>
          <w:noProof/>
          <w:sz w:val="22"/>
          <w:lang w:eastAsia="cs-CZ"/>
        </w:rPr>
      </w:pPr>
      <w:hyperlink w:anchor="_Toc75952106" w:history="1">
        <w:r w:rsidR="00021FDD" w:rsidRPr="00896B32">
          <w:rPr>
            <w:rStyle w:val="Hypertextovodkaz"/>
            <w:noProof/>
          </w:rPr>
          <w:t>3.5.3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 přepočtu na soudce</w:t>
        </w:r>
        <w:r w:rsidR="00021FDD">
          <w:rPr>
            <w:noProof/>
            <w:webHidden/>
          </w:rPr>
          <w:tab/>
        </w:r>
        <w:r w:rsidR="00021FDD">
          <w:rPr>
            <w:noProof/>
            <w:webHidden/>
          </w:rPr>
          <w:fldChar w:fldCharType="begin"/>
        </w:r>
        <w:r w:rsidR="00021FDD">
          <w:rPr>
            <w:noProof/>
            <w:webHidden/>
          </w:rPr>
          <w:instrText xml:space="preserve"> PAGEREF _Toc75952106 \h </w:instrText>
        </w:r>
        <w:r w:rsidR="00021FDD">
          <w:rPr>
            <w:noProof/>
            <w:webHidden/>
          </w:rPr>
        </w:r>
        <w:r w:rsidR="00021FDD">
          <w:rPr>
            <w:noProof/>
            <w:webHidden/>
          </w:rPr>
          <w:fldChar w:fldCharType="separate"/>
        </w:r>
        <w:r w:rsidR="00021FDD">
          <w:rPr>
            <w:noProof/>
            <w:webHidden/>
          </w:rPr>
          <w:t>119</w:t>
        </w:r>
        <w:r w:rsidR="00021FDD">
          <w:rPr>
            <w:noProof/>
            <w:webHidden/>
          </w:rPr>
          <w:fldChar w:fldCharType="end"/>
        </w:r>
      </w:hyperlink>
    </w:p>
    <w:p w14:paraId="51EF3C12" w14:textId="21067FED" w:rsidR="00021FDD" w:rsidRDefault="00CB73FC">
      <w:pPr>
        <w:pStyle w:val="Obsah3"/>
        <w:rPr>
          <w:rFonts w:asciiTheme="minorHAnsi" w:eastAsiaTheme="minorEastAsia" w:hAnsiTheme="minorHAnsi" w:cstheme="minorBidi"/>
          <w:noProof/>
          <w:sz w:val="22"/>
          <w:lang w:eastAsia="cs-CZ"/>
        </w:rPr>
      </w:pPr>
      <w:hyperlink w:anchor="_Toc75952107" w:history="1">
        <w:r w:rsidR="00021FDD" w:rsidRPr="00896B32">
          <w:rPr>
            <w:rStyle w:val="Hypertextovodkaz"/>
            <w:noProof/>
          </w:rPr>
          <w:t>3.5.4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_Toc75952107 \h </w:instrText>
        </w:r>
        <w:r w:rsidR="00021FDD">
          <w:rPr>
            <w:noProof/>
            <w:webHidden/>
          </w:rPr>
        </w:r>
        <w:r w:rsidR="00021FDD">
          <w:rPr>
            <w:noProof/>
            <w:webHidden/>
          </w:rPr>
          <w:fldChar w:fldCharType="separate"/>
        </w:r>
        <w:r w:rsidR="00021FDD">
          <w:rPr>
            <w:noProof/>
            <w:webHidden/>
          </w:rPr>
          <w:t>120</w:t>
        </w:r>
        <w:r w:rsidR="00021FDD">
          <w:rPr>
            <w:noProof/>
            <w:webHidden/>
          </w:rPr>
          <w:fldChar w:fldCharType="end"/>
        </w:r>
      </w:hyperlink>
    </w:p>
    <w:p w14:paraId="61E055AE" w14:textId="1921A482" w:rsidR="00021FDD" w:rsidRDefault="00CB73FC">
      <w:pPr>
        <w:pStyle w:val="Obsah2"/>
        <w:rPr>
          <w:rFonts w:asciiTheme="minorHAnsi" w:eastAsiaTheme="minorEastAsia" w:hAnsiTheme="minorHAnsi" w:cstheme="minorBidi"/>
          <w:sz w:val="22"/>
          <w:lang w:eastAsia="cs-CZ"/>
        </w:rPr>
      </w:pPr>
      <w:hyperlink w:anchor="_Toc75952108" w:history="1">
        <w:r w:rsidR="00021FDD" w:rsidRPr="00896B32">
          <w:rPr>
            <w:rStyle w:val="Hypertextovodkaz"/>
          </w:rPr>
          <w:t>3.6</w:t>
        </w:r>
        <w:r w:rsidR="00021FDD">
          <w:rPr>
            <w:rFonts w:asciiTheme="minorHAnsi" w:eastAsiaTheme="minorEastAsia" w:hAnsiTheme="minorHAnsi" w:cstheme="minorBidi"/>
            <w:sz w:val="22"/>
            <w:lang w:eastAsia="cs-CZ"/>
          </w:rPr>
          <w:tab/>
        </w:r>
        <w:r w:rsidR="00021FDD" w:rsidRPr="00896B32">
          <w:rPr>
            <w:rStyle w:val="Hypertextovodkaz"/>
          </w:rPr>
          <w:t>Správní agenda</w:t>
        </w:r>
        <w:r w:rsidR="00021FDD">
          <w:rPr>
            <w:webHidden/>
          </w:rPr>
          <w:tab/>
        </w:r>
        <w:r w:rsidR="00021FDD">
          <w:rPr>
            <w:webHidden/>
          </w:rPr>
          <w:fldChar w:fldCharType="begin"/>
        </w:r>
        <w:r w:rsidR="00021FDD">
          <w:rPr>
            <w:webHidden/>
          </w:rPr>
          <w:instrText xml:space="preserve"> PAGEREF _Toc75952108 \h </w:instrText>
        </w:r>
        <w:r w:rsidR="00021FDD">
          <w:rPr>
            <w:webHidden/>
          </w:rPr>
        </w:r>
        <w:r w:rsidR="00021FDD">
          <w:rPr>
            <w:webHidden/>
          </w:rPr>
          <w:fldChar w:fldCharType="separate"/>
        </w:r>
        <w:r w:rsidR="00021FDD">
          <w:rPr>
            <w:webHidden/>
          </w:rPr>
          <w:t>122</w:t>
        </w:r>
        <w:r w:rsidR="00021FDD">
          <w:rPr>
            <w:webHidden/>
          </w:rPr>
          <w:fldChar w:fldCharType="end"/>
        </w:r>
      </w:hyperlink>
    </w:p>
    <w:p w14:paraId="7643D790" w14:textId="79D60A5E" w:rsidR="00021FDD" w:rsidRDefault="00CB73FC">
      <w:pPr>
        <w:pStyle w:val="Obsah3"/>
        <w:rPr>
          <w:rFonts w:asciiTheme="minorHAnsi" w:eastAsiaTheme="minorEastAsia" w:hAnsiTheme="minorHAnsi" w:cstheme="minorBidi"/>
          <w:noProof/>
          <w:sz w:val="22"/>
          <w:lang w:eastAsia="cs-CZ"/>
        </w:rPr>
      </w:pPr>
      <w:hyperlink w:anchor="_Toc75952109" w:history="1">
        <w:r w:rsidR="00021FDD" w:rsidRPr="00896B32">
          <w:rPr>
            <w:rStyle w:val="Hypertextovodkaz"/>
            <w:noProof/>
          </w:rPr>
          <w:t>3.6.1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_Toc75952109 \h </w:instrText>
        </w:r>
        <w:r w:rsidR="00021FDD">
          <w:rPr>
            <w:noProof/>
            <w:webHidden/>
          </w:rPr>
        </w:r>
        <w:r w:rsidR="00021FDD">
          <w:rPr>
            <w:noProof/>
            <w:webHidden/>
          </w:rPr>
          <w:fldChar w:fldCharType="separate"/>
        </w:r>
        <w:r w:rsidR="00021FDD">
          <w:rPr>
            <w:noProof/>
            <w:webHidden/>
          </w:rPr>
          <w:t>122</w:t>
        </w:r>
        <w:r w:rsidR="00021FDD">
          <w:rPr>
            <w:noProof/>
            <w:webHidden/>
          </w:rPr>
          <w:fldChar w:fldCharType="end"/>
        </w:r>
      </w:hyperlink>
    </w:p>
    <w:p w14:paraId="23B1A9F9" w14:textId="1AF83F55" w:rsidR="00021FDD" w:rsidRDefault="00CB73FC">
      <w:pPr>
        <w:pStyle w:val="Obsah3"/>
        <w:rPr>
          <w:rFonts w:asciiTheme="minorHAnsi" w:eastAsiaTheme="minorEastAsia" w:hAnsiTheme="minorHAnsi" w:cstheme="minorBidi"/>
          <w:noProof/>
          <w:sz w:val="22"/>
          <w:lang w:eastAsia="cs-CZ"/>
        </w:rPr>
      </w:pPr>
      <w:hyperlink w:anchor="_Toc75952110" w:history="1">
        <w:r w:rsidR="00021FDD" w:rsidRPr="00896B32">
          <w:rPr>
            <w:rStyle w:val="Hypertextovodkaz"/>
            <w:noProof/>
          </w:rPr>
          <w:t>3.6.2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_Toc75952110 \h </w:instrText>
        </w:r>
        <w:r w:rsidR="00021FDD">
          <w:rPr>
            <w:noProof/>
            <w:webHidden/>
          </w:rPr>
        </w:r>
        <w:r w:rsidR="00021FDD">
          <w:rPr>
            <w:noProof/>
            <w:webHidden/>
          </w:rPr>
          <w:fldChar w:fldCharType="separate"/>
        </w:r>
        <w:r w:rsidR="00021FDD">
          <w:rPr>
            <w:noProof/>
            <w:webHidden/>
          </w:rPr>
          <w:t>124</w:t>
        </w:r>
        <w:r w:rsidR="00021FDD">
          <w:rPr>
            <w:noProof/>
            <w:webHidden/>
          </w:rPr>
          <w:fldChar w:fldCharType="end"/>
        </w:r>
      </w:hyperlink>
    </w:p>
    <w:p w14:paraId="71D27644" w14:textId="7CBC2ED2" w:rsidR="00021FDD" w:rsidRDefault="00CB73FC">
      <w:pPr>
        <w:pStyle w:val="Obsah3"/>
        <w:rPr>
          <w:rFonts w:asciiTheme="minorHAnsi" w:eastAsiaTheme="minorEastAsia" w:hAnsiTheme="minorHAnsi" w:cstheme="minorBidi"/>
          <w:noProof/>
          <w:sz w:val="22"/>
          <w:lang w:eastAsia="cs-CZ"/>
        </w:rPr>
      </w:pPr>
      <w:hyperlink w:anchor="_Toc75952111" w:history="1">
        <w:r w:rsidR="00021FDD" w:rsidRPr="00896B32">
          <w:rPr>
            <w:rStyle w:val="Hypertextovodkaz"/>
            <w:noProof/>
          </w:rPr>
          <w:t>3.6.3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_Toc75952111 \h </w:instrText>
        </w:r>
        <w:r w:rsidR="00021FDD">
          <w:rPr>
            <w:noProof/>
            <w:webHidden/>
          </w:rPr>
        </w:r>
        <w:r w:rsidR="00021FDD">
          <w:rPr>
            <w:noProof/>
            <w:webHidden/>
          </w:rPr>
          <w:fldChar w:fldCharType="separate"/>
        </w:r>
        <w:r w:rsidR="00021FDD">
          <w:rPr>
            <w:noProof/>
            <w:webHidden/>
          </w:rPr>
          <w:t>127</w:t>
        </w:r>
        <w:r w:rsidR="00021FDD">
          <w:rPr>
            <w:noProof/>
            <w:webHidden/>
          </w:rPr>
          <w:fldChar w:fldCharType="end"/>
        </w:r>
      </w:hyperlink>
    </w:p>
    <w:p w14:paraId="3210137A" w14:textId="7DFCA67D" w:rsidR="00021FDD" w:rsidRDefault="00CB73FC">
      <w:pPr>
        <w:pStyle w:val="Obsah3"/>
        <w:rPr>
          <w:rFonts w:asciiTheme="minorHAnsi" w:eastAsiaTheme="minorEastAsia" w:hAnsiTheme="minorHAnsi" w:cstheme="minorBidi"/>
          <w:noProof/>
          <w:sz w:val="22"/>
          <w:lang w:eastAsia="cs-CZ"/>
        </w:rPr>
      </w:pPr>
      <w:hyperlink w:anchor="_Toc75952112" w:history="1">
        <w:r w:rsidR="00021FDD" w:rsidRPr="00896B32">
          <w:rPr>
            <w:rStyle w:val="Hypertextovodkaz"/>
            <w:noProof/>
          </w:rPr>
          <w:t>3.6.4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_Toc75952112 \h </w:instrText>
        </w:r>
        <w:r w:rsidR="00021FDD">
          <w:rPr>
            <w:noProof/>
            <w:webHidden/>
          </w:rPr>
        </w:r>
        <w:r w:rsidR="00021FDD">
          <w:rPr>
            <w:noProof/>
            <w:webHidden/>
          </w:rPr>
          <w:fldChar w:fldCharType="separate"/>
        </w:r>
        <w:r w:rsidR="00021FDD">
          <w:rPr>
            <w:noProof/>
            <w:webHidden/>
          </w:rPr>
          <w:t>128</w:t>
        </w:r>
        <w:r w:rsidR="00021FDD">
          <w:rPr>
            <w:noProof/>
            <w:webHidden/>
          </w:rPr>
          <w:fldChar w:fldCharType="end"/>
        </w:r>
      </w:hyperlink>
    </w:p>
    <w:p w14:paraId="2DC80411" w14:textId="15AADCF6" w:rsidR="00021FDD" w:rsidRDefault="00CB73FC">
      <w:pPr>
        <w:pStyle w:val="Obsah2"/>
        <w:rPr>
          <w:rFonts w:asciiTheme="minorHAnsi" w:eastAsiaTheme="minorEastAsia" w:hAnsiTheme="minorHAnsi" w:cstheme="minorBidi"/>
          <w:sz w:val="22"/>
          <w:lang w:eastAsia="cs-CZ"/>
        </w:rPr>
      </w:pPr>
      <w:hyperlink w:anchor="_Toc75952113" w:history="1">
        <w:r w:rsidR="00021FDD" w:rsidRPr="00896B32">
          <w:rPr>
            <w:rStyle w:val="Hypertextovodkaz"/>
          </w:rPr>
          <w:t>3.7</w:t>
        </w:r>
        <w:r w:rsidR="00021FDD">
          <w:rPr>
            <w:rFonts w:asciiTheme="minorHAnsi" w:eastAsiaTheme="minorEastAsia" w:hAnsiTheme="minorHAnsi" w:cstheme="minorBidi"/>
            <w:sz w:val="22"/>
            <w:lang w:eastAsia="cs-CZ"/>
          </w:rPr>
          <w:tab/>
        </w:r>
        <w:r w:rsidR="00021FDD" w:rsidRPr="00896B32">
          <w:rPr>
            <w:rStyle w:val="Hypertextovodkaz"/>
          </w:rPr>
          <w:t>Insolvenční agenda</w:t>
        </w:r>
        <w:r w:rsidR="00021FDD">
          <w:rPr>
            <w:webHidden/>
          </w:rPr>
          <w:tab/>
        </w:r>
        <w:r w:rsidR="00021FDD">
          <w:rPr>
            <w:webHidden/>
          </w:rPr>
          <w:fldChar w:fldCharType="begin"/>
        </w:r>
        <w:r w:rsidR="00021FDD">
          <w:rPr>
            <w:webHidden/>
          </w:rPr>
          <w:instrText xml:space="preserve"> PAGEREF _Toc75952113 \h </w:instrText>
        </w:r>
        <w:r w:rsidR="00021FDD">
          <w:rPr>
            <w:webHidden/>
          </w:rPr>
        </w:r>
        <w:r w:rsidR="00021FDD">
          <w:rPr>
            <w:webHidden/>
          </w:rPr>
          <w:fldChar w:fldCharType="separate"/>
        </w:r>
        <w:r w:rsidR="00021FDD">
          <w:rPr>
            <w:webHidden/>
          </w:rPr>
          <w:t>130</w:t>
        </w:r>
        <w:r w:rsidR="00021FDD">
          <w:rPr>
            <w:webHidden/>
          </w:rPr>
          <w:fldChar w:fldCharType="end"/>
        </w:r>
      </w:hyperlink>
    </w:p>
    <w:p w14:paraId="6D50C45C" w14:textId="02BD90F9" w:rsidR="00021FDD" w:rsidRDefault="00CB73FC">
      <w:pPr>
        <w:pStyle w:val="Obsah3"/>
        <w:rPr>
          <w:rFonts w:asciiTheme="minorHAnsi" w:eastAsiaTheme="minorEastAsia" w:hAnsiTheme="minorHAnsi" w:cstheme="minorBidi"/>
          <w:noProof/>
          <w:sz w:val="22"/>
          <w:lang w:eastAsia="cs-CZ"/>
        </w:rPr>
      </w:pPr>
      <w:hyperlink w:anchor="_Toc75952114" w:history="1">
        <w:r w:rsidR="00021FDD" w:rsidRPr="00896B32">
          <w:rPr>
            <w:rStyle w:val="Hypertextovodkaz"/>
            <w:noProof/>
          </w:rPr>
          <w:t>3.7.1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_Toc75952114 \h </w:instrText>
        </w:r>
        <w:r w:rsidR="00021FDD">
          <w:rPr>
            <w:noProof/>
            <w:webHidden/>
          </w:rPr>
        </w:r>
        <w:r w:rsidR="00021FDD">
          <w:rPr>
            <w:noProof/>
            <w:webHidden/>
          </w:rPr>
          <w:fldChar w:fldCharType="separate"/>
        </w:r>
        <w:r w:rsidR="00021FDD">
          <w:rPr>
            <w:noProof/>
            <w:webHidden/>
          </w:rPr>
          <w:t>130</w:t>
        </w:r>
        <w:r w:rsidR="00021FDD">
          <w:rPr>
            <w:noProof/>
            <w:webHidden/>
          </w:rPr>
          <w:fldChar w:fldCharType="end"/>
        </w:r>
      </w:hyperlink>
    </w:p>
    <w:p w14:paraId="4E89E280" w14:textId="5753881F" w:rsidR="00021FDD" w:rsidRDefault="00CB73FC">
      <w:pPr>
        <w:pStyle w:val="Obsah3"/>
        <w:rPr>
          <w:rFonts w:asciiTheme="minorHAnsi" w:eastAsiaTheme="minorEastAsia" w:hAnsiTheme="minorHAnsi" w:cstheme="minorBidi"/>
          <w:noProof/>
          <w:sz w:val="22"/>
          <w:lang w:eastAsia="cs-CZ"/>
        </w:rPr>
      </w:pPr>
      <w:hyperlink w:anchor="_Toc75952115" w:history="1">
        <w:r w:rsidR="00021FDD" w:rsidRPr="00896B32">
          <w:rPr>
            <w:rStyle w:val="Hypertextovodkaz"/>
            <w:noProof/>
          </w:rPr>
          <w:t>3.7.2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_Toc75952115 \h </w:instrText>
        </w:r>
        <w:r w:rsidR="00021FDD">
          <w:rPr>
            <w:noProof/>
            <w:webHidden/>
          </w:rPr>
        </w:r>
        <w:r w:rsidR="00021FDD">
          <w:rPr>
            <w:noProof/>
            <w:webHidden/>
          </w:rPr>
          <w:fldChar w:fldCharType="separate"/>
        </w:r>
        <w:r w:rsidR="00021FDD">
          <w:rPr>
            <w:noProof/>
            <w:webHidden/>
          </w:rPr>
          <w:t>135</w:t>
        </w:r>
        <w:r w:rsidR="00021FDD">
          <w:rPr>
            <w:noProof/>
            <w:webHidden/>
          </w:rPr>
          <w:fldChar w:fldCharType="end"/>
        </w:r>
      </w:hyperlink>
    </w:p>
    <w:p w14:paraId="1AC323B1" w14:textId="1DC2C6EB" w:rsidR="00021FDD" w:rsidRDefault="00CB73FC">
      <w:pPr>
        <w:pStyle w:val="Obsah3"/>
        <w:rPr>
          <w:rFonts w:asciiTheme="minorHAnsi" w:eastAsiaTheme="minorEastAsia" w:hAnsiTheme="minorHAnsi" w:cstheme="minorBidi"/>
          <w:noProof/>
          <w:sz w:val="22"/>
          <w:lang w:eastAsia="cs-CZ"/>
        </w:rPr>
      </w:pPr>
      <w:hyperlink w:anchor="_Toc75952116" w:history="1">
        <w:r w:rsidR="00021FDD" w:rsidRPr="00896B32">
          <w:rPr>
            <w:rStyle w:val="Hypertextovodkaz"/>
            <w:noProof/>
          </w:rPr>
          <w:t>3.7.3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_Toc75952116 \h </w:instrText>
        </w:r>
        <w:r w:rsidR="00021FDD">
          <w:rPr>
            <w:noProof/>
            <w:webHidden/>
          </w:rPr>
        </w:r>
        <w:r w:rsidR="00021FDD">
          <w:rPr>
            <w:noProof/>
            <w:webHidden/>
          </w:rPr>
          <w:fldChar w:fldCharType="separate"/>
        </w:r>
        <w:r w:rsidR="00021FDD">
          <w:rPr>
            <w:noProof/>
            <w:webHidden/>
          </w:rPr>
          <w:t>137</w:t>
        </w:r>
        <w:r w:rsidR="00021FDD">
          <w:rPr>
            <w:noProof/>
            <w:webHidden/>
          </w:rPr>
          <w:fldChar w:fldCharType="end"/>
        </w:r>
      </w:hyperlink>
    </w:p>
    <w:p w14:paraId="4B3CF2F3" w14:textId="4057CC3E" w:rsidR="00021FDD" w:rsidRDefault="00CB73FC">
      <w:pPr>
        <w:pStyle w:val="Obsah3"/>
        <w:rPr>
          <w:rFonts w:asciiTheme="minorHAnsi" w:eastAsiaTheme="minorEastAsia" w:hAnsiTheme="minorHAnsi" w:cstheme="minorBidi"/>
          <w:noProof/>
          <w:sz w:val="22"/>
          <w:lang w:eastAsia="cs-CZ"/>
        </w:rPr>
      </w:pPr>
      <w:hyperlink w:anchor="_Toc75952117" w:history="1">
        <w:r w:rsidR="00021FDD" w:rsidRPr="00896B32">
          <w:rPr>
            <w:rStyle w:val="Hypertextovodkaz"/>
            <w:noProof/>
          </w:rPr>
          <w:t>3.7.4</w:t>
        </w:r>
        <w:r w:rsidR="00021FDD">
          <w:rPr>
            <w:rFonts w:asciiTheme="minorHAnsi" w:eastAsiaTheme="minorEastAsia" w:hAnsiTheme="minorHAnsi" w:cstheme="minorBidi"/>
            <w:noProof/>
            <w:sz w:val="22"/>
            <w:lang w:eastAsia="cs-CZ"/>
          </w:rPr>
          <w:tab/>
        </w:r>
        <w:r w:rsidR="00021FDD" w:rsidRPr="00896B32">
          <w:rPr>
            <w:rStyle w:val="Hypertextovodkaz"/>
            <w:noProof/>
          </w:rPr>
          <w:t>Další statistiky</w:t>
        </w:r>
        <w:r w:rsidR="00021FDD">
          <w:rPr>
            <w:noProof/>
            <w:webHidden/>
          </w:rPr>
          <w:tab/>
        </w:r>
        <w:r w:rsidR="00021FDD">
          <w:rPr>
            <w:noProof/>
            <w:webHidden/>
          </w:rPr>
          <w:fldChar w:fldCharType="begin"/>
        </w:r>
        <w:r w:rsidR="00021FDD">
          <w:rPr>
            <w:noProof/>
            <w:webHidden/>
          </w:rPr>
          <w:instrText xml:space="preserve"> PAGEREF _Toc75952117 \h </w:instrText>
        </w:r>
        <w:r w:rsidR="00021FDD">
          <w:rPr>
            <w:noProof/>
            <w:webHidden/>
          </w:rPr>
        </w:r>
        <w:r w:rsidR="00021FDD">
          <w:rPr>
            <w:noProof/>
            <w:webHidden/>
          </w:rPr>
          <w:fldChar w:fldCharType="separate"/>
        </w:r>
        <w:r w:rsidR="00021FDD">
          <w:rPr>
            <w:noProof/>
            <w:webHidden/>
          </w:rPr>
          <w:t>138</w:t>
        </w:r>
        <w:r w:rsidR="00021FDD">
          <w:rPr>
            <w:noProof/>
            <w:webHidden/>
          </w:rPr>
          <w:fldChar w:fldCharType="end"/>
        </w:r>
      </w:hyperlink>
    </w:p>
    <w:p w14:paraId="7C413036" w14:textId="1C09DD58" w:rsidR="00021FDD" w:rsidRDefault="00CB73FC">
      <w:pPr>
        <w:pStyle w:val="Obsah2"/>
        <w:rPr>
          <w:rFonts w:asciiTheme="minorHAnsi" w:eastAsiaTheme="minorEastAsia" w:hAnsiTheme="minorHAnsi" w:cstheme="minorBidi"/>
          <w:sz w:val="22"/>
          <w:lang w:eastAsia="cs-CZ"/>
        </w:rPr>
      </w:pPr>
      <w:hyperlink w:anchor="_Toc75952118" w:history="1">
        <w:r w:rsidR="00021FDD" w:rsidRPr="00896B32">
          <w:rPr>
            <w:rStyle w:val="Hypertextovodkaz"/>
          </w:rPr>
          <w:t>3.8</w:t>
        </w:r>
        <w:r w:rsidR="00021FDD">
          <w:rPr>
            <w:rFonts w:asciiTheme="minorHAnsi" w:eastAsiaTheme="minorEastAsia" w:hAnsiTheme="minorHAnsi" w:cstheme="minorBidi"/>
            <w:sz w:val="22"/>
            <w:lang w:eastAsia="cs-CZ"/>
          </w:rPr>
          <w:tab/>
        </w:r>
        <w:r w:rsidR="00021FDD" w:rsidRPr="00896B32">
          <w:rPr>
            <w:rStyle w:val="Hypertextovodkaz"/>
          </w:rPr>
          <w:t>Incidenční spory</w:t>
        </w:r>
        <w:r w:rsidR="00021FDD">
          <w:rPr>
            <w:webHidden/>
          </w:rPr>
          <w:tab/>
        </w:r>
        <w:r w:rsidR="00021FDD">
          <w:rPr>
            <w:webHidden/>
          </w:rPr>
          <w:fldChar w:fldCharType="begin"/>
        </w:r>
        <w:r w:rsidR="00021FDD">
          <w:rPr>
            <w:webHidden/>
          </w:rPr>
          <w:instrText xml:space="preserve"> PAGEREF _Toc75952118 \h </w:instrText>
        </w:r>
        <w:r w:rsidR="00021FDD">
          <w:rPr>
            <w:webHidden/>
          </w:rPr>
        </w:r>
        <w:r w:rsidR="00021FDD">
          <w:rPr>
            <w:webHidden/>
          </w:rPr>
          <w:fldChar w:fldCharType="separate"/>
        </w:r>
        <w:r w:rsidR="00021FDD">
          <w:rPr>
            <w:webHidden/>
          </w:rPr>
          <w:t>139</w:t>
        </w:r>
        <w:r w:rsidR="00021FDD">
          <w:rPr>
            <w:webHidden/>
          </w:rPr>
          <w:fldChar w:fldCharType="end"/>
        </w:r>
      </w:hyperlink>
    </w:p>
    <w:p w14:paraId="6BE382F2" w14:textId="1C203D37" w:rsidR="00021FDD" w:rsidRDefault="00CB73FC">
      <w:pPr>
        <w:pStyle w:val="Obsah3"/>
        <w:rPr>
          <w:rFonts w:asciiTheme="minorHAnsi" w:eastAsiaTheme="minorEastAsia" w:hAnsiTheme="minorHAnsi" w:cstheme="minorBidi"/>
          <w:noProof/>
          <w:sz w:val="22"/>
          <w:lang w:eastAsia="cs-CZ"/>
        </w:rPr>
      </w:pPr>
      <w:hyperlink w:anchor="_Toc75952119" w:history="1">
        <w:r w:rsidR="00021FDD" w:rsidRPr="00896B32">
          <w:rPr>
            <w:rStyle w:val="Hypertextovodkaz"/>
            <w:noProof/>
          </w:rPr>
          <w:t>3.8.1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_Toc75952119 \h </w:instrText>
        </w:r>
        <w:r w:rsidR="00021FDD">
          <w:rPr>
            <w:noProof/>
            <w:webHidden/>
          </w:rPr>
        </w:r>
        <w:r w:rsidR="00021FDD">
          <w:rPr>
            <w:noProof/>
            <w:webHidden/>
          </w:rPr>
          <w:fldChar w:fldCharType="separate"/>
        </w:r>
        <w:r w:rsidR="00021FDD">
          <w:rPr>
            <w:noProof/>
            <w:webHidden/>
          </w:rPr>
          <w:t>139</w:t>
        </w:r>
        <w:r w:rsidR="00021FDD">
          <w:rPr>
            <w:noProof/>
            <w:webHidden/>
          </w:rPr>
          <w:fldChar w:fldCharType="end"/>
        </w:r>
      </w:hyperlink>
    </w:p>
    <w:p w14:paraId="12237D85" w14:textId="67D0C2A8" w:rsidR="00021FDD" w:rsidRDefault="00CB73FC">
      <w:pPr>
        <w:pStyle w:val="Obsah3"/>
        <w:rPr>
          <w:rFonts w:asciiTheme="minorHAnsi" w:eastAsiaTheme="minorEastAsia" w:hAnsiTheme="minorHAnsi" w:cstheme="minorBidi"/>
          <w:noProof/>
          <w:sz w:val="22"/>
          <w:lang w:eastAsia="cs-CZ"/>
        </w:rPr>
      </w:pPr>
      <w:hyperlink w:anchor="_Toc75952120" w:history="1">
        <w:r w:rsidR="00021FDD" w:rsidRPr="00896B32">
          <w:rPr>
            <w:rStyle w:val="Hypertextovodkaz"/>
            <w:noProof/>
          </w:rPr>
          <w:t>3.8.2</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_Toc75952120 \h </w:instrText>
        </w:r>
        <w:r w:rsidR="00021FDD">
          <w:rPr>
            <w:noProof/>
            <w:webHidden/>
          </w:rPr>
        </w:r>
        <w:r w:rsidR="00021FDD">
          <w:rPr>
            <w:noProof/>
            <w:webHidden/>
          </w:rPr>
          <w:fldChar w:fldCharType="separate"/>
        </w:r>
        <w:r w:rsidR="00021FDD">
          <w:rPr>
            <w:noProof/>
            <w:webHidden/>
          </w:rPr>
          <w:t>141</w:t>
        </w:r>
        <w:r w:rsidR="00021FDD">
          <w:rPr>
            <w:noProof/>
            <w:webHidden/>
          </w:rPr>
          <w:fldChar w:fldCharType="end"/>
        </w:r>
      </w:hyperlink>
    </w:p>
    <w:p w14:paraId="769317AD" w14:textId="0363F943" w:rsidR="00021FDD" w:rsidRDefault="00CB73FC">
      <w:pPr>
        <w:pStyle w:val="Obsah3"/>
        <w:rPr>
          <w:rFonts w:asciiTheme="minorHAnsi" w:eastAsiaTheme="minorEastAsia" w:hAnsiTheme="minorHAnsi" w:cstheme="minorBidi"/>
          <w:noProof/>
          <w:sz w:val="22"/>
          <w:lang w:eastAsia="cs-CZ"/>
        </w:rPr>
      </w:pPr>
      <w:hyperlink w:anchor="_Toc75952121" w:history="1">
        <w:r w:rsidR="00021FDD" w:rsidRPr="00896B32">
          <w:rPr>
            <w:rStyle w:val="Hypertextovodkaz"/>
            <w:noProof/>
          </w:rPr>
          <w:t>3.8.3</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_Toc75952121 \h </w:instrText>
        </w:r>
        <w:r w:rsidR="00021FDD">
          <w:rPr>
            <w:noProof/>
            <w:webHidden/>
          </w:rPr>
        </w:r>
        <w:r w:rsidR="00021FDD">
          <w:rPr>
            <w:noProof/>
            <w:webHidden/>
          </w:rPr>
          <w:fldChar w:fldCharType="separate"/>
        </w:r>
        <w:r w:rsidR="00021FDD">
          <w:rPr>
            <w:noProof/>
            <w:webHidden/>
          </w:rPr>
          <w:t>142</w:t>
        </w:r>
        <w:r w:rsidR="00021FDD">
          <w:rPr>
            <w:noProof/>
            <w:webHidden/>
          </w:rPr>
          <w:fldChar w:fldCharType="end"/>
        </w:r>
      </w:hyperlink>
    </w:p>
    <w:p w14:paraId="0400492E" w14:textId="664C438B" w:rsidR="00021FDD" w:rsidRDefault="00CB73FC">
      <w:pPr>
        <w:pStyle w:val="Obsah3"/>
        <w:rPr>
          <w:rFonts w:asciiTheme="minorHAnsi" w:eastAsiaTheme="minorEastAsia" w:hAnsiTheme="minorHAnsi" w:cstheme="minorBidi"/>
          <w:noProof/>
          <w:sz w:val="22"/>
          <w:lang w:eastAsia="cs-CZ"/>
        </w:rPr>
      </w:pPr>
      <w:hyperlink w:anchor="_Toc75952122" w:history="1">
        <w:r w:rsidR="00021FDD" w:rsidRPr="00896B32">
          <w:rPr>
            <w:rStyle w:val="Hypertextovodkaz"/>
            <w:noProof/>
          </w:rPr>
          <w:t>3.8.4</w:t>
        </w:r>
        <w:r w:rsidR="00021FDD">
          <w:rPr>
            <w:rFonts w:asciiTheme="minorHAnsi" w:eastAsiaTheme="minorEastAsia" w:hAnsiTheme="minorHAnsi" w:cstheme="minorBidi"/>
            <w:noProof/>
            <w:sz w:val="22"/>
            <w:lang w:eastAsia="cs-CZ"/>
          </w:rPr>
          <w:tab/>
        </w:r>
        <w:r w:rsidR="00021FDD" w:rsidRPr="00896B32">
          <w:rPr>
            <w:rStyle w:val="Hypertextovodkaz"/>
            <w:noProof/>
          </w:rPr>
          <w:t>Disposition time (dispoziční čas)</w:t>
        </w:r>
        <w:r w:rsidR="00021FDD">
          <w:rPr>
            <w:noProof/>
            <w:webHidden/>
          </w:rPr>
          <w:tab/>
        </w:r>
        <w:r w:rsidR="00021FDD">
          <w:rPr>
            <w:noProof/>
            <w:webHidden/>
          </w:rPr>
          <w:fldChar w:fldCharType="begin"/>
        </w:r>
        <w:r w:rsidR="00021FDD">
          <w:rPr>
            <w:noProof/>
            <w:webHidden/>
          </w:rPr>
          <w:instrText xml:space="preserve"> PAGEREF _Toc75952122 \h </w:instrText>
        </w:r>
        <w:r w:rsidR="00021FDD">
          <w:rPr>
            <w:noProof/>
            <w:webHidden/>
          </w:rPr>
        </w:r>
        <w:r w:rsidR="00021FDD">
          <w:rPr>
            <w:noProof/>
            <w:webHidden/>
          </w:rPr>
          <w:fldChar w:fldCharType="separate"/>
        </w:r>
        <w:r w:rsidR="00021FDD">
          <w:rPr>
            <w:noProof/>
            <w:webHidden/>
          </w:rPr>
          <w:t>143</w:t>
        </w:r>
        <w:r w:rsidR="00021FDD">
          <w:rPr>
            <w:noProof/>
            <w:webHidden/>
          </w:rPr>
          <w:fldChar w:fldCharType="end"/>
        </w:r>
      </w:hyperlink>
    </w:p>
    <w:p w14:paraId="1A040A9B" w14:textId="31ACC704" w:rsidR="00021FDD" w:rsidRDefault="00CB73FC">
      <w:pPr>
        <w:pStyle w:val="Obsah1"/>
        <w:tabs>
          <w:tab w:val="left" w:pos="482"/>
        </w:tabs>
        <w:rPr>
          <w:rFonts w:asciiTheme="minorHAnsi" w:eastAsiaTheme="minorEastAsia" w:hAnsiTheme="minorHAnsi" w:cstheme="minorBidi"/>
          <w:noProof/>
          <w:sz w:val="22"/>
          <w:lang w:eastAsia="cs-CZ"/>
        </w:rPr>
      </w:pPr>
      <w:hyperlink w:anchor="_Toc75952123" w:history="1">
        <w:r w:rsidR="00021FDD" w:rsidRPr="00896B32">
          <w:rPr>
            <w:rStyle w:val="Hypertextovodkaz"/>
            <w:noProof/>
            <w:lang w:eastAsia="cs-CZ"/>
          </w:rPr>
          <w:t>4</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Vrchní soudy</w:t>
        </w:r>
        <w:r w:rsidR="00021FDD">
          <w:rPr>
            <w:noProof/>
            <w:webHidden/>
          </w:rPr>
          <w:tab/>
        </w:r>
        <w:r w:rsidR="00021FDD">
          <w:rPr>
            <w:noProof/>
            <w:webHidden/>
          </w:rPr>
          <w:fldChar w:fldCharType="begin"/>
        </w:r>
        <w:r w:rsidR="00021FDD">
          <w:rPr>
            <w:noProof/>
            <w:webHidden/>
          </w:rPr>
          <w:instrText xml:space="preserve"> PAGEREF _Toc75952123 \h </w:instrText>
        </w:r>
        <w:r w:rsidR="00021FDD">
          <w:rPr>
            <w:noProof/>
            <w:webHidden/>
          </w:rPr>
        </w:r>
        <w:r w:rsidR="00021FDD">
          <w:rPr>
            <w:noProof/>
            <w:webHidden/>
          </w:rPr>
          <w:fldChar w:fldCharType="separate"/>
        </w:r>
        <w:r w:rsidR="00021FDD">
          <w:rPr>
            <w:noProof/>
            <w:webHidden/>
          </w:rPr>
          <w:t>145</w:t>
        </w:r>
        <w:r w:rsidR="00021FDD">
          <w:rPr>
            <w:noProof/>
            <w:webHidden/>
          </w:rPr>
          <w:fldChar w:fldCharType="end"/>
        </w:r>
      </w:hyperlink>
    </w:p>
    <w:p w14:paraId="2817AC2F" w14:textId="47EDE80D" w:rsidR="00021FDD" w:rsidRDefault="00CB73FC">
      <w:pPr>
        <w:pStyle w:val="Obsah2"/>
        <w:rPr>
          <w:rFonts w:asciiTheme="minorHAnsi" w:eastAsiaTheme="minorEastAsia" w:hAnsiTheme="minorHAnsi" w:cstheme="minorBidi"/>
          <w:sz w:val="22"/>
          <w:lang w:eastAsia="cs-CZ"/>
        </w:rPr>
      </w:pPr>
      <w:hyperlink w:anchor="_Toc75952124" w:history="1">
        <w:r w:rsidR="00021FDD" w:rsidRPr="00896B32">
          <w:rPr>
            <w:rStyle w:val="Hypertextovodkaz"/>
            <w:lang w:eastAsia="cs-CZ"/>
          </w:rPr>
          <w:t>4.1</w:t>
        </w:r>
        <w:r w:rsidR="00021FDD">
          <w:rPr>
            <w:rFonts w:asciiTheme="minorHAnsi" w:eastAsiaTheme="minorEastAsia" w:hAnsiTheme="minorHAnsi" w:cstheme="minorBidi"/>
            <w:sz w:val="22"/>
            <w:lang w:eastAsia="cs-CZ"/>
          </w:rPr>
          <w:tab/>
        </w:r>
        <w:r w:rsidR="00021FDD" w:rsidRPr="00896B32">
          <w:rPr>
            <w:rStyle w:val="Hypertextovodkaz"/>
            <w:lang w:eastAsia="cs-CZ"/>
          </w:rPr>
          <w:t>Personál</w:t>
        </w:r>
        <w:r w:rsidR="00021FDD">
          <w:rPr>
            <w:webHidden/>
          </w:rPr>
          <w:tab/>
        </w:r>
        <w:r w:rsidR="00021FDD">
          <w:rPr>
            <w:webHidden/>
          </w:rPr>
          <w:fldChar w:fldCharType="begin"/>
        </w:r>
        <w:r w:rsidR="00021FDD">
          <w:rPr>
            <w:webHidden/>
          </w:rPr>
          <w:instrText xml:space="preserve"> PAGEREF _Toc75952124 \h </w:instrText>
        </w:r>
        <w:r w:rsidR="00021FDD">
          <w:rPr>
            <w:webHidden/>
          </w:rPr>
        </w:r>
        <w:r w:rsidR="00021FDD">
          <w:rPr>
            <w:webHidden/>
          </w:rPr>
          <w:fldChar w:fldCharType="separate"/>
        </w:r>
        <w:r w:rsidR="00021FDD">
          <w:rPr>
            <w:webHidden/>
          </w:rPr>
          <w:t>145</w:t>
        </w:r>
        <w:r w:rsidR="00021FDD">
          <w:rPr>
            <w:webHidden/>
          </w:rPr>
          <w:fldChar w:fldCharType="end"/>
        </w:r>
      </w:hyperlink>
    </w:p>
    <w:p w14:paraId="2F3552AE" w14:textId="452EA68C" w:rsidR="00021FDD" w:rsidRDefault="00CB73FC">
      <w:pPr>
        <w:pStyle w:val="Obsah3"/>
        <w:rPr>
          <w:rFonts w:asciiTheme="minorHAnsi" w:eastAsiaTheme="minorEastAsia" w:hAnsiTheme="minorHAnsi" w:cstheme="minorBidi"/>
          <w:noProof/>
          <w:sz w:val="22"/>
          <w:lang w:eastAsia="cs-CZ"/>
        </w:rPr>
      </w:pPr>
      <w:hyperlink w:anchor="_Toc75952125" w:history="1">
        <w:r w:rsidR="00021FDD" w:rsidRPr="00896B32">
          <w:rPr>
            <w:rStyle w:val="Hypertextovodkaz"/>
            <w:noProof/>
            <w:lang w:eastAsia="cs-CZ"/>
          </w:rPr>
          <w:t>4.1.1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Soudci</w:t>
        </w:r>
        <w:r w:rsidR="00021FDD">
          <w:rPr>
            <w:noProof/>
            <w:webHidden/>
          </w:rPr>
          <w:tab/>
        </w:r>
        <w:r w:rsidR="00021FDD">
          <w:rPr>
            <w:noProof/>
            <w:webHidden/>
          </w:rPr>
          <w:fldChar w:fldCharType="begin"/>
        </w:r>
        <w:r w:rsidR="00021FDD">
          <w:rPr>
            <w:noProof/>
            <w:webHidden/>
          </w:rPr>
          <w:instrText xml:space="preserve"> PAGEREF _Toc75952125 \h </w:instrText>
        </w:r>
        <w:r w:rsidR="00021FDD">
          <w:rPr>
            <w:noProof/>
            <w:webHidden/>
          </w:rPr>
        </w:r>
        <w:r w:rsidR="00021FDD">
          <w:rPr>
            <w:noProof/>
            <w:webHidden/>
          </w:rPr>
          <w:fldChar w:fldCharType="separate"/>
        </w:r>
        <w:r w:rsidR="00021FDD">
          <w:rPr>
            <w:noProof/>
            <w:webHidden/>
          </w:rPr>
          <w:t>145</w:t>
        </w:r>
        <w:r w:rsidR="00021FDD">
          <w:rPr>
            <w:noProof/>
            <w:webHidden/>
          </w:rPr>
          <w:fldChar w:fldCharType="end"/>
        </w:r>
      </w:hyperlink>
    </w:p>
    <w:p w14:paraId="2BB19B41" w14:textId="4E93882B" w:rsidR="00021FDD" w:rsidRDefault="00CB73FC">
      <w:pPr>
        <w:pStyle w:val="Obsah3"/>
        <w:rPr>
          <w:rFonts w:asciiTheme="minorHAnsi" w:eastAsiaTheme="minorEastAsia" w:hAnsiTheme="minorHAnsi" w:cstheme="minorBidi"/>
          <w:noProof/>
          <w:sz w:val="22"/>
          <w:lang w:eastAsia="cs-CZ"/>
        </w:rPr>
      </w:pPr>
      <w:hyperlink w:anchor="_Toc75952126" w:history="1">
        <w:r w:rsidR="00021FDD" w:rsidRPr="00896B32">
          <w:rPr>
            <w:rStyle w:val="Hypertextovodkaz"/>
            <w:noProof/>
            <w:lang w:eastAsia="cs-CZ"/>
          </w:rPr>
          <w:t>4.1.2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Zaměstnanci ve výkonu</w:t>
        </w:r>
        <w:r w:rsidR="00021FDD">
          <w:rPr>
            <w:noProof/>
            <w:webHidden/>
          </w:rPr>
          <w:tab/>
        </w:r>
        <w:r w:rsidR="00021FDD">
          <w:rPr>
            <w:noProof/>
            <w:webHidden/>
          </w:rPr>
          <w:fldChar w:fldCharType="begin"/>
        </w:r>
        <w:r w:rsidR="00021FDD">
          <w:rPr>
            <w:noProof/>
            <w:webHidden/>
          </w:rPr>
          <w:instrText xml:space="preserve"> PAGEREF _Toc75952126 \h </w:instrText>
        </w:r>
        <w:r w:rsidR="00021FDD">
          <w:rPr>
            <w:noProof/>
            <w:webHidden/>
          </w:rPr>
        </w:r>
        <w:r w:rsidR="00021FDD">
          <w:rPr>
            <w:noProof/>
            <w:webHidden/>
          </w:rPr>
          <w:fldChar w:fldCharType="separate"/>
        </w:r>
        <w:r w:rsidR="00021FDD">
          <w:rPr>
            <w:noProof/>
            <w:webHidden/>
          </w:rPr>
          <w:t>150</w:t>
        </w:r>
        <w:r w:rsidR="00021FDD">
          <w:rPr>
            <w:noProof/>
            <w:webHidden/>
          </w:rPr>
          <w:fldChar w:fldCharType="end"/>
        </w:r>
      </w:hyperlink>
    </w:p>
    <w:p w14:paraId="579DCF60" w14:textId="5E2B484A" w:rsidR="00021FDD" w:rsidRDefault="00CB73FC">
      <w:pPr>
        <w:pStyle w:val="Obsah2"/>
        <w:rPr>
          <w:rFonts w:asciiTheme="minorHAnsi" w:eastAsiaTheme="minorEastAsia" w:hAnsiTheme="minorHAnsi" w:cstheme="minorBidi"/>
          <w:sz w:val="22"/>
          <w:lang w:eastAsia="cs-CZ"/>
        </w:rPr>
      </w:pPr>
      <w:hyperlink w:anchor="_Toc75952127" w:history="1">
        <w:r w:rsidR="00021FDD" w:rsidRPr="00896B32">
          <w:rPr>
            <w:rStyle w:val="Hypertextovodkaz"/>
          </w:rPr>
          <w:t>4.2</w:t>
        </w:r>
        <w:r w:rsidR="00021FDD">
          <w:rPr>
            <w:rFonts w:asciiTheme="minorHAnsi" w:eastAsiaTheme="minorEastAsia" w:hAnsiTheme="minorHAnsi" w:cstheme="minorBidi"/>
            <w:sz w:val="22"/>
            <w:lang w:eastAsia="cs-CZ"/>
          </w:rPr>
          <w:tab/>
        </w:r>
        <w:r w:rsidR="00021FDD" w:rsidRPr="00896B32">
          <w:rPr>
            <w:rStyle w:val="Hypertextovodkaz"/>
          </w:rPr>
          <w:t>Civilní a obchodní odvolací agenda</w:t>
        </w:r>
        <w:r w:rsidR="00021FDD">
          <w:rPr>
            <w:webHidden/>
          </w:rPr>
          <w:tab/>
        </w:r>
        <w:r w:rsidR="00021FDD">
          <w:rPr>
            <w:webHidden/>
          </w:rPr>
          <w:fldChar w:fldCharType="begin"/>
        </w:r>
        <w:r w:rsidR="00021FDD">
          <w:rPr>
            <w:webHidden/>
          </w:rPr>
          <w:instrText xml:space="preserve"> PAGEREF _Toc75952127 \h </w:instrText>
        </w:r>
        <w:r w:rsidR="00021FDD">
          <w:rPr>
            <w:webHidden/>
          </w:rPr>
        </w:r>
        <w:r w:rsidR="00021FDD">
          <w:rPr>
            <w:webHidden/>
          </w:rPr>
          <w:fldChar w:fldCharType="separate"/>
        </w:r>
        <w:r w:rsidR="00021FDD">
          <w:rPr>
            <w:webHidden/>
          </w:rPr>
          <w:t>151</w:t>
        </w:r>
        <w:r w:rsidR="00021FDD">
          <w:rPr>
            <w:webHidden/>
          </w:rPr>
          <w:fldChar w:fldCharType="end"/>
        </w:r>
      </w:hyperlink>
    </w:p>
    <w:p w14:paraId="5C2969A5" w14:textId="78EC8446" w:rsidR="00021FDD" w:rsidRDefault="00CB73FC">
      <w:pPr>
        <w:pStyle w:val="Obsah3"/>
        <w:rPr>
          <w:rFonts w:asciiTheme="minorHAnsi" w:eastAsiaTheme="minorEastAsia" w:hAnsiTheme="minorHAnsi" w:cstheme="minorBidi"/>
          <w:noProof/>
          <w:sz w:val="22"/>
          <w:lang w:eastAsia="cs-CZ"/>
        </w:rPr>
      </w:pPr>
      <w:hyperlink w:anchor="_Toc75952128" w:history="1">
        <w:r w:rsidR="00021FDD" w:rsidRPr="00896B32">
          <w:rPr>
            <w:rStyle w:val="Hypertextovodkaz"/>
            <w:noProof/>
            <w:lang w:eastAsia="cs-CZ"/>
          </w:rPr>
          <w:t>4.2.1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Délka řízení</w:t>
        </w:r>
        <w:r w:rsidR="00021FDD">
          <w:rPr>
            <w:noProof/>
            <w:webHidden/>
          </w:rPr>
          <w:tab/>
        </w:r>
        <w:r w:rsidR="00021FDD">
          <w:rPr>
            <w:noProof/>
            <w:webHidden/>
          </w:rPr>
          <w:fldChar w:fldCharType="begin"/>
        </w:r>
        <w:r w:rsidR="00021FDD">
          <w:rPr>
            <w:noProof/>
            <w:webHidden/>
          </w:rPr>
          <w:instrText xml:space="preserve"> PAGEREF _Toc75952128 \h </w:instrText>
        </w:r>
        <w:r w:rsidR="00021FDD">
          <w:rPr>
            <w:noProof/>
            <w:webHidden/>
          </w:rPr>
        </w:r>
        <w:r w:rsidR="00021FDD">
          <w:rPr>
            <w:noProof/>
            <w:webHidden/>
          </w:rPr>
          <w:fldChar w:fldCharType="separate"/>
        </w:r>
        <w:r w:rsidR="00021FDD">
          <w:rPr>
            <w:noProof/>
            <w:webHidden/>
          </w:rPr>
          <w:t>151</w:t>
        </w:r>
        <w:r w:rsidR="00021FDD">
          <w:rPr>
            <w:noProof/>
            <w:webHidden/>
          </w:rPr>
          <w:fldChar w:fldCharType="end"/>
        </w:r>
      </w:hyperlink>
    </w:p>
    <w:p w14:paraId="3BC6BBA1" w14:textId="64B8EBF3" w:rsidR="00021FDD" w:rsidRDefault="00CB73FC">
      <w:pPr>
        <w:pStyle w:val="Obsah3"/>
        <w:rPr>
          <w:rFonts w:asciiTheme="minorHAnsi" w:eastAsiaTheme="minorEastAsia" w:hAnsiTheme="minorHAnsi" w:cstheme="minorBidi"/>
          <w:noProof/>
          <w:sz w:val="22"/>
          <w:lang w:eastAsia="cs-CZ"/>
        </w:rPr>
      </w:pPr>
      <w:hyperlink w:anchor="_Toc75952129" w:history="1">
        <w:r w:rsidR="00021FDD" w:rsidRPr="00896B32">
          <w:rPr>
            <w:rStyle w:val="Hypertextovodkaz"/>
            <w:noProof/>
            <w:lang w:eastAsia="cs-CZ"/>
          </w:rPr>
          <w:t>4.2.2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_Toc75952129 \h </w:instrText>
        </w:r>
        <w:r w:rsidR="00021FDD">
          <w:rPr>
            <w:noProof/>
            <w:webHidden/>
          </w:rPr>
        </w:r>
        <w:r w:rsidR="00021FDD">
          <w:rPr>
            <w:noProof/>
            <w:webHidden/>
          </w:rPr>
          <w:fldChar w:fldCharType="separate"/>
        </w:r>
        <w:r w:rsidR="00021FDD">
          <w:rPr>
            <w:noProof/>
            <w:webHidden/>
          </w:rPr>
          <w:t>152</w:t>
        </w:r>
        <w:r w:rsidR="00021FDD">
          <w:rPr>
            <w:noProof/>
            <w:webHidden/>
          </w:rPr>
          <w:fldChar w:fldCharType="end"/>
        </w:r>
      </w:hyperlink>
    </w:p>
    <w:p w14:paraId="5218DD6A" w14:textId="3FBD99E3" w:rsidR="00021FDD" w:rsidRDefault="00CB73FC">
      <w:pPr>
        <w:pStyle w:val="Obsah3"/>
        <w:rPr>
          <w:rFonts w:asciiTheme="minorHAnsi" w:eastAsiaTheme="minorEastAsia" w:hAnsiTheme="minorHAnsi" w:cstheme="minorBidi"/>
          <w:noProof/>
          <w:sz w:val="22"/>
          <w:lang w:eastAsia="cs-CZ"/>
        </w:rPr>
      </w:pPr>
      <w:hyperlink w:anchor="_Toc75952130" w:history="1">
        <w:r w:rsidR="00021FDD" w:rsidRPr="00896B32">
          <w:rPr>
            <w:rStyle w:val="Hypertextovodkaz"/>
            <w:noProof/>
            <w:lang w:eastAsia="cs-CZ"/>
          </w:rPr>
          <w:t>4.2.3</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 přepočtu na soudce</w:t>
        </w:r>
        <w:r w:rsidR="00021FDD">
          <w:rPr>
            <w:noProof/>
            <w:webHidden/>
          </w:rPr>
          <w:tab/>
        </w:r>
        <w:r w:rsidR="00021FDD">
          <w:rPr>
            <w:noProof/>
            <w:webHidden/>
          </w:rPr>
          <w:fldChar w:fldCharType="begin"/>
        </w:r>
        <w:r w:rsidR="00021FDD">
          <w:rPr>
            <w:noProof/>
            <w:webHidden/>
          </w:rPr>
          <w:instrText xml:space="preserve"> PAGEREF _Toc75952130 \h </w:instrText>
        </w:r>
        <w:r w:rsidR="00021FDD">
          <w:rPr>
            <w:noProof/>
            <w:webHidden/>
          </w:rPr>
        </w:r>
        <w:r w:rsidR="00021FDD">
          <w:rPr>
            <w:noProof/>
            <w:webHidden/>
          </w:rPr>
          <w:fldChar w:fldCharType="separate"/>
        </w:r>
        <w:r w:rsidR="00021FDD">
          <w:rPr>
            <w:noProof/>
            <w:webHidden/>
          </w:rPr>
          <w:t>153</w:t>
        </w:r>
        <w:r w:rsidR="00021FDD">
          <w:rPr>
            <w:noProof/>
            <w:webHidden/>
          </w:rPr>
          <w:fldChar w:fldCharType="end"/>
        </w:r>
      </w:hyperlink>
    </w:p>
    <w:p w14:paraId="1EF301C1" w14:textId="06253858" w:rsidR="00021FDD" w:rsidRDefault="00CB73FC">
      <w:pPr>
        <w:pStyle w:val="Obsah3"/>
        <w:rPr>
          <w:rFonts w:asciiTheme="minorHAnsi" w:eastAsiaTheme="minorEastAsia" w:hAnsiTheme="minorHAnsi" w:cstheme="minorBidi"/>
          <w:noProof/>
          <w:sz w:val="22"/>
          <w:lang w:eastAsia="cs-CZ"/>
        </w:rPr>
      </w:pPr>
      <w:hyperlink w:anchor="_Toc75952131" w:history="1">
        <w:r w:rsidR="00021FDD" w:rsidRPr="00896B32">
          <w:rPr>
            <w:rStyle w:val="Hypertextovodkaz"/>
            <w:noProof/>
            <w:lang w:eastAsia="cs-CZ"/>
          </w:rPr>
          <w:t>4.2.4</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Disposition time (dispoziční čas)</w:t>
        </w:r>
        <w:r w:rsidR="00021FDD">
          <w:rPr>
            <w:noProof/>
            <w:webHidden/>
          </w:rPr>
          <w:tab/>
        </w:r>
        <w:r w:rsidR="00021FDD">
          <w:rPr>
            <w:noProof/>
            <w:webHidden/>
          </w:rPr>
          <w:fldChar w:fldCharType="begin"/>
        </w:r>
        <w:r w:rsidR="00021FDD">
          <w:rPr>
            <w:noProof/>
            <w:webHidden/>
          </w:rPr>
          <w:instrText xml:space="preserve"> PAGEREF _Toc75952131 \h </w:instrText>
        </w:r>
        <w:r w:rsidR="00021FDD">
          <w:rPr>
            <w:noProof/>
            <w:webHidden/>
          </w:rPr>
        </w:r>
        <w:r w:rsidR="00021FDD">
          <w:rPr>
            <w:noProof/>
            <w:webHidden/>
          </w:rPr>
          <w:fldChar w:fldCharType="separate"/>
        </w:r>
        <w:r w:rsidR="00021FDD">
          <w:rPr>
            <w:noProof/>
            <w:webHidden/>
          </w:rPr>
          <w:t>153</w:t>
        </w:r>
        <w:r w:rsidR="00021FDD">
          <w:rPr>
            <w:noProof/>
            <w:webHidden/>
          </w:rPr>
          <w:fldChar w:fldCharType="end"/>
        </w:r>
      </w:hyperlink>
    </w:p>
    <w:p w14:paraId="6B96FF36" w14:textId="797825B1" w:rsidR="00021FDD" w:rsidRDefault="00CB73FC">
      <w:pPr>
        <w:pStyle w:val="Obsah2"/>
        <w:rPr>
          <w:rFonts w:asciiTheme="minorHAnsi" w:eastAsiaTheme="minorEastAsia" w:hAnsiTheme="minorHAnsi" w:cstheme="minorBidi"/>
          <w:sz w:val="22"/>
          <w:lang w:eastAsia="cs-CZ"/>
        </w:rPr>
      </w:pPr>
      <w:hyperlink w:anchor="_Toc75952132" w:history="1">
        <w:r w:rsidR="00021FDD" w:rsidRPr="00896B32">
          <w:rPr>
            <w:rStyle w:val="Hypertextovodkaz"/>
            <w:lang w:eastAsia="cs-CZ"/>
          </w:rPr>
          <w:t>4.3</w:t>
        </w:r>
        <w:r w:rsidR="00021FDD">
          <w:rPr>
            <w:rFonts w:asciiTheme="minorHAnsi" w:eastAsiaTheme="minorEastAsia" w:hAnsiTheme="minorHAnsi" w:cstheme="minorBidi"/>
            <w:sz w:val="22"/>
            <w:lang w:eastAsia="cs-CZ"/>
          </w:rPr>
          <w:tab/>
        </w:r>
        <w:r w:rsidR="00021FDD" w:rsidRPr="00896B32">
          <w:rPr>
            <w:rStyle w:val="Hypertextovodkaz"/>
            <w:lang w:eastAsia="cs-CZ"/>
          </w:rPr>
          <w:t>Trestní odvolací agenda</w:t>
        </w:r>
        <w:r w:rsidR="00021FDD">
          <w:rPr>
            <w:webHidden/>
          </w:rPr>
          <w:tab/>
        </w:r>
        <w:r w:rsidR="00021FDD">
          <w:rPr>
            <w:webHidden/>
          </w:rPr>
          <w:fldChar w:fldCharType="begin"/>
        </w:r>
        <w:r w:rsidR="00021FDD">
          <w:rPr>
            <w:webHidden/>
          </w:rPr>
          <w:instrText xml:space="preserve"> PAGEREF _Toc75952132 \h </w:instrText>
        </w:r>
        <w:r w:rsidR="00021FDD">
          <w:rPr>
            <w:webHidden/>
          </w:rPr>
        </w:r>
        <w:r w:rsidR="00021FDD">
          <w:rPr>
            <w:webHidden/>
          </w:rPr>
          <w:fldChar w:fldCharType="separate"/>
        </w:r>
        <w:r w:rsidR="00021FDD">
          <w:rPr>
            <w:webHidden/>
          </w:rPr>
          <w:t>155</w:t>
        </w:r>
        <w:r w:rsidR="00021FDD">
          <w:rPr>
            <w:webHidden/>
          </w:rPr>
          <w:fldChar w:fldCharType="end"/>
        </w:r>
      </w:hyperlink>
    </w:p>
    <w:p w14:paraId="1AC99A01" w14:textId="3D9C0861" w:rsidR="00021FDD" w:rsidRDefault="00CB73FC">
      <w:pPr>
        <w:pStyle w:val="Obsah3"/>
        <w:rPr>
          <w:rFonts w:asciiTheme="minorHAnsi" w:eastAsiaTheme="minorEastAsia" w:hAnsiTheme="minorHAnsi" w:cstheme="minorBidi"/>
          <w:noProof/>
          <w:sz w:val="22"/>
          <w:lang w:eastAsia="cs-CZ"/>
        </w:rPr>
      </w:pPr>
      <w:hyperlink w:anchor="_Toc75952133" w:history="1">
        <w:r w:rsidR="00021FDD" w:rsidRPr="00896B32">
          <w:rPr>
            <w:rStyle w:val="Hypertextovodkaz"/>
            <w:noProof/>
            <w:lang w:eastAsia="cs-CZ"/>
          </w:rPr>
          <w:t>4.3.1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Délka řízení</w:t>
        </w:r>
        <w:r w:rsidR="00021FDD">
          <w:rPr>
            <w:noProof/>
            <w:webHidden/>
          </w:rPr>
          <w:tab/>
        </w:r>
        <w:r w:rsidR="00021FDD">
          <w:rPr>
            <w:noProof/>
            <w:webHidden/>
          </w:rPr>
          <w:fldChar w:fldCharType="begin"/>
        </w:r>
        <w:r w:rsidR="00021FDD">
          <w:rPr>
            <w:noProof/>
            <w:webHidden/>
          </w:rPr>
          <w:instrText xml:space="preserve"> PAGEREF _Toc75952133 \h </w:instrText>
        </w:r>
        <w:r w:rsidR="00021FDD">
          <w:rPr>
            <w:noProof/>
            <w:webHidden/>
          </w:rPr>
        </w:r>
        <w:r w:rsidR="00021FDD">
          <w:rPr>
            <w:noProof/>
            <w:webHidden/>
          </w:rPr>
          <w:fldChar w:fldCharType="separate"/>
        </w:r>
        <w:r w:rsidR="00021FDD">
          <w:rPr>
            <w:noProof/>
            <w:webHidden/>
          </w:rPr>
          <w:t>155</w:t>
        </w:r>
        <w:r w:rsidR="00021FDD">
          <w:rPr>
            <w:noProof/>
            <w:webHidden/>
          </w:rPr>
          <w:fldChar w:fldCharType="end"/>
        </w:r>
      </w:hyperlink>
    </w:p>
    <w:p w14:paraId="4325D4AE" w14:textId="7EBBA1C9" w:rsidR="00021FDD" w:rsidRDefault="00CB73FC">
      <w:pPr>
        <w:pStyle w:val="Obsah3"/>
        <w:rPr>
          <w:rFonts w:asciiTheme="minorHAnsi" w:eastAsiaTheme="minorEastAsia" w:hAnsiTheme="minorHAnsi" w:cstheme="minorBidi"/>
          <w:noProof/>
          <w:sz w:val="22"/>
          <w:lang w:eastAsia="cs-CZ"/>
        </w:rPr>
      </w:pPr>
      <w:hyperlink w:anchor="_Toc75952134" w:history="1">
        <w:r w:rsidR="00021FDD" w:rsidRPr="00896B32">
          <w:rPr>
            <w:rStyle w:val="Hypertextovodkaz"/>
            <w:noProof/>
            <w:lang w:eastAsia="cs-CZ"/>
          </w:rPr>
          <w:t>4.3.2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_Toc75952134 \h </w:instrText>
        </w:r>
        <w:r w:rsidR="00021FDD">
          <w:rPr>
            <w:noProof/>
            <w:webHidden/>
          </w:rPr>
        </w:r>
        <w:r w:rsidR="00021FDD">
          <w:rPr>
            <w:noProof/>
            <w:webHidden/>
          </w:rPr>
          <w:fldChar w:fldCharType="separate"/>
        </w:r>
        <w:r w:rsidR="00021FDD">
          <w:rPr>
            <w:noProof/>
            <w:webHidden/>
          </w:rPr>
          <w:t>156</w:t>
        </w:r>
        <w:r w:rsidR="00021FDD">
          <w:rPr>
            <w:noProof/>
            <w:webHidden/>
          </w:rPr>
          <w:fldChar w:fldCharType="end"/>
        </w:r>
      </w:hyperlink>
    </w:p>
    <w:p w14:paraId="1D5CF985" w14:textId="1DDCC2D2" w:rsidR="00021FDD" w:rsidRDefault="00CB73FC">
      <w:pPr>
        <w:pStyle w:val="Obsah3"/>
        <w:rPr>
          <w:rFonts w:asciiTheme="minorHAnsi" w:eastAsiaTheme="minorEastAsia" w:hAnsiTheme="minorHAnsi" w:cstheme="minorBidi"/>
          <w:noProof/>
          <w:sz w:val="22"/>
          <w:lang w:eastAsia="cs-CZ"/>
        </w:rPr>
      </w:pPr>
      <w:hyperlink w:anchor="_Toc75952135" w:history="1">
        <w:r w:rsidR="00021FDD" w:rsidRPr="00896B32">
          <w:rPr>
            <w:rStyle w:val="Hypertextovodkaz"/>
            <w:noProof/>
            <w:lang w:eastAsia="cs-CZ"/>
          </w:rPr>
          <w:t>4.3.3</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 v přepočtu na soudce</w:t>
        </w:r>
        <w:r w:rsidR="00021FDD">
          <w:rPr>
            <w:noProof/>
            <w:webHidden/>
          </w:rPr>
          <w:tab/>
        </w:r>
        <w:r w:rsidR="00021FDD">
          <w:rPr>
            <w:noProof/>
            <w:webHidden/>
          </w:rPr>
          <w:fldChar w:fldCharType="begin"/>
        </w:r>
        <w:r w:rsidR="00021FDD">
          <w:rPr>
            <w:noProof/>
            <w:webHidden/>
          </w:rPr>
          <w:instrText xml:space="preserve"> PAGEREF _Toc75952135 \h </w:instrText>
        </w:r>
        <w:r w:rsidR="00021FDD">
          <w:rPr>
            <w:noProof/>
            <w:webHidden/>
          </w:rPr>
        </w:r>
        <w:r w:rsidR="00021FDD">
          <w:rPr>
            <w:noProof/>
            <w:webHidden/>
          </w:rPr>
          <w:fldChar w:fldCharType="separate"/>
        </w:r>
        <w:r w:rsidR="00021FDD">
          <w:rPr>
            <w:noProof/>
            <w:webHidden/>
          </w:rPr>
          <w:t>157</w:t>
        </w:r>
        <w:r w:rsidR="00021FDD">
          <w:rPr>
            <w:noProof/>
            <w:webHidden/>
          </w:rPr>
          <w:fldChar w:fldCharType="end"/>
        </w:r>
      </w:hyperlink>
    </w:p>
    <w:p w14:paraId="12DD22C9" w14:textId="20D2F31C" w:rsidR="00021FDD" w:rsidRDefault="00CB73FC">
      <w:pPr>
        <w:pStyle w:val="Obsah3"/>
        <w:rPr>
          <w:rFonts w:asciiTheme="minorHAnsi" w:eastAsiaTheme="minorEastAsia" w:hAnsiTheme="minorHAnsi" w:cstheme="minorBidi"/>
          <w:noProof/>
          <w:sz w:val="22"/>
          <w:lang w:eastAsia="cs-CZ"/>
        </w:rPr>
      </w:pPr>
      <w:hyperlink w:anchor="_Toc75952136" w:history="1">
        <w:r w:rsidR="00021FDD" w:rsidRPr="00896B32">
          <w:rPr>
            <w:rStyle w:val="Hypertextovodkaz"/>
            <w:noProof/>
            <w:lang w:eastAsia="cs-CZ"/>
          </w:rPr>
          <w:t>4.3.4</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Disposition time (dispoziční čas)</w:t>
        </w:r>
        <w:r w:rsidR="00021FDD">
          <w:rPr>
            <w:noProof/>
            <w:webHidden/>
          </w:rPr>
          <w:tab/>
        </w:r>
        <w:r w:rsidR="00021FDD">
          <w:rPr>
            <w:noProof/>
            <w:webHidden/>
          </w:rPr>
          <w:fldChar w:fldCharType="begin"/>
        </w:r>
        <w:r w:rsidR="00021FDD">
          <w:rPr>
            <w:noProof/>
            <w:webHidden/>
          </w:rPr>
          <w:instrText xml:space="preserve"> PAGEREF _Toc75952136 \h </w:instrText>
        </w:r>
        <w:r w:rsidR="00021FDD">
          <w:rPr>
            <w:noProof/>
            <w:webHidden/>
          </w:rPr>
        </w:r>
        <w:r w:rsidR="00021FDD">
          <w:rPr>
            <w:noProof/>
            <w:webHidden/>
          </w:rPr>
          <w:fldChar w:fldCharType="separate"/>
        </w:r>
        <w:r w:rsidR="00021FDD">
          <w:rPr>
            <w:noProof/>
            <w:webHidden/>
          </w:rPr>
          <w:t>158</w:t>
        </w:r>
        <w:r w:rsidR="00021FDD">
          <w:rPr>
            <w:noProof/>
            <w:webHidden/>
          </w:rPr>
          <w:fldChar w:fldCharType="end"/>
        </w:r>
      </w:hyperlink>
    </w:p>
    <w:p w14:paraId="488C26BA" w14:textId="5A6285B9" w:rsidR="00021FDD" w:rsidRDefault="00CB73FC">
      <w:pPr>
        <w:pStyle w:val="Obsah2"/>
        <w:rPr>
          <w:rFonts w:asciiTheme="minorHAnsi" w:eastAsiaTheme="minorEastAsia" w:hAnsiTheme="minorHAnsi" w:cstheme="minorBidi"/>
          <w:sz w:val="22"/>
          <w:lang w:eastAsia="cs-CZ"/>
        </w:rPr>
      </w:pPr>
      <w:hyperlink w:anchor="_Toc75952137" w:history="1">
        <w:r w:rsidR="00021FDD" w:rsidRPr="00896B32">
          <w:rPr>
            <w:rStyle w:val="Hypertextovodkaz"/>
          </w:rPr>
          <w:t>4.4</w:t>
        </w:r>
        <w:r w:rsidR="00021FDD">
          <w:rPr>
            <w:rFonts w:asciiTheme="minorHAnsi" w:eastAsiaTheme="minorEastAsia" w:hAnsiTheme="minorHAnsi" w:cstheme="minorBidi"/>
            <w:sz w:val="22"/>
            <w:lang w:eastAsia="cs-CZ"/>
          </w:rPr>
          <w:tab/>
        </w:r>
        <w:r w:rsidR="00021FDD" w:rsidRPr="00896B32">
          <w:rPr>
            <w:rStyle w:val="Hypertextovodkaz"/>
          </w:rPr>
          <w:t>Insolvenční agenda – II. stupeň</w:t>
        </w:r>
        <w:r w:rsidR="00021FDD">
          <w:rPr>
            <w:webHidden/>
          </w:rPr>
          <w:tab/>
        </w:r>
        <w:r w:rsidR="00021FDD">
          <w:rPr>
            <w:webHidden/>
          </w:rPr>
          <w:fldChar w:fldCharType="begin"/>
        </w:r>
        <w:r w:rsidR="00021FDD">
          <w:rPr>
            <w:webHidden/>
          </w:rPr>
          <w:instrText xml:space="preserve"> PAGEREF _Toc75952137 \h </w:instrText>
        </w:r>
        <w:r w:rsidR="00021FDD">
          <w:rPr>
            <w:webHidden/>
          </w:rPr>
        </w:r>
        <w:r w:rsidR="00021FDD">
          <w:rPr>
            <w:webHidden/>
          </w:rPr>
          <w:fldChar w:fldCharType="separate"/>
        </w:r>
        <w:r w:rsidR="00021FDD">
          <w:rPr>
            <w:webHidden/>
          </w:rPr>
          <w:t>159</w:t>
        </w:r>
        <w:r w:rsidR="00021FDD">
          <w:rPr>
            <w:webHidden/>
          </w:rPr>
          <w:fldChar w:fldCharType="end"/>
        </w:r>
      </w:hyperlink>
    </w:p>
    <w:p w14:paraId="43B67FC4" w14:textId="3EB5F780" w:rsidR="00021FDD" w:rsidRDefault="00CB73FC">
      <w:pPr>
        <w:pStyle w:val="Obsah3"/>
        <w:rPr>
          <w:rFonts w:asciiTheme="minorHAnsi" w:eastAsiaTheme="minorEastAsia" w:hAnsiTheme="minorHAnsi" w:cstheme="minorBidi"/>
          <w:noProof/>
          <w:sz w:val="22"/>
          <w:lang w:eastAsia="cs-CZ"/>
        </w:rPr>
      </w:pPr>
      <w:hyperlink w:anchor="_Toc75952138" w:history="1">
        <w:r w:rsidR="00021FDD" w:rsidRPr="00896B32">
          <w:rPr>
            <w:rStyle w:val="Hypertextovodkaz"/>
            <w:noProof/>
            <w:lang w:eastAsia="cs-CZ"/>
          </w:rPr>
          <w:t>4.4.1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_Toc75952138 \h </w:instrText>
        </w:r>
        <w:r w:rsidR="00021FDD">
          <w:rPr>
            <w:noProof/>
            <w:webHidden/>
          </w:rPr>
        </w:r>
        <w:r w:rsidR="00021FDD">
          <w:rPr>
            <w:noProof/>
            <w:webHidden/>
          </w:rPr>
          <w:fldChar w:fldCharType="separate"/>
        </w:r>
        <w:r w:rsidR="00021FDD">
          <w:rPr>
            <w:noProof/>
            <w:webHidden/>
          </w:rPr>
          <w:t>159</w:t>
        </w:r>
        <w:r w:rsidR="00021FDD">
          <w:rPr>
            <w:noProof/>
            <w:webHidden/>
          </w:rPr>
          <w:fldChar w:fldCharType="end"/>
        </w:r>
      </w:hyperlink>
    </w:p>
    <w:p w14:paraId="4B506602" w14:textId="4AD813A7" w:rsidR="00021FDD" w:rsidRDefault="00CB73FC">
      <w:pPr>
        <w:pStyle w:val="Obsah3"/>
        <w:rPr>
          <w:rFonts w:asciiTheme="minorHAnsi" w:eastAsiaTheme="minorEastAsia" w:hAnsiTheme="minorHAnsi" w:cstheme="minorBidi"/>
          <w:noProof/>
          <w:sz w:val="22"/>
          <w:lang w:eastAsia="cs-CZ"/>
        </w:rPr>
      </w:pPr>
      <w:hyperlink w:anchor="_Toc75952139" w:history="1">
        <w:r w:rsidR="00021FDD" w:rsidRPr="00896B32">
          <w:rPr>
            <w:rStyle w:val="Hypertextovodkaz"/>
            <w:noProof/>
            <w:lang w:eastAsia="cs-CZ"/>
          </w:rPr>
          <w:t>4.4.2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Disposition time (dispoziční čas)</w:t>
        </w:r>
        <w:r w:rsidR="00021FDD">
          <w:rPr>
            <w:noProof/>
            <w:webHidden/>
          </w:rPr>
          <w:tab/>
        </w:r>
        <w:r w:rsidR="00021FDD">
          <w:rPr>
            <w:noProof/>
            <w:webHidden/>
          </w:rPr>
          <w:fldChar w:fldCharType="begin"/>
        </w:r>
        <w:r w:rsidR="00021FDD">
          <w:rPr>
            <w:noProof/>
            <w:webHidden/>
          </w:rPr>
          <w:instrText xml:space="preserve"> PAGEREF _Toc75952139 \h </w:instrText>
        </w:r>
        <w:r w:rsidR="00021FDD">
          <w:rPr>
            <w:noProof/>
            <w:webHidden/>
          </w:rPr>
        </w:r>
        <w:r w:rsidR="00021FDD">
          <w:rPr>
            <w:noProof/>
            <w:webHidden/>
          </w:rPr>
          <w:fldChar w:fldCharType="separate"/>
        </w:r>
        <w:r w:rsidR="00021FDD">
          <w:rPr>
            <w:noProof/>
            <w:webHidden/>
          </w:rPr>
          <w:t>160</w:t>
        </w:r>
        <w:r w:rsidR="00021FDD">
          <w:rPr>
            <w:noProof/>
            <w:webHidden/>
          </w:rPr>
          <w:fldChar w:fldCharType="end"/>
        </w:r>
      </w:hyperlink>
    </w:p>
    <w:p w14:paraId="66663277" w14:textId="49AE490F" w:rsidR="00021FDD" w:rsidRDefault="00CB73FC">
      <w:pPr>
        <w:pStyle w:val="Obsah2"/>
        <w:rPr>
          <w:rFonts w:asciiTheme="minorHAnsi" w:eastAsiaTheme="minorEastAsia" w:hAnsiTheme="minorHAnsi" w:cstheme="minorBidi"/>
          <w:sz w:val="22"/>
          <w:lang w:eastAsia="cs-CZ"/>
        </w:rPr>
      </w:pPr>
      <w:hyperlink w:anchor="_Toc75952140" w:history="1">
        <w:r w:rsidR="00021FDD" w:rsidRPr="00896B32">
          <w:rPr>
            <w:rStyle w:val="Hypertextovodkaz"/>
          </w:rPr>
          <w:t>4.5</w:t>
        </w:r>
        <w:r w:rsidR="00021FDD">
          <w:rPr>
            <w:rFonts w:asciiTheme="minorHAnsi" w:eastAsiaTheme="minorEastAsia" w:hAnsiTheme="minorHAnsi" w:cstheme="minorBidi"/>
            <w:sz w:val="22"/>
            <w:lang w:eastAsia="cs-CZ"/>
          </w:rPr>
          <w:tab/>
        </w:r>
        <w:r w:rsidR="00021FDD" w:rsidRPr="00896B32">
          <w:rPr>
            <w:rStyle w:val="Hypertextovodkaz"/>
          </w:rPr>
          <w:t>Incidenční spory – II. stupeň</w:t>
        </w:r>
        <w:r w:rsidR="00021FDD">
          <w:rPr>
            <w:webHidden/>
          </w:rPr>
          <w:tab/>
        </w:r>
        <w:r w:rsidR="00021FDD">
          <w:rPr>
            <w:webHidden/>
          </w:rPr>
          <w:fldChar w:fldCharType="begin"/>
        </w:r>
        <w:r w:rsidR="00021FDD">
          <w:rPr>
            <w:webHidden/>
          </w:rPr>
          <w:instrText xml:space="preserve"> PAGEREF _Toc75952140 \h </w:instrText>
        </w:r>
        <w:r w:rsidR="00021FDD">
          <w:rPr>
            <w:webHidden/>
          </w:rPr>
        </w:r>
        <w:r w:rsidR="00021FDD">
          <w:rPr>
            <w:webHidden/>
          </w:rPr>
          <w:fldChar w:fldCharType="separate"/>
        </w:r>
        <w:r w:rsidR="00021FDD">
          <w:rPr>
            <w:webHidden/>
          </w:rPr>
          <w:t>161</w:t>
        </w:r>
        <w:r w:rsidR="00021FDD">
          <w:rPr>
            <w:webHidden/>
          </w:rPr>
          <w:fldChar w:fldCharType="end"/>
        </w:r>
      </w:hyperlink>
    </w:p>
    <w:p w14:paraId="79AAF3F7" w14:textId="16650B0E" w:rsidR="00021FDD" w:rsidRDefault="00CB73FC">
      <w:pPr>
        <w:pStyle w:val="Obsah3"/>
        <w:rPr>
          <w:rFonts w:asciiTheme="minorHAnsi" w:eastAsiaTheme="minorEastAsia" w:hAnsiTheme="minorHAnsi" w:cstheme="minorBidi"/>
          <w:noProof/>
          <w:sz w:val="22"/>
          <w:lang w:eastAsia="cs-CZ"/>
        </w:rPr>
      </w:pPr>
      <w:hyperlink w:anchor="_Toc75952141" w:history="1">
        <w:r w:rsidR="00021FDD" w:rsidRPr="00896B32">
          <w:rPr>
            <w:rStyle w:val="Hypertextovodkaz"/>
            <w:noProof/>
          </w:rPr>
          <w:t>4.5.1</w:t>
        </w:r>
        <w:r w:rsidR="00021FDD">
          <w:rPr>
            <w:rFonts w:asciiTheme="minorHAnsi" w:eastAsiaTheme="minorEastAsia" w:hAnsiTheme="minorHAnsi" w:cstheme="minorBidi"/>
            <w:noProof/>
            <w:sz w:val="22"/>
            <w:lang w:eastAsia="cs-CZ"/>
          </w:rPr>
          <w:tab/>
        </w:r>
        <w:r w:rsidR="00021FDD" w:rsidRPr="00896B32">
          <w:rPr>
            <w:rStyle w:val="Hypertextovodkaz"/>
            <w:noProof/>
          </w:rPr>
          <w:t>Délka řízení</w:t>
        </w:r>
        <w:r w:rsidR="00021FDD">
          <w:rPr>
            <w:noProof/>
            <w:webHidden/>
          </w:rPr>
          <w:tab/>
        </w:r>
        <w:r w:rsidR="00021FDD">
          <w:rPr>
            <w:noProof/>
            <w:webHidden/>
          </w:rPr>
          <w:fldChar w:fldCharType="begin"/>
        </w:r>
        <w:r w:rsidR="00021FDD">
          <w:rPr>
            <w:noProof/>
            <w:webHidden/>
          </w:rPr>
          <w:instrText xml:space="preserve"> PAGEREF _Toc75952141 \h </w:instrText>
        </w:r>
        <w:r w:rsidR="00021FDD">
          <w:rPr>
            <w:noProof/>
            <w:webHidden/>
          </w:rPr>
        </w:r>
        <w:r w:rsidR="00021FDD">
          <w:rPr>
            <w:noProof/>
            <w:webHidden/>
          </w:rPr>
          <w:fldChar w:fldCharType="separate"/>
        </w:r>
        <w:r w:rsidR="00021FDD">
          <w:rPr>
            <w:noProof/>
            <w:webHidden/>
          </w:rPr>
          <w:t>161</w:t>
        </w:r>
        <w:r w:rsidR="00021FDD">
          <w:rPr>
            <w:noProof/>
            <w:webHidden/>
          </w:rPr>
          <w:fldChar w:fldCharType="end"/>
        </w:r>
      </w:hyperlink>
    </w:p>
    <w:p w14:paraId="2E5E4AC9" w14:textId="4E323A6A" w:rsidR="00021FDD" w:rsidRDefault="00CB73FC">
      <w:pPr>
        <w:pStyle w:val="Obsah3"/>
        <w:rPr>
          <w:rFonts w:asciiTheme="minorHAnsi" w:eastAsiaTheme="minorEastAsia" w:hAnsiTheme="minorHAnsi" w:cstheme="minorBidi"/>
          <w:noProof/>
          <w:sz w:val="22"/>
          <w:lang w:eastAsia="cs-CZ"/>
        </w:rPr>
      </w:pPr>
      <w:hyperlink w:anchor="_Toc75952142" w:history="1">
        <w:r w:rsidR="00021FDD" w:rsidRPr="00896B32">
          <w:rPr>
            <w:rStyle w:val="Hypertextovodkaz"/>
            <w:noProof/>
            <w:lang w:eastAsia="cs-CZ"/>
          </w:rPr>
          <w:t>4.5.2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_Toc75952142 \h </w:instrText>
        </w:r>
        <w:r w:rsidR="00021FDD">
          <w:rPr>
            <w:noProof/>
            <w:webHidden/>
          </w:rPr>
        </w:r>
        <w:r w:rsidR="00021FDD">
          <w:rPr>
            <w:noProof/>
            <w:webHidden/>
          </w:rPr>
          <w:fldChar w:fldCharType="separate"/>
        </w:r>
        <w:r w:rsidR="00021FDD">
          <w:rPr>
            <w:noProof/>
            <w:webHidden/>
          </w:rPr>
          <w:t>163</w:t>
        </w:r>
        <w:r w:rsidR="00021FDD">
          <w:rPr>
            <w:noProof/>
            <w:webHidden/>
          </w:rPr>
          <w:fldChar w:fldCharType="end"/>
        </w:r>
      </w:hyperlink>
    </w:p>
    <w:p w14:paraId="7267C4D4" w14:textId="61981B7B" w:rsidR="00021FDD" w:rsidRDefault="00CB73FC">
      <w:pPr>
        <w:pStyle w:val="Obsah3"/>
        <w:rPr>
          <w:rFonts w:asciiTheme="minorHAnsi" w:eastAsiaTheme="minorEastAsia" w:hAnsiTheme="minorHAnsi" w:cstheme="minorBidi"/>
          <w:noProof/>
          <w:sz w:val="22"/>
          <w:lang w:eastAsia="cs-CZ"/>
        </w:rPr>
      </w:pPr>
      <w:hyperlink w:anchor="_Toc75952143" w:history="1">
        <w:r w:rsidR="00021FDD" w:rsidRPr="00896B32">
          <w:rPr>
            <w:rStyle w:val="Hypertextovodkaz"/>
            <w:noProof/>
            <w:lang w:eastAsia="cs-CZ"/>
          </w:rPr>
          <w:t>4.5.3</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Disposition time (dispoziční čas)</w:t>
        </w:r>
        <w:r w:rsidR="00021FDD">
          <w:rPr>
            <w:noProof/>
            <w:webHidden/>
          </w:rPr>
          <w:tab/>
        </w:r>
        <w:r w:rsidR="00021FDD">
          <w:rPr>
            <w:noProof/>
            <w:webHidden/>
          </w:rPr>
          <w:fldChar w:fldCharType="begin"/>
        </w:r>
        <w:r w:rsidR="00021FDD">
          <w:rPr>
            <w:noProof/>
            <w:webHidden/>
          </w:rPr>
          <w:instrText xml:space="preserve"> PAGEREF _Toc75952143 \h </w:instrText>
        </w:r>
        <w:r w:rsidR="00021FDD">
          <w:rPr>
            <w:noProof/>
            <w:webHidden/>
          </w:rPr>
        </w:r>
        <w:r w:rsidR="00021FDD">
          <w:rPr>
            <w:noProof/>
            <w:webHidden/>
          </w:rPr>
          <w:fldChar w:fldCharType="separate"/>
        </w:r>
        <w:r w:rsidR="00021FDD">
          <w:rPr>
            <w:noProof/>
            <w:webHidden/>
          </w:rPr>
          <w:t>163</w:t>
        </w:r>
        <w:r w:rsidR="00021FDD">
          <w:rPr>
            <w:noProof/>
            <w:webHidden/>
          </w:rPr>
          <w:fldChar w:fldCharType="end"/>
        </w:r>
      </w:hyperlink>
    </w:p>
    <w:p w14:paraId="11F6E19E" w14:textId="11D14535" w:rsidR="00021FDD" w:rsidRDefault="00CB73FC">
      <w:pPr>
        <w:pStyle w:val="Obsah1"/>
        <w:tabs>
          <w:tab w:val="left" w:pos="482"/>
        </w:tabs>
        <w:rPr>
          <w:rFonts w:asciiTheme="minorHAnsi" w:eastAsiaTheme="minorEastAsia" w:hAnsiTheme="minorHAnsi" w:cstheme="minorBidi"/>
          <w:noProof/>
          <w:sz w:val="22"/>
          <w:lang w:eastAsia="cs-CZ"/>
        </w:rPr>
      </w:pPr>
      <w:hyperlink w:anchor="_Toc75952144" w:history="1">
        <w:r w:rsidR="00021FDD" w:rsidRPr="00896B32">
          <w:rPr>
            <w:rStyle w:val="Hypertextovodkaz"/>
            <w:noProof/>
            <w:lang w:eastAsia="cs-CZ"/>
          </w:rPr>
          <w:t>5</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Nejvyšší soud</w:t>
        </w:r>
        <w:r w:rsidR="00021FDD">
          <w:rPr>
            <w:noProof/>
            <w:webHidden/>
          </w:rPr>
          <w:tab/>
        </w:r>
        <w:r w:rsidR="00021FDD">
          <w:rPr>
            <w:noProof/>
            <w:webHidden/>
          </w:rPr>
          <w:fldChar w:fldCharType="begin"/>
        </w:r>
        <w:r w:rsidR="00021FDD">
          <w:rPr>
            <w:noProof/>
            <w:webHidden/>
          </w:rPr>
          <w:instrText xml:space="preserve"> PAGEREF _Toc75952144 \h </w:instrText>
        </w:r>
        <w:r w:rsidR="00021FDD">
          <w:rPr>
            <w:noProof/>
            <w:webHidden/>
          </w:rPr>
        </w:r>
        <w:r w:rsidR="00021FDD">
          <w:rPr>
            <w:noProof/>
            <w:webHidden/>
          </w:rPr>
          <w:fldChar w:fldCharType="separate"/>
        </w:r>
        <w:r w:rsidR="00021FDD">
          <w:rPr>
            <w:noProof/>
            <w:webHidden/>
          </w:rPr>
          <w:t>165</w:t>
        </w:r>
        <w:r w:rsidR="00021FDD">
          <w:rPr>
            <w:noProof/>
            <w:webHidden/>
          </w:rPr>
          <w:fldChar w:fldCharType="end"/>
        </w:r>
      </w:hyperlink>
    </w:p>
    <w:p w14:paraId="473A33C1" w14:textId="65E1E32C" w:rsidR="00021FDD" w:rsidRDefault="00CB73FC">
      <w:pPr>
        <w:pStyle w:val="Obsah2"/>
        <w:rPr>
          <w:rFonts w:asciiTheme="minorHAnsi" w:eastAsiaTheme="minorEastAsia" w:hAnsiTheme="minorHAnsi" w:cstheme="minorBidi"/>
          <w:sz w:val="22"/>
          <w:lang w:eastAsia="cs-CZ"/>
        </w:rPr>
      </w:pPr>
      <w:hyperlink w:anchor="_Toc75952145" w:history="1">
        <w:r w:rsidR="00021FDD" w:rsidRPr="00896B32">
          <w:rPr>
            <w:rStyle w:val="Hypertextovodkaz"/>
            <w:lang w:eastAsia="cs-CZ"/>
          </w:rPr>
          <w:t>5.1</w:t>
        </w:r>
        <w:r w:rsidR="00021FDD">
          <w:rPr>
            <w:rFonts w:asciiTheme="minorHAnsi" w:eastAsiaTheme="minorEastAsia" w:hAnsiTheme="minorHAnsi" w:cstheme="minorBidi"/>
            <w:sz w:val="22"/>
            <w:lang w:eastAsia="cs-CZ"/>
          </w:rPr>
          <w:tab/>
        </w:r>
        <w:r w:rsidR="00021FDD" w:rsidRPr="00896B32">
          <w:rPr>
            <w:rStyle w:val="Hypertextovodkaz"/>
            <w:lang w:eastAsia="cs-CZ"/>
          </w:rPr>
          <w:t>Personál</w:t>
        </w:r>
        <w:r w:rsidR="00021FDD">
          <w:rPr>
            <w:webHidden/>
          </w:rPr>
          <w:tab/>
        </w:r>
        <w:r w:rsidR="00021FDD">
          <w:rPr>
            <w:webHidden/>
          </w:rPr>
          <w:fldChar w:fldCharType="begin"/>
        </w:r>
        <w:r w:rsidR="00021FDD">
          <w:rPr>
            <w:webHidden/>
          </w:rPr>
          <w:instrText xml:space="preserve"> PAGEREF _Toc75952145 \h </w:instrText>
        </w:r>
        <w:r w:rsidR="00021FDD">
          <w:rPr>
            <w:webHidden/>
          </w:rPr>
        </w:r>
        <w:r w:rsidR="00021FDD">
          <w:rPr>
            <w:webHidden/>
          </w:rPr>
          <w:fldChar w:fldCharType="separate"/>
        </w:r>
        <w:r w:rsidR="00021FDD">
          <w:rPr>
            <w:webHidden/>
          </w:rPr>
          <w:t>165</w:t>
        </w:r>
        <w:r w:rsidR="00021FDD">
          <w:rPr>
            <w:webHidden/>
          </w:rPr>
          <w:fldChar w:fldCharType="end"/>
        </w:r>
      </w:hyperlink>
    </w:p>
    <w:p w14:paraId="1EE04649" w14:textId="773AE442" w:rsidR="00021FDD" w:rsidRDefault="00CB73FC">
      <w:pPr>
        <w:pStyle w:val="Obsah3"/>
        <w:rPr>
          <w:rFonts w:asciiTheme="minorHAnsi" w:eastAsiaTheme="minorEastAsia" w:hAnsiTheme="minorHAnsi" w:cstheme="minorBidi"/>
          <w:noProof/>
          <w:sz w:val="22"/>
          <w:lang w:eastAsia="cs-CZ"/>
        </w:rPr>
      </w:pPr>
      <w:hyperlink w:anchor="_Toc75952146" w:history="1">
        <w:r w:rsidR="00021FDD" w:rsidRPr="00896B32">
          <w:rPr>
            <w:rStyle w:val="Hypertextovodkaz"/>
            <w:noProof/>
            <w:lang w:eastAsia="cs-CZ"/>
          </w:rPr>
          <w:t>5.1.1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Soudci</w:t>
        </w:r>
        <w:r w:rsidR="00021FDD">
          <w:rPr>
            <w:noProof/>
            <w:webHidden/>
          </w:rPr>
          <w:tab/>
        </w:r>
        <w:r w:rsidR="00021FDD">
          <w:rPr>
            <w:noProof/>
            <w:webHidden/>
          </w:rPr>
          <w:fldChar w:fldCharType="begin"/>
        </w:r>
        <w:r w:rsidR="00021FDD">
          <w:rPr>
            <w:noProof/>
            <w:webHidden/>
          </w:rPr>
          <w:instrText xml:space="preserve"> PAGEREF _Toc75952146 \h </w:instrText>
        </w:r>
        <w:r w:rsidR="00021FDD">
          <w:rPr>
            <w:noProof/>
            <w:webHidden/>
          </w:rPr>
        </w:r>
        <w:r w:rsidR="00021FDD">
          <w:rPr>
            <w:noProof/>
            <w:webHidden/>
          </w:rPr>
          <w:fldChar w:fldCharType="separate"/>
        </w:r>
        <w:r w:rsidR="00021FDD">
          <w:rPr>
            <w:noProof/>
            <w:webHidden/>
          </w:rPr>
          <w:t>165</w:t>
        </w:r>
        <w:r w:rsidR="00021FDD">
          <w:rPr>
            <w:noProof/>
            <w:webHidden/>
          </w:rPr>
          <w:fldChar w:fldCharType="end"/>
        </w:r>
      </w:hyperlink>
    </w:p>
    <w:p w14:paraId="1CF529D3" w14:textId="3B6DAB92" w:rsidR="00021FDD" w:rsidRDefault="00CB73FC">
      <w:pPr>
        <w:pStyle w:val="Obsah3"/>
        <w:rPr>
          <w:rFonts w:asciiTheme="minorHAnsi" w:eastAsiaTheme="minorEastAsia" w:hAnsiTheme="minorHAnsi" w:cstheme="minorBidi"/>
          <w:noProof/>
          <w:sz w:val="22"/>
          <w:lang w:eastAsia="cs-CZ"/>
        </w:rPr>
      </w:pPr>
      <w:hyperlink w:anchor="_Toc75952147" w:history="1">
        <w:r w:rsidR="00021FDD" w:rsidRPr="00896B32">
          <w:rPr>
            <w:rStyle w:val="Hypertextovodkaz"/>
            <w:noProof/>
            <w:lang w:eastAsia="cs-CZ"/>
          </w:rPr>
          <w:t>5.1.2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Zaměstnanci ve výkonu</w:t>
        </w:r>
        <w:r w:rsidR="00021FDD">
          <w:rPr>
            <w:noProof/>
            <w:webHidden/>
          </w:rPr>
          <w:tab/>
        </w:r>
        <w:r w:rsidR="00021FDD">
          <w:rPr>
            <w:noProof/>
            <w:webHidden/>
          </w:rPr>
          <w:fldChar w:fldCharType="begin"/>
        </w:r>
        <w:r w:rsidR="00021FDD">
          <w:rPr>
            <w:noProof/>
            <w:webHidden/>
          </w:rPr>
          <w:instrText xml:space="preserve"> PAGEREF _Toc75952147 \h </w:instrText>
        </w:r>
        <w:r w:rsidR="00021FDD">
          <w:rPr>
            <w:noProof/>
            <w:webHidden/>
          </w:rPr>
        </w:r>
        <w:r w:rsidR="00021FDD">
          <w:rPr>
            <w:noProof/>
            <w:webHidden/>
          </w:rPr>
          <w:fldChar w:fldCharType="separate"/>
        </w:r>
        <w:r w:rsidR="00021FDD">
          <w:rPr>
            <w:noProof/>
            <w:webHidden/>
          </w:rPr>
          <w:t>168</w:t>
        </w:r>
        <w:r w:rsidR="00021FDD">
          <w:rPr>
            <w:noProof/>
            <w:webHidden/>
          </w:rPr>
          <w:fldChar w:fldCharType="end"/>
        </w:r>
      </w:hyperlink>
    </w:p>
    <w:p w14:paraId="04524C30" w14:textId="4D342354" w:rsidR="00021FDD" w:rsidRDefault="00CB73FC">
      <w:pPr>
        <w:pStyle w:val="Obsah2"/>
        <w:rPr>
          <w:rFonts w:asciiTheme="minorHAnsi" w:eastAsiaTheme="minorEastAsia" w:hAnsiTheme="minorHAnsi" w:cstheme="minorBidi"/>
          <w:sz w:val="22"/>
          <w:lang w:eastAsia="cs-CZ"/>
        </w:rPr>
      </w:pPr>
      <w:hyperlink w:anchor="_Toc75952148" w:history="1">
        <w:r w:rsidR="00021FDD" w:rsidRPr="00896B32">
          <w:rPr>
            <w:rStyle w:val="Hypertextovodkaz"/>
            <w:lang w:eastAsia="cs-CZ"/>
          </w:rPr>
          <w:t>5.2</w:t>
        </w:r>
        <w:r w:rsidR="00021FDD">
          <w:rPr>
            <w:rFonts w:asciiTheme="minorHAnsi" w:eastAsiaTheme="minorEastAsia" w:hAnsiTheme="minorHAnsi" w:cstheme="minorBidi"/>
            <w:sz w:val="22"/>
            <w:lang w:eastAsia="cs-CZ"/>
          </w:rPr>
          <w:tab/>
        </w:r>
        <w:r w:rsidR="00021FDD" w:rsidRPr="00896B32">
          <w:rPr>
            <w:rStyle w:val="Hypertextovodkaz"/>
            <w:lang w:eastAsia="cs-CZ"/>
          </w:rPr>
          <w:t>Civilní dovolací agenda</w:t>
        </w:r>
        <w:r w:rsidR="00021FDD">
          <w:rPr>
            <w:webHidden/>
          </w:rPr>
          <w:tab/>
        </w:r>
        <w:r w:rsidR="00021FDD">
          <w:rPr>
            <w:webHidden/>
          </w:rPr>
          <w:fldChar w:fldCharType="begin"/>
        </w:r>
        <w:r w:rsidR="00021FDD">
          <w:rPr>
            <w:webHidden/>
          </w:rPr>
          <w:instrText xml:space="preserve"> PAGEREF _Toc75952148 \h </w:instrText>
        </w:r>
        <w:r w:rsidR="00021FDD">
          <w:rPr>
            <w:webHidden/>
          </w:rPr>
        </w:r>
        <w:r w:rsidR="00021FDD">
          <w:rPr>
            <w:webHidden/>
          </w:rPr>
          <w:fldChar w:fldCharType="separate"/>
        </w:r>
        <w:r w:rsidR="00021FDD">
          <w:rPr>
            <w:webHidden/>
          </w:rPr>
          <w:t>169</w:t>
        </w:r>
        <w:r w:rsidR="00021FDD">
          <w:rPr>
            <w:webHidden/>
          </w:rPr>
          <w:fldChar w:fldCharType="end"/>
        </w:r>
      </w:hyperlink>
    </w:p>
    <w:p w14:paraId="64417A51" w14:textId="1BC5E927" w:rsidR="00021FDD" w:rsidRDefault="00CB73FC">
      <w:pPr>
        <w:pStyle w:val="Obsah3"/>
        <w:rPr>
          <w:rFonts w:asciiTheme="minorHAnsi" w:eastAsiaTheme="minorEastAsia" w:hAnsiTheme="minorHAnsi" w:cstheme="minorBidi"/>
          <w:noProof/>
          <w:sz w:val="22"/>
          <w:lang w:eastAsia="cs-CZ"/>
        </w:rPr>
      </w:pPr>
      <w:hyperlink w:anchor="_Toc75952149" w:history="1">
        <w:r w:rsidR="00021FDD" w:rsidRPr="00896B32">
          <w:rPr>
            <w:rStyle w:val="Hypertextovodkaz"/>
            <w:noProof/>
            <w:lang w:eastAsia="cs-CZ"/>
          </w:rPr>
          <w:t>5.2.1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_Toc75952149 \h </w:instrText>
        </w:r>
        <w:r w:rsidR="00021FDD">
          <w:rPr>
            <w:noProof/>
            <w:webHidden/>
          </w:rPr>
        </w:r>
        <w:r w:rsidR="00021FDD">
          <w:rPr>
            <w:noProof/>
            <w:webHidden/>
          </w:rPr>
          <w:fldChar w:fldCharType="separate"/>
        </w:r>
        <w:r w:rsidR="00021FDD">
          <w:rPr>
            <w:noProof/>
            <w:webHidden/>
          </w:rPr>
          <w:t>169</w:t>
        </w:r>
        <w:r w:rsidR="00021FDD">
          <w:rPr>
            <w:noProof/>
            <w:webHidden/>
          </w:rPr>
          <w:fldChar w:fldCharType="end"/>
        </w:r>
      </w:hyperlink>
    </w:p>
    <w:p w14:paraId="3EFE6E10" w14:textId="4A2E5CF6" w:rsidR="00021FDD" w:rsidRDefault="00CB73FC">
      <w:pPr>
        <w:pStyle w:val="Obsah2"/>
        <w:rPr>
          <w:rFonts w:asciiTheme="minorHAnsi" w:eastAsiaTheme="minorEastAsia" w:hAnsiTheme="minorHAnsi" w:cstheme="minorBidi"/>
          <w:sz w:val="22"/>
          <w:lang w:eastAsia="cs-CZ"/>
        </w:rPr>
      </w:pPr>
      <w:hyperlink w:anchor="_Toc75952150" w:history="1">
        <w:r w:rsidR="00021FDD" w:rsidRPr="00896B32">
          <w:rPr>
            <w:rStyle w:val="Hypertextovodkaz"/>
          </w:rPr>
          <w:t>5.3</w:t>
        </w:r>
        <w:r w:rsidR="00021FDD">
          <w:rPr>
            <w:rFonts w:asciiTheme="minorHAnsi" w:eastAsiaTheme="minorEastAsia" w:hAnsiTheme="minorHAnsi" w:cstheme="minorBidi"/>
            <w:sz w:val="22"/>
            <w:lang w:eastAsia="cs-CZ"/>
          </w:rPr>
          <w:tab/>
        </w:r>
        <w:r w:rsidR="00021FDD" w:rsidRPr="00896B32">
          <w:rPr>
            <w:rStyle w:val="Hypertextovodkaz"/>
          </w:rPr>
          <w:t>Trestní dovolací agenda</w:t>
        </w:r>
        <w:r w:rsidR="00021FDD">
          <w:rPr>
            <w:webHidden/>
          </w:rPr>
          <w:tab/>
        </w:r>
        <w:r w:rsidR="00021FDD">
          <w:rPr>
            <w:webHidden/>
          </w:rPr>
          <w:fldChar w:fldCharType="begin"/>
        </w:r>
        <w:r w:rsidR="00021FDD">
          <w:rPr>
            <w:webHidden/>
          </w:rPr>
          <w:instrText xml:space="preserve"> PAGEREF _Toc75952150 \h </w:instrText>
        </w:r>
        <w:r w:rsidR="00021FDD">
          <w:rPr>
            <w:webHidden/>
          </w:rPr>
        </w:r>
        <w:r w:rsidR="00021FDD">
          <w:rPr>
            <w:webHidden/>
          </w:rPr>
          <w:fldChar w:fldCharType="separate"/>
        </w:r>
        <w:r w:rsidR="00021FDD">
          <w:rPr>
            <w:webHidden/>
          </w:rPr>
          <w:t>171</w:t>
        </w:r>
        <w:r w:rsidR="00021FDD">
          <w:rPr>
            <w:webHidden/>
          </w:rPr>
          <w:fldChar w:fldCharType="end"/>
        </w:r>
      </w:hyperlink>
    </w:p>
    <w:p w14:paraId="41D12039" w14:textId="2011C1F5" w:rsidR="00021FDD" w:rsidRDefault="00CB73FC">
      <w:pPr>
        <w:pStyle w:val="Obsah3"/>
        <w:rPr>
          <w:rFonts w:asciiTheme="minorHAnsi" w:eastAsiaTheme="minorEastAsia" w:hAnsiTheme="minorHAnsi" w:cstheme="minorBidi"/>
          <w:noProof/>
          <w:sz w:val="22"/>
          <w:lang w:eastAsia="cs-CZ"/>
        </w:rPr>
      </w:pPr>
      <w:hyperlink w:anchor="_Toc75952151" w:history="1">
        <w:r w:rsidR="00021FDD" w:rsidRPr="00896B32">
          <w:rPr>
            <w:rStyle w:val="Hypertextovodkaz"/>
            <w:noProof/>
            <w:lang w:eastAsia="cs-CZ"/>
          </w:rPr>
          <w:t>5.3.1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_Toc75952151 \h </w:instrText>
        </w:r>
        <w:r w:rsidR="00021FDD">
          <w:rPr>
            <w:noProof/>
            <w:webHidden/>
          </w:rPr>
        </w:r>
        <w:r w:rsidR="00021FDD">
          <w:rPr>
            <w:noProof/>
            <w:webHidden/>
          </w:rPr>
          <w:fldChar w:fldCharType="separate"/>
        </w:r>
        <w:r w:rsidR="00021FDD">
          <w:rPr>
            <w:noProof/>
            <w:webHidden/>
          </w:rPr>
          <w:t>171</w:t>
        </w:r>
        <w:r w:rsidR="00021FDD">
          <w:rPr>
            <w:noProof/>
            <w:webHidden/>
          </w:rPr>
          <w:fldChar w:fldCharType="end"/>
        </w:r>
      </w:hyperlink>
    </w:p>
    <w:p w14:paraId="0ECDFE55" w14:textId="2C83502B" w:rsidR="00021FDD" w:rsidRDefault="00CB73FC">
      <w:pPr>
        <w:pStyle w:val="Obsah2"/>
        <w:rPr>
          <w:rFonts w:asciiTheme="minorHAnsi" w:eastAsiaTheme="minorEastAsia" w:hAnsiTheme="minorHAnsi" w:cstheme="minorBidi"/>
          <w:sz w:val="22"/>
          <w:lang w:eastAsia="cs-CZ"/>
        </w:rPr>
      </w:pPr>
      <w:hyperlink w:anchor="_Toc75952152" w:history="1">
        <w:r w:rsidR="00021FDD" w:rsidRPr="00896B32">
          <w:rPr>
            <w:rStyle w:val="Hypertextovodkaz"/>
          </w:rPr>
          <w:t>5.4</w:t>
        </w:r>
        <w:r w:rsidR="00021FDD">
          <w:rPr>
            <w:rFonts w:asciiTheme="minorHAnsi" w:eastAsiaTheme="minorEastAsia" w:hAnsiTheme="minorHAnsi" w:cstheme="minorBidi"/>
            <w:sz w:val="22"/>
            <w:lang w:eastAsia="cs-CZ"/>
          </w:rPr>
          <w:tab/>
        </w:r>
        <w:r w:rsidR="00021FDD" w:rsidRPr="00896B32">
          <w:rPr>
            <w:rStyle w:val="Hypertextovodkaz"/>
          </w:rPr>
          <w:t>Stížnosti pro porušení zákona</w:t>
        </w:r>
        <w:r w:rsidR="00021FDD">
          <w:rPr>
            <w:webHidden/>
          </w:rPr>
          <w:tab/>
        </w:r>
        <w:r w:rsidR="00021FDD">
          <w:rPr>
            <w:webHidden/>
          </w:rPr>
          <w:fldChar w:fldCharType="begin"/>
        </w:r>
        <w:r w:rsidR="00021FDD">
          <w:rPr>
            <w:webHidden/>
          </w:rPr>
          <w:instrText xml:space="preserve"> PAGEREF _Toc75952152 \h </w:instrText>
        </w:r>
        <w:r w:rsidR="00021FDD">
          <w:rPr>
            <w:webHidden/>
          </w:rPr>
        </w:r>
        <w:r w:rsidR="00021FDD">
          <w:rPr>
            <w:webHidden/>
          </w:rPr>
          <w:fldChar w:fldCharType="separate"/>
        </w:r>
        <w:r w:rsidR="00021FDD">
          <w:rPr>
            <w:webHidden/>
          </w:rPr>
          <w:t>172</w:t>
        </w:r>
        <w:r w:rsidR="00021FDD">
          <w:rPr>
            <w:webHidden/>
          </w:rPr>
          <w:fldChar w:fldCharType="end"/>
        </w:r>
      </w:hyperlink>
    </w:p>
    <w:p w14:paraId="0FA2AB45" w14:textId="7CBAD9BB" w:rsidR="00021FDD" w:rsidRDefault="00CB73FC">
      <w:pPr>
        <w:pStyle w:val="Obsah3"/>
        <w:rPr>
          <w:rFonts w:asciiTheme="minorHAnsi" w:eastAsiaTheme="minorEastAsia" w:hAnsiTheme="minorHAnsi" w:cstheme="minorBidi"/>
          <w:noProof/>
          <w:sz w:val="22"/>
          <w:lang w:eastAsia="cs-CZ"/>
        </w:rPr>
      </w:pPr>
      <w:hyperlink w:anchor="_Toc75952153" w:history="1">
        <w:r w:rsidR="00021FDD" w:rsidRPr="00896B32">
          <w:rPr>
            <w:rStyle w:val="Hypertextovodkaz"/>
            <w:noProof/>
            <w:lang w:eastAsia="cs-CZ"/>
          </w:rPr>
          <w:t>5.4.1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_Toc75952153 \h </w:instrText>
        </w:r>
        <w:r w:rsidR="00021FDD">
          <w:rPr>
            <w:noProof/>
            <w:webHidden/>
          </w:rPr>
        </w:r>
        <w:r w:rsidR="00021FDD">
          <w:rPr>
            <w:noProof/>
            <w:webHidden/>
          </w:rPr>
          <w:fldChar w:fldCharType="separate"/>
        </w:r>
        <w:r w:rsidR="00021FDD">
          <w:rPr>
            <w:noProof/>
            <w:webHidden/>
          </w:rPr>
          <w:t>172</w:t>
        </w:r>
        <w:r w:rsidR="00021FDD">
          <w:rPr>
            <w:noProof/>
            <w:webHidden/>
          </w:rPr>
          <w:fldChar w:fldCharType="end"/>
        </w:r>
      </w:hyperlink>
    </w:p>
    <w:p w14:paraId="6E9125DE" w14:textId="71E88748" w:rsidR="00021FDD" w:rsidRDefault="00CB73FC">
      <w:pPr>
        <w:pStyle w:val="Obsah2"/>
        <w:rPr>
          <w:rFonts w:asciiTheme="minorHAnsi" w:eastAsiaTheme="minorEastAsia" w:hAnsiTheme="minorHAnsi" w:cstheme="minorBidi"/>
          <w:sz w:val="22"/>
          <w:lang w:eastAsia="cs-CZ"/>
        </w:rPr>
      </w:pPr>
      <w:hyperlink w:anchor="_Toc75952154" w:history="1">
        <w:r w:rsidR="00021FDD" w:rsidRPr="00896B32">
          <w:rPr>
            <w:rStyle w:val="Hypertextovodkaz"/>
          </w:rPr>
          <w:t>5.5</w:t>
        </w:r>
        <w:r w:rsidR="00021FDD">
          <w:rPr>
            <w:rFonts w:asciiTheme="minorHAnsi" w:eastAsiaTheme="minorEastAsia" w:hAnsiTheme="minorHAnsi" w:cstheme="minorBidi"/>
            <w:sz w:val="22"/>
            <w:lang w:eastAsia="cs-CZ"/>
          </w:rPr>
          <w:tab/>
        </w:r>
        <w:r w:rsidR="00021FDD" w:rsidRPr="00896B32">
          <w:rPr>
            <w:rStyle w:val="Hypertextovodkaz"/>
          </w:rPr>
          <w:t>Insolvenční agenda</w:t>
        </w:r>
        <w:r w:rsidR="00021FDD">
          <w:rPr>
            <w:webHidden/>
          </w:rPr>
          <w:tab/>
        </w:r>
        <w:r w:rsidR="00021FDD">
          <w:rPr>
            <w:webHidden/>
          </w:rPr>
          <w:fldChar w:fldCharType="begin"/>
        </w:r>
        <w:r w:rsidR="00021FDD">
          <w:rPr>
            <w:webHidden/>
          </w:rPr>
          <w:instrText xml:space="preserve"> PAGEREF _Toc75952154 \h </w:instrText>
        </w:r>
        <w:r w:rsidR="00021FDD">
          <w:rPr>
            <w:webHidden/>
          </w:rPr>
        </w:r>
        <w:r w:rsidR="00021FDD">
          <w:rPr>
            <w:webHidden/>
          </w:rPr>
          <w:fldChar w:fldCharType="separate"/>
        </w:r>
        <w:r w:rsidR="00021FDD">
          <w:rPr>
            <w:webHidden/>
          </w:rPr>
          <w:t>173</w:t>
        </w:r>
        <w:r w:rsidR="00021FDD">
          <w:rPr>
            <w:webHidden/>
          </w:rPr>
          <w:fldChar w:fldCharType="end"/>
        </w:r>
      </w:hyperlink>
    </w:p>
    <w:p w14:paraId="5166B181" w14:textId="6B04AE31" w:rsidR="00021FDD" w:rsidRDefault="00CB73FC">
      <w:pPr>
        <w:pStyle w:val="Obsah3"/>
        <w:rPr>
          <w:rFonts w:asciiTheme="minorHAnsi" w:eastAsiaTheme="minorEastAsia" w:hAnsiTheme="minorHAnsi" w:cstheme="minorBidi"/>
          <w:noProof/>
          <w:sz w:val="22"/>
          <w:lang w:eastAsia="cs-CZ"/>
        </w:rPr>
      </w:pPr>
      <w:hyperlink w:anchor="_Toc75952155" w:history="1">
        <w:r w:rsidR="00021FDD" w:rsidRPr="00896B32">
          <w:rPr>
            <w:rStyle w:val="Hypertextovodkaz"/>
            <w:noProof/>
          </w:rPr>
          <w:t>5.5.1</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_Toc75952155 \h </w:instrText>
        </w:r>
        <w:r w:rsidR="00021FDD">
          <w:rPr>
            <w:noProof/>
            <w:webHidden/>
          </w:rPr>
        </w:r>
        <w:r w:rsidR="00021FDD">
          <w:rPr>
            <w:noProof/>
            <w:webHidden/>
          </w:rPr>
          <w:fldChar w:fldCharType="separate"/>
        </w:r>
        <w:r w:rsidR="00021FDD">
          <w:rPr>
            <w:noProof/>
            <w:webHidden/>
          </w:rPr>
          <w:t>173</w:t>
        </w:r>
        <w:r w:rsidR="00021FDD">
          <w:rPr>
            <w:noProof/>
            <w:webHidden/>
          </w:rPr>
          <w:fldChar w:fldCharType="end"/>
        </w:r>
      </w:hyperlink>
    </w:p>
    <w:p w14:paraId="6BB48571" w14:textId="4A80E418" w:rsidR="00021FDD" w:rsidRDefault="00CB73FC">
      <w:pPr>
        <w:pStyle w:val="Obsah1"/>
        <w:tabs>
          <w:tab w:val="left" w:pos="482"/>
        </w:tabs>
        <w:rPr>
          <w:rFonts w:asciiTheme="minorHAnsi" w:eastAsiaTheme="minorEastAsia" w:hAnsiTheme="minorHAnsi" w:cstheme="minorBidi"/>
          <w:noProof/>
          <w:sz w:val="22"/>
          <w:lang w:eastAsia="cs-CZ"/>
        </w:rPr>
      </w:pPr>
      <w:hyperlink w:anchor="_Toc75952156" w:history="1">
        <w:r w:rsidR="00021FDD" w:rsidRPr="00896B32">
          <w:rPr>
            <w:rStyle w:val="Hypertextovodkaz"/>
            <w:noProof/>
            <w:lang w:eastAsia="cs-CZ"/>
          </w:rPr>
          <w:t>6</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Nejvyšší správní soud</w:t>
        </w:r>
        <w:r w:rsidR="00021FDD">
          <w:rPr>
            <w:noProof/>
            <w:webHidden/>
          </w:rPr>
          <w:tab/>
        </w:r>
        <w:r w:rsidR="00021FDD">
          <w:rPr>
            <w:noProof/>
            <w:webHidden/>
          </w:rPr>
          <w:fldChar w:fldCharType="begin"/>
        </w:r>
        <w:r w:rsidR="00021FDD">
          <w:rPr>
            <w:noProof/>
            <w:webHidden/>
          </w:rPr>
          <w:instrText xml:space="preserve"> PAGEREF _Toc75952156 \h </w:instrText>
        </w:r>
        <w:r w:rsidR="00021FDD">
          <w:rPr>
            <w:noProof/>
            <w:webHidden/>
          </w:rPr>
        </w:r>
        <w:r w:rsidR="00021FDD">
          <w:rPr>
            <w:noProof/>
            <w:webHidden/>
          </w:rPr>
          <w:fldChar w:fldCharType="separate"/>
        </w:r>
        <w:r w:rsidR="00021FDD">
          <w:rPr>
            <w:noProof/>
            <w:webHidden/>
          </w:rPr>
          <w:t>174</w:t>
        </w:r>
        <w:r w:rsidR="00021FDD">
          <w:rPr>
            <w:noProof/>
            <w:webHidden/>
          </w:rPr>
          <w:fldChar w:fldCharType="end"/>
        </w:r>
      </w:hyperlink>
    </w:p>
    <w:p w14:paraId="07702941" w14:textId="3B1420B0" w:rsidR="00021FDD" w:rsidRDefault="00CB73FC">
      <w:pPr>
        <w:pStyle w:val="Obsah2"/>
        <w:rPr>
          <w:rFonts w:asciiTheme="minorHAnsi" w:eastAsiaTheme="minorEastAsia" w:hAnsiTheme="minorHAnsi" w:cstheme="minorBidi"/>
          <w:sz w:val="22"/>
          <w:lang w:eastAsia="cs-CZ"/>
        </w:rPr>
      </w:pPr>
      <w:hyperlink w:anchor="_Toc75952157" w:history="1">
        <w:r w:rsidR="00021FDD" w:rsidRPr="00896B32">
          <w:rPr>
            <w:rStyle w:val="Hypertextovodkaz"/>
            <w:lang w:eastAsia="cs-CZ"/>
          </w:rPr>
          <w:t>6.1</w:t>
        </w:r>
        <w:r w:rsidR="00021FDD">
          <w:rPr>
            <w:rFonts w:asciiTheme="minorHAnsi" w:eastAsiaTheme="minorEastAsia" w:hAnsiTheme="minorHAnsi" w:cstheme="minorBidi"/>
            <w:sz w:val="22"/>
            <w:lang w:eastAsia="cs-CZ"/>
          </w:rPr>
          <w:tab/>
        </w:r>
        <w:r w:rsidR="00021FDD" w:rsidRPr="00896B32">
          <w:rPr>
            <w:rStyle w:val="Hypertextovodkaz"/>
            <w:lang w:eastAsia="cs-CZ"/>
          </w:rPr>
          <w:t>Personál</w:t>
        </w:r>
        <w:r w:rsidR="00021FDD">
          <w:rPr>
            <w:webHidden/>
          </w:rPr>
          <w:tab/>
        </w:r>
        <w:r w:rsidR="00021FDD">
          <w:rPr>
            <w:webHidden/>
          </w:rPr>
          <w:fldChar w:fldCharType="begin"/>
        </w:r>
        <w:r w:rsidR="00021FDD">
          <w:rPr>
            <w:webHidden/>
          </w:rPr>
          <w:instrText xml:space="preserve"> PAGEREF _Toc75952157 \h </w:instrText>
        </w:r>
        <w:r w:rsidR="00021FDD">
          <w:rPr>
            <w:webHidden/>
          </w:rPr>
        </w:r>
        <w:r w:rsidR="00021FDD">
          <w:rPr>
            <w:webHidden/>
          </w:rPr>
          <w:fldChar w:fldCharType="separate"/>
        </w:r>
        <w:r w:rsidR="00021FDD">
          <w:rPr>
            <w:webHidden/>
          </w:rPr>
          <w:t>174</w:t>
        </w:r>
        <w:r w:rsidR="00021FDD">
          <w:rPr>
            <w:webHidden/>
          </w:rPr>
          <w:fldChar w:fldCharType="end"/>
        </w:r>
      </w:hyperlink>
    </w:p>
    <w:p w14:paraId="74EB56FC" w14:textId="47037CEB" w:rsidR="00021FDD" w:rsidRDefault="00CB73FC">
      <w:pPr>
        <w:pStyle w:val="Obsah3"/>
        <w:rPr>
          <w:rFonts w:asciiTheme="minorHAnsi" w:eastAsiaTheme="minorEastAsia" w:hAnsiTheme="minorHAnsi" w:cstheme="minorBidi"/>
          <w:noProof/>
          <w:sz w:val="22"/>
          <w:lang w:eastAsia="cs-CZ"/>
        </w:rPr>
      </w:pPr>
      <w:hyperlink w:anchor="_Toc75952158" w:history="1">
        <w:r w:rsidR="00021FDD" w:rsidRPr="00896B32">
          <w:rPr>
            <w:rStyle w:val="Hypertextovodkaz"/>
            <w:noProof/>
            <w:lang w:eastAsia="cs-CZ"/>
          </w:rPr>
          <w:t>6.1.1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Soudci</w:t>
        </w:r>
        <w:r w:rsidR="00021FDD">
          <w:rPr>
            <w:noProof/>
            <w:webHidden/>
          </w:rPr>
          <w:tab/>
        </w:r>
        <w:r w:rsidR="00021FDD">
          <w:rPr>
            <w:noProof/>
            <w:webHidden/>
          </w:rPr>
          <w:fldChar w:fldCharType="begin"/>
        </w:r>
        <w:r w:rsidR="00021FDD">
          <w:rPr>
            <w:noProof/>
            <w:webHidden/>
          </w:rPr>
          <w:instrText xml:space="preserve"> PAGEREF _Toc75952158 \h </w:instrText>
        </w:r>
        <w:r w:rsidR="00021FDD">
          <w:rPr>
            <w:noProof/>
            <w:webHidden/>
          </w:rPr>
        </w:r>
        <w:r w:rsidR="00021FDD">
          <w:rPr>
            <w:noProof/>
            <w:webHidden/>
          </w:rPr>
          <w:fldChar w:fldCharType="separate"/>
        </w:r>
        <w:r w:rsidR="00021FDD">
          <w:rPr>
            <w:noProof/>
            <w:webHidden/>
          </w:rPr>
          <w:t>174</w:t>
        </w:r>
        <w:r w:rsidR="00021FDD">
          <w:rPr>
            <w:noProof/>
            <w:webHidden/>
          </w:rPr>
          <w:fldChar w:fldCharType="end"/>
        </w:r>
      </w:hyperlink>
    </w:p>
    <w:p w14:paraId="0375007B" w14:textId="7CC2278D" w:rsidR="00021FDD" w:rsidRDefault="00CB73FC">
      <w:pPr>
        <w:pStyle w:val="Obsah3"/>
        <w:rPr>
          <w:rFonts w:asciiTheme="minorHAnsi" w:eastAsiaTheme="minorEastAsia" w:hAnsiTheme="minorHAnsi" w:cstheme="minorBidi"/>
          <w:noProof/>
          <w:sz w:val="22"/>
          <w:lang w:eastAsia="cs-CZ"/>
        </w:rPr>
      </w:pPr>
      <w:hyperlink w:anchor="_Toc75952159" w:history="1">
        <w:r w:rsidR="00021FDD" w:rsidRPr="00896B32">
          <w:rPr>
            <w:rStyle w:val="Hypertextovodkaz"/>
            <w:noProof/>
            <w:lang w:eastAsia="cs-CZ"/>
          </w:rPr>
          <w:t>6.1.2</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Zaměstnanci ve výkonu</w:t>
        </w:r>
        <w:r w:rsidR="00021FDD">
          <w:rPr>
            <w:noProof/>
            <w:webHidden/>
          </w:rPr>
          <w:tab/>
        </w:r>
        <w:r w:rsidR="00021FDD">
          <w:rPr>
            <w:noProof/>
            <w:webHidden/>
          </w:rPr>
          <w:fldChar w:fldCharType="begin"/>
        </w:r>
        <w:r w:rsidR="00021FDD">
          <w:rPr>
            <w:noProof/>
            <w:webHidden/>
          </w:rPr>
          <w:instrText xml:space="preserve"> PAGEREF _Toc75952159 \h </w:instrText>
        </w:r>
        <w:r w:rsidR="00021FDD">
          <w:rPr>
            <w:noProof/>
            <w:webHidden/>
          </w:rPr>
        </w:r>
        <w:r w:rsidR="00021FDD">
          <w:rPr>
            <w:noProof/>
            <w:webHidden/>
          </w:rPr>
          <w:fldChar w:fldCharType="separate"/>
        </w:r>
        <w:r w:rsidR="00021FDD">
          <w:rPr>
            <w:noProof/>
            <w:webHidden/>
          </w:rPr>
          <w:t>176</w:t>
        </w:r>
        <w:r w:rsidR="00021FDD">
          <w:rPr>
            <w:noProof/>
            <w:webHidden/>
          </w:rPr>
          <w:fldChar w:fldCharType="end"/>
        </w:r>
      </w:hyperlink>
    </w:p>
    <w:p w14:paraId="3AA016C5" w14:textId="2C895219" w:rsidR="00021FDD" w:rsidRDefault="00CB73FC">
      <w:pPr>
        <w:pStyle w:val="Obsah2"/>
        <w:rPr>
          <w:rFonts w:asciiTheme="minorHAnsi" w:eastAsiaTheme="minorEastAsia" w:hAnsiTheme="minorHAnsi" w:cstheme="minorBidi"/>
          <w:sz w:val="22"/>
          <w:lang w:eastAsia="cs-CZ"/>
        </w:rPr>
      </w:pPr>
      <w:hyperlink w:anchor="_Toc75952160" w:history="1">
        <w:r w:rsidR="00021FDD" w:rsidRPr="00896B32">
          <w:rPr>
            <w:rStyle w:val="Hypertextovodkaz"/>
          </w:rPr>
          <w:t>6.2</w:t>
        </w:r>
        <w:r w:rsidR="00021FDD">
          <w:rPr>
            <w:rFonts w:asciiTheme="minorHAnsi" w:eastAsiaTheme="minorEastAsia" w:hAnsiTheme="minorHAnsi" w:cstheme="minorBidi"/>
            <w:sz w:val="22"/>
            <w:lang w:eastAsia="cs-CZ"/>
          </w:rPr>
          <w:tab/>
        </w:r>
        <w:r w:rsidR="00021FDD" w:rsidRPr="00896B32">
          <w:rPr>
            <w:rStyle w:val="Hypertextovodkaz"/>
          </w:rPr>
          <w:t>Řízení o kasačních stížnostech</w:t>
        </w:r>
        <w:r w:rsidR="00021FDD">
          <w:rPr>
            <w:webHidden/>
          </w:rPr>
          <w:tab/>
        </w:r>
        <w:r w:rsidR="00021FDD">
          <w:rPr>
            <w:webHidden/>
          </w:rPr>
          <w:fldChar w:fldCharType="begin"/>
        </w:r>
        <w:r w:rsidR="00021FDD">
          <w:rPr>
            <w:webHidden/>
          </w:rPr>
          <w:instrText xml:space="preserve"> PAGEREF _Toc75952160 \h </w:instrText>
        </w:r>
        <w:r w:rsidR="00021FDD">
          <w:rPr>
            <w:webHidden/>
          </w:rPr>
        </w:r>
        <w:r w:rsidR="00021FDD">
          <w:rPr>
            <w:webHidden/>
          </w:rPr>
          <w:fldChar w:fldCharType="separate"/>
        </w:r>
        <w:r w:rsidR="00021FDD">
          <w:rPr>
            <w:webHidden/>
          </w:rPr>
          <w:t>177</w:t>
        </w:r>
        <w:r w:rsidR="00021FDD">
          <w:rPr>
            <w:webHidden/>
          </w:rPr>
          <w:fldChar w:fldCharType="end"/>
        </w:r>
      </w:hyperlink>
    </w:p>
    <w:p w14:paraId="2A96643A" w14:textId="3CEE05A6" w:rsidR="00021FDD" w:rsidRDefault="00CB73FC">
      <w:pPr>
        <w:pStyle w:val="Obsah3"/>
        <w:rPr>
          <w:rFonts w:asciiTheme="minorHAnsi" w:eastAsiaTheme="minorEastAsia" w:hAnsiTheme="minorHAnsi" w:cstheme="minorBidi"/>
          <w:noProof/>
          <w:sz w:val="22"/>
          <w:lang w:eastAsia="cs-CZ"/>
        </w:rPr>
      </w:pPr>
      <w:hyperlink w:anchor="_Toc75952161" w:history="1">
        <w:r w:rsidR="00021FDD" w:rsidRPr="00896B32">
          <w:rPr>
            <w:rStyle w:val="Hypertextovodkaz"/>
            <w:noProof/>
          </w:rPr>
          <w:t>6.2.1</w:t>
        </w:r>
        <w:r w:rsidR="00021FDD">
          <w:rPr>
            <w:rFonts w:asciiTheme="minorHAnsi" w:eastAsiaTheme="minorEastAsia" w:hAnsiTheme="minorHAnsi" w:cstheme="minorBidi"/>
            <w:noProof/>
            <w:sz w:val="22"/>
            <w:lang w:eastAsia="cs-CZ"/>
          </w:rPr>
          <w:tab/>
        </w:r>
        <w:r w:rsidR="00021FDD" w:rsidRPr="00896B32">
          <w:rPr>
            <w:rStyle w:val="Hypertextovodkaz"/>
            <w:noProof/>
          </w:rPr>
          <w:t>Vyřizování věcí</w:t>
        </w:r>
        <w:r w:rsidR="00021FDD">
          <w:rPr>
            <w:noProof/>
            <w:webHidden/>
          </w:rPr>
          <w:tab/>
        </w:r>
        <w:r w:rsidR="00021FDD">
          <w:rPr>
            <w:noProof/>
            <w:webHidden/>
          </w:rPr>
          <w:fldChar w:fldCharType="begin"/>
        </w:r>
        <w:r w:rsidR="00021FDD">
          <w:rPr>
            <w:noProof/>
            <w:webHidden/>
          </w:rPr>
          <w:instrText xml:space="preserve"> PAGEREF _Toc75952161 \h </w:instrText>
        </w:r>
        <w:r w:rsidR="00021FDD">
          <w:rPr>
            <w:noProof/>
            <w:webHidden/>
          </w:rPr>
        </w:r>
        <w:r w:rsidR="00021FDD">
          <w:rPr>
            <w:noProof/>
            <w:webHidden/>
          </w:rPr>
          <w:fldChar w:fldCharType="separate"/>
        </w:r>
        <w:r w:rsidR="00021FDD">
          <w:rPr>
            <w:noProof/>
            <w:webHidden/>
          </w:rPr>
          <w:t>177</w:t>
        </w:r>
        <w:r w:rsidR="00021FDD">
          <w:rPr>
            <w:noProof/>
            <w:webHidden/>
          </w:rPr>
          <w:fldChar w:fldCharType="end"/>
        </w:r>
      </w:hyperlink>
    </w:p>
    <w:p w14:paraId="668FC4AF" w14:textId="40556C71" w:rsidR="00021FDD" w:rsidRDefault="00CB73FC">
      <w:pPr>
        <w:pStyle w:val="Obsah2"/>
        <w:rPr>
          <w:rFonts w:asciiTheme="minorHAnsi" w:eastAsiaTheme="minorEastAsia" w:hAnsiTheme="minorHAnsi" w:cstheme="minorBidi"/>
          <w:sz w:val="22"/>
          <w:lang w:eastAsia="cs-CZ"/>
        </w:rPr>
      </w:pPr>
      <w:hyperlink w:anchor="_Toc75952162" w:history="1">
        <w:r w:rsidR="00021FDD" w:rsidRPr="00896B32">
          <w:rPr>
            <w:rStyle w:val="Hypertextovodkaz"/>
            <w:lang w:eastAsia="cs-CZ"/>
          </w:rPr>
          <w:t>6.3</w:t>
        </w:r>
        <w:r w:rsidR="00021FDD">
          <w:rPr>
            <w:rFonts w:asciiTheme="minorHAnsi" w:eastAsiaTheme="minorEastAsia" w:hAnsiTheme="minorHAnsi" w:cstheme="minorBidi"/>
            <w:sz w:val="22"/>
            <w:lang w:eastAsia="cs-CZ"/>
          </w:rPr>
          <w:tab/>
        </w:r>
        <w:r w:rsidR="00021FDD" w:rsidRPr="00896B32">
          <w:rPr>
            <w:rStyle w:val="Hypertextovodkaz"/>
            <w:lang w:eastAsia="cs-CZ"/>
          </w:rPr>
          <w:t>Řízení ve věcech soudců</w:t>
        </w:r>
        <w:r w:rsidR="00021FDD">
          <w:rPr>
            <w:webHidden/>
          </w:rPr>
          <w:tab/>
        </w:r>
        <w:r w:rsidR="00021FDD">
          <w:rPr>
            <w:webHidden/>
          </w:rPr>
          <w:fldChar w:fldCharType="begin"/>
        </w:r>
        <w:r w:rsidR="00021FDD">
          <w:rPr>
            <w:webHidden/>
          </w:rPr>
          <w:instrText xml:space="preserve"> PAGEREF _Toc75952162 \h </w:instrText>
        </w:r>
        <w:r w:rsidR="00021FDD">
          <w:rPr>
            <w:webHidden/>
          </w:rPr>
        </w:r>
        <w:r w:rsidR="00021FDD">
          <w:rPr>
            <w:webHidden/>
          </w:rPr>
          <w:fldChar w:fldCharType="separate"/>
        </w:r>
        <w:r w:rsidR="00021FDD">
          <w:rPr>
            <w:webHidden/>
          </w:rPr>
          <w:t>178</w:t>
        </w:r>
        <w:r w:rsidR="00021FDD">
          <w:rPr>
            <w:webHidden/>
          </w:rPr>
          <w:fldChar w:fldCharType="end"/>
        </w:r>
      </w:hyperlink>
    </w:p>
    <w:p w14:paraId="34794F95" w14:textId="36F9C40A" w:rsidR="00021FDD" w:rsidRDefault="00CB73FC">
      <w:pPr>
        <w:pStyle w:val="Obsah3"/>
        <w:rPr>
          <w:rFonts w:asciiTheme="minorHAnsi" w:eastAsiaTheme="minorEastAsia" w:hAnsiTheme="minorHAnsi" w:cstheme="minorBidi"/>
          <w:noProof/>
          <w:sz w:val="22"/>
          <w:lang w:eastAsia="cs-CZ"/>
        </w:rPr>
      </w:pPr>
      <w:hyperlink w:anchor="_Toc75952163" w:history="1">
        <w:r w:rsidR="00021FDD" w:rsidRPr="00896B32">
          <w:rPr>
            <w:rStyle w:val="Hypertextovodkaz"/>
            <w:noProof/>
            <w:lang w:eastAsia="cs-CZ"/>
          </w:rPr>
          <w:t>6.3.1</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Vyřizování věcí</w:t>
        </w:r>
        <w:r w:rsidR="00021FDD">
          <w:rPr>
            <w:noProof/>
            <w:webHidden/>
          </w:rPr>
          <w:tab/>
        </w:r>
        <w:r w:rsidR="00021FDD">
          <w:rPr>
            <w:noProof/>
            <w:webHidden/>
          </w:rPr>
          <w:fldChar w:fldCharType="begin"/>
        </w:r>
        <w:r w:rsidR="00021FDD">
          <w:rPr>
            <w:noProof/>
            <w:webHidden/>
          </w:rPr>
          <w:instrText xml:space="preserve"> PAGEREF _Toc75952163 \h </w:instrText>
        </w:r>
        <w:r w:rsidR="00021FDD">
          <w:rPr>
            <w:noProof/>
            <w:webHidden/>
          </w:rPr>
        </w:r>
        <w:r w:rsidR="00021FDD">
          <w:rPr>
            <w:noProof/>
            <w:webHidden/>
          </w:rPr>
          <w:fldChar w:fldCharType="separate"/>
        </w:r>
        <w:r w:rsidR="00021FDD">
          <w:rPr>
            <w:noProof/>
            <w:webHidden/>
          </w:rPr>
          <w:t>178</w:t>
        </w:r>
        <w:r w:rsidR="00021FDD">
          <w:rPr>
            <w:noProof/>
            <w:webHidden/>
          </w:rPr>
          <w:fldChar w:fldCharType="end"/>
        </w:r>
      </w:hyperlink>
    </w:p>
    <w:p w14:paraId="2CEED116" w14:textId="363FCDC2" w:rsidR="00021FDD" w:rsidRDefault="00CB73FC">
      <w:pPr>
        <w:pStyle w:val="Obsah1"/>
        <w:tabs>
          <w:tab w:val="left" w:pos="482"/>
        </w:tabs>
        <w:rPr>
          <w:rFonts w:asciiTheme="minorHAnsi" w:eastAsiaTheme="minorEastAsia" w:hAnsiTheme="minorHAnsi" w:cstheme="minorBidi"/>
          <w:noProof/>
          <w:sz w:val="22"/>
          <w:lang w:eastAsia="cs-CZ"/>
        </w:rPr>
      </w:pPr>
      <w:hyperlink w:anchor="_Toc75952164" w:history="1">
        <w:r w:rsidR="00021FDD" w:rsidRPr="00896B32">
          <w:rPr>
            <w:rStyle w:val="Hypertextovodkaz"/>
            <w:noProof/>
            <w:lang w:eastAsia="cs-CZ"/>
          </w:rPr>
          <w:t>7</w:t>
        </w:r>
        <w:r w:rsidR="00021FDD">
          <w:rPr>
            <w:rFonts w:asciiTheme="minorHAnsi" w:eastAsiaTheme="minorEastAsia" w:hAnsiTheme="minorHAnsi" w:cstheme="minorBidi"/>
            <w:noProof/>
            <w:sz w:val="22"/>
            <w:lang w:eastAsia="cs-CZ"/>
          </w:rPr>
          <w:tab/>
        </w:r>
        <w:r w:rsidR="00021FDD" w:rsidRPr="00896B32">
          <w:rPr>
            <w:rStyle w:val="Hypertextovodkaz"/>
            <w:noProof/>
            <w:lang w:eastAsia="cs-CZ"/>
          </w:rPr>
          <w:t>Shrnutí a mezinárodní srovnání</w:t>
        </w:r>
        <w:r w:rsidR="00021FDD">
          <w:rPr>
            <w:noProof/>
            <w:webHidden/>
          </w:rPr>
          <w:tab/>
        </w:r>
        <w:r w:rsidR="00021FDD">
          <w:rPr>
            <w:noProof/>
            <w:webHidden/>
          </w:rPr>
          <w:fldChar w:fldCharType="begin"/>
        </w:r>
        <w:r w:rsidR="00021FDD">
          <w:rPr>
            <w:noProof/>
            <w:webHidden/>
          </w:rPr>
          <w:instrText xml:space="preserve"> PAGEREF _Toc75952164 \h </w:instrText>
        </w:r>
        <w:r w:rsidR="00021FDD">
          <w:rPr>
            <w:noProof/>
            <w:webHidden/>
          </w:rPr>
        </w:r>
        <w:r w:rsidR="00021FDD">
          <w:rPr>
            <w:noProof/>
            <w:webHidden/>
          </w:rPr>
          <w:fldChar w:fldCharType="separate"/>
        </w:r>
        <w:r w:rsidR="00021FDD">
          <w:rPr>
            <w:noProof/>
            <w:webHidden/>
          </w:rPr>
          <w:t>179</w:t>
        </w:r>
        <w:r w:rsidR="00021FDD">
          <w:rPr>
            <w:noProof/>
            <w:webHidden/>
          </w:rPr>
          <w:fldChar w:fldCharType="end"/>
        </w:r>
      </w:hyperlink>
    </w:p>
    <w:p w14:paraId="60D7F72E" w14:textId="3A9B6001" w:rsidR="00021FDD" w:rsidRDefault="00CB73FC">
      <w:pPr>
        <w:pStyle w:val="Obsah2"/>
        <w:rPr>
          <w:rFonts w:asciiTheme="minorHAnsi" w:eastAsiaTheme="minorEastAsia" w:hAnsiTheme="minorHAnsi" w:cstheme="minorBidi"/>
          <w:sz w:val="22"/>
          <w:lang w:eastAsia="cs-CZ"/>
        </w:rPr>
      </w:pPr>
      <w:hyperlink w:anchor="_Toc75952165" w:history="1">
        <w:r w:rsidR="00021FDD" w:rsidRPr="00896B32">
          <w:rPr>
            <w:rStyle w:val="Hypertextovodkaz"/>
            <w:lang w:eastAsia="cs-CZ"/>
          </w:rPr>
          <w:t>7.1</w:t>
        </w:r>
        <w:r w:rsidR="00021FDD">
          <w:rPr>
            <w:rFonts w:asciiTheme="minorHAnsi" w:eastAsiaTheme="minorEastAsia" w:hAnsiTheme="minorHAnsi" w:cstheme="minorBidi"/>
            <w:sz w:val="22"/>
            <w:lang w:eastAsia="cs-CZ"/>
          </w:rPr>
          <w:tab/>
        </w:r>
        <w:r w:rsidR="00021FDD" w:rsidRPr="00896B32">
          <w:rPr>
            <w:rStyle w:val="Hypertextovodkaz"/>
            <w:lang w:eastAsia="cs-CZ"/>
          </w:rPr>
          <w:t>Shrnutí</w:t>
        </w:r>
        <w:r w:rsidR="00021FDD">
          <w:rPr>
            <w:webHidden/>
          </w:rPr>
          <w:tab/>
        </w:r>
        <w:r w:rsidR="00021FDD">
          <w:rPr>
            <w:webHidden/>
          </w:rPr>
          <w:fldChar w:fldCharType="begin"/>
        </w:r>
        <w:r w:rsidR="00021FDD">
          <w:rPr>
            <w:webHidden/>
          </w:rPr>
          <w:instrText xml:space="preserve"> PAGEREF _Toc75952165 \h </w:instrText>
        </w:r>
        <w:r w:rsidR="00021FDD">
          <w:rPr>
            <w:webHidden/>
          </w:rPr>
        </w:r>
        <w:r w:rsidR="00021FDD">
          <w:rPr>
            <w:webHidden/>
          </w:rPr>
          <w:fldChar w:fldCharType="separate"/>
        </w:r>
        <w:r w:rsidR="00021FDD">
          <w:rPr>
            <w:webHidden/>
          </w:rPr>
          <w:t>179</w:t>
        </w:r>
        <w:r w:rsidR="00021FDD">
          <w:rPr>
            <w:webHidden/>
          </w:rPr>
          <w:fldChar w:fldCharType="end"/>
        </w:r>
      </w:hyperlink>
    </w:p>
    <w:p w14:paraId="583296C5" w14:textId="46C614B2" w:rsidR="00021FDD" w:rsidRDefault="00CB73FC">
      <w:pPr>
        <w:pStyle w:val="Obsah2"/>
        <w:rPr>
          <w:rFonts w:asciiTheme="minorHAnsi" w:eastAsiaTheme="minorEastAsia" w:hAnsiTheme="minorHAnsi" w:cstheme="minorBidi"/>
          <w:sz w:val="22"/>
          <w:lang w:eastAsia="cs-CZ"/>
        </w:rPr>
      </w:pPr>
      <w:hyperlink w:anchor="_Toc75952166" w:history="1">
        <w:r w:rsidR="00021FDD" w:rsidRPr="00896B32">
          <w:rPr>
            <w:rStyle w:val="Hypertextovodkaz"/>
            <w:lang w:eastAsia="cs-CZ"/>
          </w:rPr>
          <w:t>7.2</w:t>
        </w:r>
        <w:r w:rsidR="00021FDD">
          <w:rPr>
            <w:rFonts w:asciiTheme="minorHAnsi" w:eastAsiaTheme="minorEastAsia" w:hAnsiTheme="minorHAnsi" w:cstheme="minorBidi"/>
            <w:sz w:val="22"/>
            <w:lang w:eastAsia="cs-CZ"/>
          </w:rPr>
          <w:tab/>
        </w:r>
        <w:r w:rsidR="00021FDD" w:rsidRPr="00896B32">
          <w:rPr>
            <w:rStyle w:val="Hypertextovodkaz"/>
            <w:lang w:eastAsia="cs-CZ"/>
          </w:rPr>
          <w:t>Mezinárodní srovnání v netrestní agendě</w:t>
        </w:r>
        <w:r w:rsidR="00021FDD">
          <w:rPr>
            <w:webHidden/>
          </w:rPr>
          <w:tab/>
        </w:r>
        <w:r w:rsidR="00021FDD">
          <w:rPr>
            <w:webHidden/>
          </w:rPr>
          <w:fldChar w:fldCharType="begin"/>
        </w:r>
        <w:r w:rsidR="00021FDD">
          <w:rPr>
            <w:webHidden/>
          </w:rPr>
          <w:instrText xml:space="preserve"> PAGEREF _Toc75952166 \h </w:instrText>
        </w:r>
        <w:r w:rsidR="00021FDD">
          <w:rPr>
            <w:webHidden/>
          </w:rPr>
        </w:r>
        <w:r w:rsidR="00021FDD">
          <w:rPr>
            <w:webHidden/>
          </w:rPr>
          <w:fldChar w:fldCharType="separate"/>
        </w:r>
        <w:r w:rsidR="00021FDD">
          <w:rPr>
            <w:webHidden/>
          </w:rPr>
          <w:t>182</w:t>
        </w:r>
        <w:r w:rsidR="00021FDD">
          <w:rPr>
            <w:webHidden/>
          </w:rPr>
          <w:fldChar w:fldCharType="end"/>
        </w:r>
      </w:hyperlink>
    </w:p>
    <w:p w14:paraId="27CEF576" w14:textId="51A5BA83" w:rsidR="00021FDD" w:rsidRDefault="00CB73FC">
      <w:pPr>
        <w:pStyle w:val="Obsah1"/>
        <w:tabs>
          <w:tab w:val="left" w:pos="482"/>
        </w:tabs>
        <w:rPr>
          <w:rFonts w:asciiTheme="minorHAnsi" w:eastAsiaTheme="minorEastAsia" w:hAnsiTheme="minorHAnsi" w:cstheme="minorBidi"/>
          <w:noProof/>
          <w:sz w:val="22"/>
          <w:lang w:eastAsia="cs-CZ"/>
        </w:rPr>
      </w:pPr>
      <w:hyperlink w:anchor="_Toc75952167" w:history="1">
        <w:r w:rsidR="00021FDD" w:rsidRPr="00896B32">
          <w:rPr>
            <w:rStyle w:val="Hypertextovodkaz"/>
            <w:noProof/>
          </w:rPr>
          <w:t>8</w:t>
        </w:r>
        <w:r w:rsidR="00021FDD">
          <w:rPr>
            <w:rFonts w:asciiTheme="minorHAnsi" w:eastAsiaTheme="minorEastAsia" w:hAnsiTheme="minorHAnsi" w:cstheme="minorBidi"/>
            <w:noProof/>
            <w:sz w:val="22"/>
            <w:lang w:eastAsia="cs-CZ"/>
          </w:rPr>
          <w:tab/>
        </w:r>
        <w:r w:rsidR="00021FDD" w:rsidRPr="00896B32">
          <w:rPr>
            <w:rStyle w:val="Hypertextovodkaz"/>
            <w:noProof/>
          </w:rPr>
          <w:t>Jiné statistiky</w:t>
        </w:r>
        <w:r w:rsidR="00021FDD">
          <w:rPr>
            <w:noProof/>
            <w:webHidden/>
          </w:rPr>
          <w:tab/>
        </w:r>
        <w:r w:rsidR="00021FDD">
          <w:rPr>
            <w:noProof/>
            <w:webHidden/>
          </w:rPr>
          <w:fldChar w:fldCharType="begin"/>
        </w:r>
        <w:r w:rsidR="00021FDD">
          <w:rPr>
            <w:noProof/>
            <w:webHidden/>
          </w:rPr>
          <w:instrText xml:space="preserve"> PAGEREF _Toc75952167 \h </w:instrText>
        </w:r>
        <w:r w:rsidR="00021FDD">
          <w:rPr>
            <w:noProof/>
            <w:webHidden/>
          </w:rPr>
        </w:r>
        <w:r w:rsidR="00021FDD">
          <w:rPr>
            <w:noProof/>
            <w:webHidden/>
          </w:rPr>
          <w:fldChar w:fldCharType="separate"/>
        </w:r>
        <w:r w:rsidR="00021FDD">
          <w:rPr>
            <w:noProof/>
            <w:webHidden/>
          </w:rPr>
          <w:t>188</w:t>
        </w:r>
        <w:r w:rsidR="00021FDD">
          <w:rPr>
            <w:noProof/>
            <w:webHidden/>
          </w:rPr>
          <w:fldChar w:fldCharType="end"/>
        </w:r>
      </w:hyperlink>
    </w:p>
    <w:p w14:paraId="49AB66F0" w14:textId="496322CA" w:rsidR="00021FDD" w:rsidRDefault="00CB73FC">
      <w:pPr>
        <w:pStyle w:val="Obsah1"/>
        <w:rPr>
          <w:rFonts w:asciiTheme="minorHAnsi" w:eastAsiaTheme="minorEastAsia" w:hAnsiTheme="minorHAnsi" w:cstheme="minorBidi"/>
          <w:noProof/>
          <w:sz w:val="22"/>
          <w:lang w:eastAsia="cs-CZ"/>
        </w:rPr>
      </w:pPr>
      <w:hyperlink w:anchor="_Toc75952168" w:history="1">
        <w:r w:rsidR="00021FDD" w:rsidRPr="00896B32">
          <w:rPr>
            <w:rStyle w:val="Hypertextovodkaz"/>
            <w:noProof/>
          </w:rPr>
          <w:t>Seznam grafů</w:t>
        </w:r>
        <w:r w:rsidR="00021FDD">
          <w:rPr>
            <w:noProof/>
            <w:webHidden/>
          </w:rPr>
          <w:tab/>
        </w:r>
        <w:r w:rsidR="00021FDD">
          <w:rPr>
            <w:noProof/>
            <w:webHidden/>
          </w:rPr>
          <w:fldChar w:fldCharType="begin"/>
        </w:r>
        <w:r w:rsidR="00021FDD">
          <w:rPr>
            <w:noProof/>
            <w:webHidden/>
          </w:rPr>
          <w:instrText xml:space="preserve"> PAGEREF _Toc75952168 \h </w:instrText>
        </w:r>
        <w:r w:rsidR="00021FDD">
          <w:rPr>
            <w:noProof/>
            <w:webHidden/>
          </w:rPr>
        </w:r>
        <w:r w:rsidR="00021FDD">
          <w:rPr>
            <w:noProof/>
            <w:webHidden/>
          </w:rPr>
          <w:fldChar w:fldCharType="separate"/>
        </w:r>
        <w:r w:rsidR="00021FDD">
          <w:rPr>
            <w:noProof/>
            <w:webHidden/>
          </w:rPr>
          <w:t>189</w:t>
        </w:r>
        <w:r w:rsidR="00021FDD">
          <w:rPr>
            <w:noProof/>
            <w:webHidden/>
          </w:rPr>
          <w:fldChar w:fldCharType="end"/>
        </w:r>
      </w:hyperlink>
    </w:p>
    <w:p w14:paraId="4F98F26F" w14:textId="0D7C5168" w:rsidR="00021FDD" w:rsidRDefault="00CB73FC">
      <w:pPr>
        <w:pStyle w:val="Obsah1"/>
        <w:rPr>
          <w:rFonts w:asciiTheme="minorHAnsi" w:eastAsiaTheme="minorEastAsia" w:hAnsiTheme="minorHAnsi" w:cstheme="minorBidi"/>
          <w:noProof/>
          <w:sz w:val="22"/>
          <w:lang w:eastAsia="cs-CZ"/>
        </w:rPr>
      </w:pPr>
      <w:hyperlink w:anchor="_Toc75952169" w:history="1">
        <w:r w:rsidR="00021FDD" w:rsidRPr="00896B32">
          <w:rPr>
            <w:rStyle w:val="Hypertextovodkaz"/>
            <w:noProof/>
          </w:rPr>
          <w:t>Seznam tabulek</w:t>
        </w:r>
        <w:r w:rsidR="00021FDD">
          <w:rPr>
            <w:noProof/>
            <w:webHidden/>
          </w:rPr>
          <w:tab/>
        </w:r>
        <w:r w:rsidR="00021FDD">
          <w:rPr>
            <w:noProof/>
            <w:webHidden/>
          </w:rPr>
          <w:fldChar w:fldCharType="begin"/>
        </w:r>
        <w:r w:rsidR="00021FDD">
          <w:rPr>
            <w:noProof/>
            <w:webHidden/>
          </w:rPr>
          <w:instrText xml:space="preserve"> PAGEREF _Toc75952169 \h </w:instrText>
        </w:r>
        <w:r w:rsidR="00021FDD">
          <w:rPr>
            <w:noProof/>
            <w:webHidden/>
          </w:rPr>
        </w:r>
        <w:r w:rsidR="00021FDD">
          <w:rPr>
            <w:noProof/>
            <w:webHidden/>
          </w:rPr>
          <w:fldChar w:fldCharType="separate"/>
        </w:r>
        <w:r w:rsidR="00021FDD">
          <w:rPr>
            <w:noProof/>
            <w:webHidden/>
          </w:rPr>
          <w:t>192</w:t>
        </w:r>
        <w:r w:rsidR="00021FDD">
          <w:rPr>
            <w:noProof/>
            <w:webHidden/>
          </w:rPr>
          <w:fldChar w:fldCharType="end"/>
        </w:r>
      </w:hyperlink>
    </w:p>
    <w:p w14:paraId="39995FB8" w14:textId="0307BDFF" w:rsidR="00021FDD" w:rsidRDefault="00CB73FC">
      <w:pPr>
        <w:pStyle w:val="Obsah1"/>
        <w:rPr>
          <w:rFonts w:asciiTheme="minorHAnsi" w:eastAsiaTheme="minorEastAsia" w:hAnsiTheme="minorHAnsi" w:cstheme="minorBidi"/>
          <w:noProof/>
          <w:sz w:val="22"/>
          <w:lang w:eastAsia="cs-CZ"/>
        </w:rPr>
      </w:pPr>
      <w:hyperlink w:anchor="_Toc75952170" w:history="1">
        <w:r w:rsidR="00021FDD" w:rsidRPr="00896B32">
          <w:rPr>
            <w:rStyle w:val="Hypertextovodkaz"/>
            <w:noProof/>
          </w:rPr>
          <w:t>Přílohy</w:t>
        </w:r>
        <w:r w:rsidR="00021FDD">
          <w:rPr>
            <w:noProof/>
            <w:webHidden/>
          </w:rPr>
          <w:tab/>
        </w:r>
        <w:r w:rsidR="00021FDD">
          <w:rPr>
            <w:noProof/>
            <w:webHidden/>
          </w:rPr>
          <w:fldChar w:fldCharType="begin"/>
        </w:r>
        <w:r w:rsidR="00021FDD">
          <w:rPr>
            <w:noProof/>
            <w:webHidden/>
          </w:rPr>
          <w:instrText xml:space="preserve"> PAGEREF _Toc75952170 \h </w:instrText>
        </w:r>
        <w:r w:rsidR="00021FDD">
          <w:rPr>
            <w:noProof/>
            <w:webHidden/>
          </w:rPr>
        </w:r>
        <w:r w:rsidR="00021FDD">
          <w:rPr>
            <w:noProof/>
            <w:webHidden/>
          </w:rPr>
          <w:fldChar w:fldCharType="separate"/>
        </w:r>
        <w:r w:rsidR="00021FDD">
          <w:rPr>
            <w:noProof/>
            <w:webHidden/>
          </w:rPr>
          <w:t>194</w:t>
        </w:r>
        <w:r w:rsidR="00021FDD">
          <w:rPr>
            <w:noProof/>
            <w:webHidden/>
          </w:rPr>
          <w:fldChar w:fldCharType="end"/>
        </w:r>
      </w:hyperlink>
    </w:p>
    <w:p w14:paraId="4BF9F60D" w14:textId="181C91F1" w:rsidR="00021FDD" w:rsidRDefault="00CB73FC">
      <w:pPr>
        <w:pStyle w:val="Obsah2"/>
        <w:rPr>
          <w:rFonts w:asciiTheme="minorHAnsi" w:eastAsiaTheme="minorEastAsia" w:hAnsiTheme="minorHAnsi" w:cstheme="minorBidi"/>
          <w:sz w:val="22"/>
          <w:lang w:eastAsia="cs-CZ"/>
        </w:rPr>
      </w:pPr>
      <w:hyperlink w:anchor="_Toc75952171" w:history="1">
        <w:r w:rsidR="00021FDD" w:rsidRPr="00896B32">
          <w:rPr>
            <w:rStyle w:val="Hypertextovodkaz"/>
          </w:rPr>
          <w:t>Příloha A – seznam použitých pojmů</w:t>
        </w:r>
        <w:r w:rsidR="00021FDD">
          <w:rPr>
            <w:webHidden/>
          </w:rPr>
          <w:tab/>
        </w:r>
        <w:r w:rsidR="00021FDD">
          <w:rPr>
            <w:webHidden/>
          </w:rPr>
          <w:fldChar w:fldCharType="begin"/>
        </w:r>
        <w:r w:rsidR="00021FDD">
          <w:rPr>
            <w:webHidden/>
          </w:rPr>
          <w:instrText xml:space="preserve"> PAGEREF _Toc75952171 \h </w:instrText>
        </w:r>
        <w:r w:rsidR="00021FDD">
          <w:rPr>
            <w:webHidden/>
          </w:rPr>
        </w:r>
        <w:r w:rsidR="00021FDD">
          <w:rPr>
            <w:webHidden/>
          </w:rPr>
          <w:fldChar w:fldCharType="separate"/>
        </w:r>
        <w:r w:rsidR="00021FDD">
          <w:rPr>
            <w:webHidden/>
          </w:rPr>
          <w:t>194</w:t>
        </w:r>
        <w:r w:rsidR="00021FDD">
          <w:rPr>
            <w:webHidden/>
          </w:rPr>
          <w:fldChar w:fldCharType="end"/>
        </w:r>
      </w:hyperlink>
    </w:p>
    <w:p w14:paraId="4F613341" w14:textId="65E3EBC1" w:rsidR="00021FDD" w:rsidRDefault="00CB73FC">
      <w:pPr>
        <w:pStyle w:val="Obsah3"/>
        <w:rPr>
          <w:rFonts w:asciiTheme="minorHAnsi" w:eastAsiaTheme="minorEastAsia" w:hAnsiTheme="minorHAnsi" w:cstheme="minorBidi"/>
          <w:noProof/>
          <w:sz w:val="22"/>
          <w:lang w:eastAsia="cs-CZ"/>
        </w:rPr>
      </w:pPr>
      <w:hyperlink w:anchor="_Toc75952172" w:history="1">
        <w:r w:rsidR="00021FDD" w:rsidRPr="00896B32">
          <w:rPr>
            <w:rStyle w:val="Hypertextovodkaz"/>
            <w:noProof/>
          </w:rPr>
          <w:t>Statistické pojmy a použité statistické ukazatele</w:t>
        </w:r>
        <w:r w:rsidR="00021FDD">
          <w:rPr>
            <w:noProof/>
            <w:webHidden/>
          </w:rPr>
          <w:tab/>
        </w:r>
        <w:r w:rsidR="00021FDD">
          <w:rPr>
            <w:noProof/>
            <w:webHidden/>
          </w:rPr>
          <w:fldChar w:fldCharType="begin"/>
        </w:r>
        <w:r w:rsidR="00021FDD">
          <w:rPr>
            <w:noProof/>
            <w:webHidden/>
          </w:rPr>
          <w:instrText xml:space="preserve"> PAGEREF _Toc75952172 \h </w:instrText>
        </w:r>
        <w:r w:rsidR="00021FDD">
          <w:rPr>
            <w:noProof/>
            <w:webHidden/>
          </w:rPr>
        </w:r>
        <w:r w:rsidR="00021FDD">
          <w:rPr>
            <w:noProof/>
            <w:webHidden/>
          </w:rPr>
          <w:fldChar w:fldCharType="separate"/>
        </w:r>
        <w:r w:rsidR="00021FDD">
          <w:rPr>
            <w:noProof/>
            <w:webHidden/>
          </w:rPr>
          <w:t>194</w:t>
        </w:r>
        <w:r w:rsidR="00021FDD">
          <w:rPr>
            <w:noProof/>
            <w:webHidden/>
          </w:rPr>
          <w:fldChar w:fldCharType="end"/>
        </w:r>
      </w:hyperlink>
    </w:p>
    <w:p w14:paraId="5EF818FB" w14:textId="0527E3DF" w:rsidR="00021FDD" w:rsidRDefault="00CB73FC">
      <w:pPr>
        <w:pStyle w:val="Obsah3"/>
        <w:rPr>
          <w:rFonts w:asciiTheme="minorHAnsi" w:eastAsiaTheme="minorEastAsia" w:hAnsiTheme="minorHAnsi" w:cstheme="minorBidi"/>
          <w:noProof/>
          <w:sz w:val="22"/>
          <w:lang w:eastAsia="cs-CZ"/>
        </w:rPr>
      </w:pPr>
      <w:hyperlink w:anchor="_Toc75952173" w:history="1">
        <w:r w:rsidR="00021FDD" w:rsidRPr="00896B32">
          <w:rPr>
            <w:rStyle w:val="Hypertextovodkaz"/>
            <w:noProof/>
          </w:rPr>
          <w:t>Právní a ostatní pojmy</w:t>
        </w:r>
        <w:r w:rsidR="00021FDD">
          <w:rPr>
            <w:noProof/>
            <w:webHidden/>
          </w:rPr>
          <w:tab/>
        </w:r>
        <w:r w:rsidR="00021FDD">
          <w:rPr>
            <w:noProof/>
            <w:webHidden/>
          </w:rPr>
          <w:fldChar w:fldCharType="begin"/>
        </w:r>
        <w:r w:rsidR="00021FDD">
          <w:rPr>
            <w:noProof/>
            <w:webHidden/>
          </w:rPr>
          <w:instrText xml:space="preserve"> PAGEREF _Toc75952173 \h </w:instrText>
        </w:r>
        <w:r w:rsidR="00021FDD">
          <w:rPr>
            <w:noProof/>
            <w:webHidden/>
          </w:rPr>
        </w:r>
        <w:r w:rsidR="00021FDD">
          <w:rPr>
            <w:noProof/>
            <w:webHidden/>
          </w:rPr>
          <w:fldChar w:fldCharType="separate"/>
        </w:r>
        <w:r w:rsidR="00021FDD">
          <w:rPr>
            <w:noProof/>
            <w:webHidden/>
          </w:rPr>
          <w:t>199</w:t>
        </w:r>
        <w:r w:rsidR="00021FDD">
          <w:rPr>
            <w:noProof/>
            <w:webHidden/>
          </w:rPr>
          <w:fldChar w:fldCharType="end"/>
        </w:r>
      </w:hyperlink>
    </w:p>
    <w:p w14:paraId="6EE34340" w14:textId="58F93A51" w:rsidR="00021FDD" w:rsidRDefault="00CB73FC">
      <w:pPr>
        <w:pStyle w:val="Obsah2"/>
        <w:rPr>
          <w:rFonts w:asciiTheme="minorHAnsi" w:eastAsiaTheme="minorEastAsia" w:hAnsiTheme="minorHAnsi" w:cstheme="minorBidi"/>
          <w:sz w:val="22"/>
          <w:lang w:eastAsia="cs-CZ"/>
        </w:rPr>
      </w:pPr>
      <w:hyperlink w:anchor="_Toc75952174" w:history="1">
        <w:r w:rsidR="00021FDD" w:rsidRPr="00896B32">
          <w:rPr>
            <w:rStyle w:val="Hypertextovodkaz"/>
          </w:rPr>
          <w:t>Příloha B – seznam zkr. soudních okresů a soudních obvodů hl. m. Prahy</w:t>
        </w:r>
        <w:r w:rsidR="00021FDD">
          <w:rPr>
            <w:webHidden/>
          </w:rPr>
          <w:tab/>
        </w:r>
        <w:r w:rsidR="00021FDD">
          <w:rPr>
            <w:webHidden/>
          </w:rPr>
          <w:fldChar w:fldCharType="begin"/>
        </w:r>
        <w:r w:rsidR="00021FDD">
          <w:rPr>
            <w:webHidden/>
          </w:rPr>
          <w:instrText xml:space="preserve"> PAGEREF _Toc75952174 \h </w:instrText>
        </w:r>
        <w:r w:rsidR="00021FDD">
          <w:rPr>
            <w:webHidden/>
          </w:rPr>
        </w:r>
        <w:r w:rsidR="00021FDD">
          <w:rPr>
            <w:webHidden/>
          </w:rPr>
          <w:fldChar w:fldCharType="separate"/>
        </w:r>
        <w:r w:rsidR="00021FDD">
          <w:rPr>
            <w:webHidden/>
          </w:rPr>
          <w:t>204</w:t>
        </w:r>
        <w:r w:rsidR="00021FDD">
          <w:rPr>
            <w:webHidden/>
          </w:rPr>
          <w:fldChar w:fldCharType="end"/>
        </w:r>
      </w:hyperlink>
    </w:p>
    <w:p w14:paraId="1F97E7F0" w14:textId="16626BE3" w:rsidR="00021FDD" w:rsidRDefault="00CB73FC">
      <w:pPr>
        <w:pStyle w:val="Obsah2"/>
        <w:rPr>
          <w:rFonts w:asciiTheme="minorHAnsi" w:eastAsiaTheme="minorEastAsia" w:hAnsiTheme="minorHAnsi" w:cstheme="minorBidi"/>
          <w:sz w:val="22"/>
          <w:lang w:eastAsia="cs-CZ"/>
        </w:rPr>
      </w:pPr>
      <w:hyperlink w:anchor="_Toc75952175" w:history="1">
        <w:r w:rsidR="00021FDD" w:rsidRPr="00896B32">
          <w:rPr>
            <w:rStyle w:val="Hypertextovodkaz"/>
          </w:rPr>
          <w:t>Příloha C – seznam vybraných rejstříků soudů</w:t>
        </w:r>
        <w:r w:rsidR="00021FDD">
          <w:rPr>
            <w:webHidden/>
          </w:rPr>
          <w:tab/>
        </w:r>
        <w:r w:rsidR="00021FDD">
          <w:rPr>
            <w:webHidden/>
          </w:rPr>
          <w:fldChar w:fldCharType="begin"/>
        </w:r>
        <w:r w:rsidR="00021FDD">
          <w:rPr>
            <w:webHidden/>
          </w:rPr>
          <w:instrText xml:space="preserve"> PAGEREF _Toc75952175 \h </w:instrText>
        </w:r>
        <w:r w:rsidR="00021FDD">
          <w:rPr>
            <w:webHidden/>
          </w:rPr>
        </w:r>
        <w:r w:rsidR="00021FDD">
          <w:rPr>
            <w:webHidden/>
          </w:rPr>
          <w:fldChar w:fldCharType="separate"/>
        </w:r>
        <w:r w:rsidR="00021FDD">
          <w:rPr>
            <w:webHidden/>
          </w:rPr>
          <w:t>205</w:t>
        </w:r>
        <w:r w:rsidR="00021FDD">
          <w:rPr>
            <w:webHidden/>
          </w:rPr>
          <w:fldChar w:fldCharType="end"/>
        </w:r>
      </w:hyperlink>
    </w:p>
    <w:p w14:paraId="21A99511" w14:textId="5FC24960" w:rsidR="00021FDD" w:rsidRDefault="00CB73FC">
      <w:pPr>
        <w:pStyle w:val="Obsah2"/>
        <w:rPr>
          <w:rFonts w:asciiTheme="minorHAnsi" w:eastAsiaTheme="minorEastAsia" w:hAnsiTheme="minorHAnsi" w:cstheme="minorBidi"/>
          <w:sz w:val="22"/>
          <w:lang w:eastAsia="cs-CZ"/>
        </w:rPr>
      </w:pPr>
      <w:hyperlink w:anchor="_Toc75952176" w:history="1">
        <w:r w:rsidR="00021FDD" w:rsidRPr="00896B32">
          <w:rPr>
            <w:rStyle w:val="Hypertextovodkaz"/>
          </w:rPr>
          <w:t>Příloha D – přehledové listy s daty soudů</w:t>
        </w:r>
        <w:r w:rsidR="00021FDD">
          <w:rPr>
            <w:webHidden/>
          </w:rPr>
          <w:tab/>
        </w:r>
        <w:r w:rsidR="00021FDD">
          <w:rPr>
            <w:webHidden/>
          </w:rPr>
          <w:fldChar w:fldCharType="begin"/>
        </w:r>
        <w:r w:rsidR="00021FDD">
          <w:rPr>
            <w:webHidden/>
          </w:rPr>
          <w:instrText xml:space="preserve"> PAGEREF _Toc75952176 \h </w:instrText>
        </w:r>
        <w:r w:rsidR="00021FDD">
          <w:rPr>
            <w:webHidden/>
          </w:rPr>
        </w:r>
        <w:r w:rsidR="00021FDD">
          <w:rPr>
            <w:webHidden/>
          </w:rPr>
          <w:fldChar w:fldCharType="separate"/>
        </w:r>
        <w:r w:rsidR="00021FDD">
          <w:rPr>
            <w:webHidden/>
          </w:rPr>
          <w:t>207</w:t>
        </w:r>
        <w:r w:rsidR="00021FDD">
          <w:rPr>
            <w:webHidden/>
          </w:rPr>
          <w:fldChar w:fldCharType="end"/>
        </w:r>
      </w:hyperlink>
    </w:p>
    <w:p w14:paraId="01C86D78" w14:textId="17823682" w:rsidR="00021FDD" w:rsidRDefault="00CB73FC">
      <w:pPr>
        <w:pStyle w:val="Obsah2"/>
        <w:rPr>
          <w:rFonts w:asciiTheme="minorHAnsi" w:eastAsiaTheme="minorEastAsia" w:hAnsiTheme="minorHAnsi" w:cstheme="minorBidi"/>
          <w:sz w:val="22"/>
          <w:lang w:eastAsia="cs-CZ"/>
        </w:rPr>
      </w:pPr>
      <w:hyperlink w:anchor="_Toc75952177" w:history="1">
        <w:r w:rsidR="00021FDD" w:rsidRPr="00896B32">
          <w:rPr>
            <w:rStyle w:val="Hypertextovodkaz"/>
          </w:rPr>
          <w:t>Příloha E – detailnější popis DEA</w:t>
        </w:r>
        <w:r w:rsidR="00021FDD">
          <w:rPr>
            <w:webHidden/>
          </w:rPr>
          <w:tab/>
        </w:r>
        <w:r w:rsidR="00021FDD">
          <w:rPr>
            <w:webHidden/>
          </w:rPr>
          <w:fldChar w:fldCharType="begin"/>
        </w:r>
        <w:r w:rsidR="00021FDD">
          <w:rPr>
            <w:webHidden/>
          </w:rPr>
          <w:instrText xml:space="preserve"> PAGEREF _Toc75952177 \h </w:instrText>
        </w:r>
        <w:r w:rsidR="00021FDD">
          <w:rPr>
            <w:webHidden/>
          </w:rPr>
        </w:r>
        <w:r w:rsidR="00021FDD">
          <w:rPr>
            <w:webHidden/>
          </w:rPr>
          <w:fldChar w:fldCharType="separate"/>
        </w:r>
        <w:r w:rsidR="00021FDD">
          <w:rPr>
            <w:webHidden/>
          </w:rPr>
          <w:t>208</w:t>
        </w:r>
        <w:r w:rsidR="00021FDD">
          <w:rPr>
            <w:webHidden/>
          </w:rPr>
          <w:fldChar w:fldCharType="end"/>
        </w:r>
      </w:hyperlink>
    </w:p>
    <w:p w14:paraId="011C423B" w14:textId="4E833890" w:rsidR="00021FDD" w:rsidRDefault="00CB73FC">
      <w:pPr>
        <w:pStyle w:val="Obsah3"/>
        <w:rPr>
          <w:rFonts w:asciiTheme="minorHAnsi" w:eastAsiaTheme="minorEastAsia" w:hAnsiTheme="minorHAnsi" w:cstheme="minorBidi"/>
          <w:noProof/>
          <w:sz w:val="22"/>
          <w:lang w:eastAsia="cs-CZ"/>
        </w:rPr>
      </w:pPr>
      <w:hyperlink w:anchor="_Toc75952178" w:history="1">
        <w:r w:rsidR="00021FDD" w:rsidRPr="00896B32">
          <w:rPr>
            <w:rStyle w:val="Hypertextovodkaz"/>
            <w:noProof/>
          </w:rPr>
          <w:t>Teorie a literatura</w:t>
        </w:r>
        <w:r w:rsidR="00021FDD">
          <w:rPr>
            <w:noProof/>
            <w:webHidden/>
          </w:rPr>
          <w:tab/>
        </w:r>
        <w:r w:rsidR="00021FDD">
          <w:rPr>
            <w:noProof/>
            <w:webHidden/>
          </w:rPr>
          <w:fldChar w:fldCharType="begin"/>
        </w:r>
        <w:r w:rsidR="00021FDD">
          <w:rPr>
            <w:noProof/>
            <w:webHidden/>
          </w:rPr>
          <w:instrText xml:space="preserve"> PAGEREF _Toc75952178 \h </w:instrText>
        </w:r>
        <w:r w:rsidR="00021FDD">
          <w:rPr>
            <w:noProof/>
            <w:webHidden/>
          </w:rPr>
        </w:r>
        <w:r w:rsidR="00021FDD">
          <w:rPr>
            <w:noProof/>
            <w:webHidden/>
          </w:rPr>
          <w:fldChar w:fldCharType="separate"/>
        </w:r>
        <w:r w:rsidR="00021FDD">
          <w:rPr>
            <w:noProof/>
            <w:webHidden/>
          </w:rPr>
          <w:t>208</w:t>
        </w:r>
        <w:r w:rsidR="00021FDD">
          <w:rPr>
            <w:noProof/>
            <w:webHidden/>
          </w:rPr>
          <w:fldChar w:fldCharType="end"/>
        </w:r>
      </w:hyperlink>
    </w:p>
    <w:p w14:paraId="3425764D" w14:textId="0653A478" w:rsidR="00021FDD" w:rsidRDefault="00CB73FC">
      <w:pPr>
        <w:pStyle w:val="Obsah3"/>
        <w:rPr>
          <w:rFonts w:asciiTheme="minorHAnsi" w:eastAsiaTheme="minorEastAsia" w:hAnsiTheme="minorHAnsi" w:cstheme="minorBidi"/>
          <w:noProof/>
          <w:sz w:val="22"/>
          <w:lang w:eastAsia="cs-CZ"/>
        </w:rPr>
      </w:pPr>
      <w:hyperlink w:anchor="_Toc75952179" w:history="1">
        <w:r w:rsidR="00021FDD" w:rsidRPr="00896B32">
          <w:rPr>
            <w:rStyle w:val="Hypertextovodkaz"/>
            <w:noProof/>
          </w:rPr>
          <w:t>Metodika, specifikace modelu</w:t>
        </w:r>
        <w:r w:rsidR="00021FDD">
          <w:rPr>
            <w:noProof/>
            <w:webHidden/>
          </w:rPr>
          <w:tab/>
        </w:r>
        <w:r w:rsidR="00021FDD">
          <w:rPr>
            <w:noProof/>
            <w:webHidden/>
          </w:rPr>
          <w:fldChar w:fldCharType="begin"/>
        </w:r>
        <w:r w:rsidR="00021FDD">
          <w:rPr>
            <w:noProof/>
            <w:webHidden/>
          </w:rPr>
          <w:instrText xml:space="preserve"> PAGEREF _Toc75952179 \h </w:instrText>
        </w:r>
        <w:r w:rsidR="00021FDD">
          <w:rPr>
            <w:noProof/>
            <w:webHidden/>
          </w:rPr>
        </w:r>
        <w:r w:rsidR="00021FDD">
          <w:rPr>
            <w:noProof/>
            <w:webHidden/>
          </w:rPr>
          <w:fldChar w:fldCharType="separate"/>
        </w:r>
        <w:r w:rsidR="00021FDD">
          <w:rPr>
            <w:noProof/>
            <w:webHidden/>
          </w:rPr>
          <w:t>211</w:t>
        </w:r>
        <w:r w:rsidR="00021FDD">
          <w:rPr>
            <w:noProof/>
            <w:webHidden/>
          </w:rPr>
          <w:fldChar w:fldCharType="end"/>
        </w:r>
      </w:hyperlink>
    </w:p>
    <w:p w14:paraId="1C384089" w14:textId="5CAF4F22" w:rsidR="00021FDD" w:rsidRDefault="00CB73FC">
      <w:pPr>
        <w:pStyle w:val="Obsah3"/>
        <w:rPr>
          <w:rFonts w:asciiTheme="minorHAnsi" w:eastAsiaTheme="minorEastAsia" w:hAnsiTheme="minorHAnsi" w:cstheme="minorBidi"/>
          <w:noProof/>
          <w:sz w:val="22"/>
          <w:lang w:eastAsia="cs-CZ"/>
        </w:rPr>
      </w:pPr>
      <w:hyperlink w:anchor="_Toc75952180" w:history="1">
        <w:r w:rsidR="00021FDD" w:rsidRPr="00896B32">
          <w:rPr>
            <w:rStyle w:val="Hypertextovodkaz"/>
            <w:noProof/>
          </w:rPr>
          <w:t>Seznam literatury (DEA)</w:t>
        </w:r>
        <w:r w:rsidR="00021FDD">
          <w:rPr>
            <w:noProof/>
            <w:webHidden/>
          </w:rPr>
          <w:tab/>
        </w:r>
        <w:r w:rsidR="00021FDD">
          <w:rPr>
            <w:noProof/>
            <w:webHidden/>
          </w:rPr>
          <w:fldChar w:fldCharType="begin"/>
        </w:r>
        <w:r w:rsidR="00021FDD">
          <w:rPr>
            <w:noProof/>
            <w:webHidden/>
          </w:rPr>
          <w:instrText xml:space="preserve"> PAGEREF _Toc75952180 \h </w:instrText>
        </w:r>
        <w:r w:rsidR="00021FDD">
          <w:rPr>
            <w:noProof/>
            <w:webHidden/>
          </w:rPr>
        </w:r>
        <w:r w:rsidR="00021FDD">
          <w:rPr>
            <w:noProof/>
            <w:webHidden/>
          </w:rPr>
          <w:fldChar w:fldCharType="separate"/>
        </w:r>
        <w:r w:rsidR="00021FDD">
          <w:rPr>
            <w:noProof/>
            <w:webHidden/>
          </w:rPr>
          <w:t>213</w:t>
        </w:r>
        <w:r w:rsidR="00021FDD">
          <w:rPr>
            <w:noProof/>
            <w:webHidden/>
          </w:rPr>
          <w:fldChar w:fldCharType="end"/>
        </w:r>
      </w:hyperlink>
    </w:p>
    <w:p w14:paraId="480D4A29" w14:textId="351082ED" w:rsidR="008430BD" w:rsidRPr="001C3EC8" w:rsidRDefault="008430BD" w:rsidP="008430BD">
      <w:pPr>
        <w:rPr>
          <w:color w:val="000000" w:themeColor="text1"/>
        </w:rPr>
      </w:pPr>
      <w:r w:rsidRPr="001C3EC8">
        <w:rPr>
          <w:color w:val="000000" w:themeColor="text1"/>
        </w:rPr>
        <w:fldChar w:fldCharType="end"/>
      </w:r>
    </w:p>
    <w:p w14:paraId="40E2D053" w14:textId="77777777" w:rsidR="008430BD" w:rsidRPr="001C3EC8" w:rsidRDefault="008430BD" w:rsidP="008430BD">
      <w:pPr>
        <w:pStyle w:val="Nadpis1"/>
        <w:pageBreakBefore/>
        <w:numPr>
          <w:ilvl w:val="0"/>
          <w:numId w:val="1"/>
        </w:numPr>
        <w:spacing w:after="120"/>
        <w:rPr>
          <w:color w:val="000000" w:themeColor="text1"/>
        </w:rPr>
      </w:pPr>
      <w:bookmarkStart w:id="2" w:name="_Toc487791222"/>
      <w:bookmarkStart w:id="3" w:name="_Toc75952048"/>
      <w:r w:rsidRPr="001C3EC8">
        <w:rPr>
          <w:color w:val="000000" w:themeColor="text1"/>
        </w:rPr>
        <w:lastRenderedPageBreak/>
        <w:t>Úvod</w:t>
      </w:r>
      <w:bookmarkEnd w:id="2"/>
      <w:bookmarkEnd w:id="3"/>
    </w:p>
    <w:p w14:paraId="479E51A1" w14:textId="569719AE" w:rsidR="00B07E76" w:rsidRDefault="008430BD" w:rsidP="008430BD">
      <w:pPr>
        <w:pStyle w:val="OdstavecASR"/>
        <w:rPr>
          <w:color w:val="000000" w:themeColor="text1"/>
        </w:rPr>
      </w:pPr>
      <w:r w:rsidRPr="001C3EC8">
        <w:rPr>
          <w:color w:val="000000" w:themeColor="text1"/>
        </w:rPr>
        <w:t>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 Část</w:t>
      </w:r>
      <w:r w:rsidR="000C3B1E">
        <w:rPr>
          <w:color w:val="000000" w:themeColor="text1"/>
        </w:rPr>
        <w:t> </w:t>
      </w:r>
      <w:r w:rsidRPr="001C3EC8">
        <w:rPr>
          <w:color w:val="000000" w:themeColor="text1"/>
        </w:rPr>
        <w:t>7 pak stručně shrnuje poznatky z předchozích kapitol a</w:t>
      </w:r>
      <w:r w:rsidR="00A74487">
        <w:rPr>
          <w:color w:val="000000" w:themeColor="text1"/>
        </w:rPr>
        <w:t> </w:t>
      </w:r>
      <w:r w:rsidRPr="001C3EC8">
        <w:rPr>
          <w:color w:val="000000" w:themeColor="text1"/>
        </w:rPr>
        <w:t>krátce ČR srovnává s ostatními členskými státy EU. Část</w:t>
      </w:r>
      <w:r w:rsidR="000C3B1E">
        <w:rPr>
          <w:color w:val="000000" w:themeColor="text1"/>
        </w:rPr>
        <w:t> </w:t>
      </w:r>
      <w:r w:rsidRPr="001C3EC8">
        <w:rPr>
          <w:color w:val="000000" w:themeColor="text1"/>
        </w:rPr>
        <w:t xml:space="preserve">8 obsahuje </w:t>
      </w:r>
      <w:r w:rsidR="00FC1534" w:rsidRPr="001C3EC8">
        <w:rPr>
          <w:color w:val="000000" w:themeColor="text1"/>
        </w:rPr>
        <w:t xml:space="preserve">další </w:t>
      </w:r>
      <w:r w:rsidRPr="001C3EC8">
        <w:rPr>
          <w:color w:val="000000" w:themeColor="text1"/>
        </w:rPr>
        <w:t>statisti</w:t>
      </w:r>
      <w:r w:rsidR="00FC1534" w:rsidRPr="001C3EC8">
        <w:rPr>
          <w:color w:val="000000" w:themeColor="text1"/>
        </w:rPr>
        <w:t>cké údaje vztahující se k celé soustavě</w:t>
      </w:r>
      <w:r w:rsidRPr="001C3EC8">
        <w:rPr>
          <w:color w:val="000000" w:themeColor="text1"/>
        </w:rPr>
        <w:t>.</w:t>
      </w:r>
    </w:p>
    <w:p w14:paraId="49E9366D" w14:textId="2C049A40" w:rsidR="008430BD" w:rsidRPr="001C3EC8" w:rsidRDefault="008430BD" w:rsidP="008430BD">
      <w:pPr>
        <w:pStyle w:val="OdstavecASR"/>
        <w:rPr>
          <w:color w:val="000000" w:themeColor="text1"/>
        </w:rPr>
      </w:pPr>
      <w:r w:rsidRPr="001C3EC8">
        <w:rPr>
          <w:color w:val="000000" w:themeColor="text1"/>
        </w:rPr>
        <w:t>Kapitola 1.1 podrobněji vysvětluje účel této zprávy, seznamuje čtenáře s jejími základními východisky, předpoklady a určitými omezeními a přidává další poznámky, které je třeba mít při čtení dokumentu na mysli.</w:t>
      </w:r>
    </w:p>
    <w:p w14:paraId="12D9E2DF" w14:textId="77777777" w:rsidR="008430BD" w:rsidRPr="001C3EC8" w:rsidRDefault="008430BD" w:rsidP="008430BD">
      <w:pPr>
        <w:pStyle w:val="OdstavecASR"/>
        <w:rPr>
          <w:color w:val="000000" w:themeColor="text1"/>
        </w:rPr>
      </w:pPr>
      <w:r w:rsidRPr="001C3EC8">
        <w:rPr>
          <w:color w:val="000000" w:themeColor="text1"/>
        </w:rPr>
        <w:t>Statistická výroční zpráva za rok 2020 je v mnoha ohledech (obsažená data, metodologie komentáře, grafická úprava apod.) velmi podobná zprávám předchozím, určitých změn však doznala. Jako každý rok byly doplněny nové ukazatele, upřesněna metodika některých výpočtů apod. Kapitola 1.2 vyjmenovává a stručně popisuje nejvýznamnější z těchto změn.</w:t>
      </w:r>
    </w:p>
    <w:p w14:paraId="4BE12E5F" w14:textId="77777777" w:rsidR="008430BD" w:rsidRPr="001C3EC8" w:rsidRDefault="008430BD" w:rsidP="008430BD">
      <w:pPr>
        <w:pStyle w:val="Nadpis2"/>
        <w:numPr>
          <w:ilvl w:val="1"/>
          <w:numId w:val="1"/>
        </w:numPr>
        <w:spacing w:before="120"/>
      </w:pPr>
      <w:bookmarkStart w:id="4" w:name="_Ref482901858"/>
      <w:bookmarkStart w:id="5" w:name="_Ref482901954"/>
      <w:bookmarkStart w:id="6" w:name="_Toc487791223"/>
      <w:bookmarkStart w:id="7" w:name="_Toc517118504"/>
      <w:bookmarkStart w:id="8" w:name="_Toc75952049"/>
      <w:r w:rsidRPr="001C3EC8">
        <w:t>Základní východiska, předpoklady, omezení a upřesňující poznámky</w:t>
      </w:r>
      <w:bookmarkEnd w:id="4"/>
      <w:bookmarkEnd w:id="5"/>
      <w:bookmarkEnd w:id="6"/>
      <w:bookmarkEnd w:id="7"/>
      <w:bookmarkEnd w:id="8"/>
    </w:p>
    <w:p w14:paraId="18BCD68B" w14:textId="77777777" w:rsidR="008430BD" w:rsidRPr="001C3EC8" w:rsidRDefault="008430BD" w:rsidP="008430BD">
      <w:pPr>
        <w:pStyle w:val="OdstavecASR"/>
        <w:rPr>
          <w:color w:val="000000" w:themeColor="text1"/>
        </w:rPr>
      </w:pPr>
      <w:r w:rsidRPr="001C3EC8">
        <w:rPr>
          <w:color w:val="000000" w:themeColor="text1"/>
        </w:rPr>
        <w:t>Při čtení této zprávy je třeba pamatovat zejména na následující skutečnosti:</w:t>
      </w:r>
    </w:p>
    <w:p w14:paraId="1F7F58C8" w14:textId="35B6C7DA" w:rsidR="008430BD" w:rsidRPr="001C3EC8" w:rsidRDefault="008430BD" w:rsidP="008430BD">
      <w:pPr>
        <w:pStyle w:val="Odstavecseseznamem"/>
        <w:numPr>
          <w:ilvl w:val="0"/>
          <w:numId w:val="2"/>
        </w:numPr>
        <w:rPr>
          <w:color w:val="000000" w:themeColor="text1"/>
        </w:rPr>
      </w:pPr>
      <w:r w:rsidRPr="001C3EC8">
        <w:rPr>
          <w:color w:val="000000" w:themeColor="text1"/>
        </w:rPr>
        <w:t>Cílem zprávy je poskytnout čtenáři přístupný, ale poměrně detailní náhled na fungování české justice prostřednictvím statistik. Oproti ostatním veřejně dostupným zdrojům justičních statistik (Justiční statistické ročenky</w:t>
      </w:r>
      <w:r w:rsidRPr="001C3EC8">
        <w:rPr>
          <w:rStyle w:val="Znakapoznpodarou"/>
          <w:color w:val="000000" w:themeColor="text1"/>
        </w:rPr>
        <w:footnoteReference w:id="2"/>
      </w:r>
      <w:r w:rsidRPr="001C3EC8">
        <w:rPr>
          <w:color w:val="000000" w:themeColor="text1"/>
        </w:rPr>
        <w:t xml:space="preserve">, </w:t>
      </w:r>
      <w:hyperlink r:id="rId10" w:history="1">
        <w:r w:rsidRPr="00EC44A7">
          <w:rPr>
            <w:rStyle w:val="Hypertextovodkaz"/>
          </w:rPr>
          <w:t xml:space="preserve">internetové stránky </w:t>
        </w:r>
        <w:proofErr w:type="spellStart"/>
        <w:r w:rsidRPr="00EC44A7">
          <w:rPr>
            <w:rStyle w:val="Hypertextovodkaz"/>
          </w:rPr>
          <w:t>InfoData</w:t>
        </w:r>
        <w:proofErr w:type="spellEnd"/>
      </w:hyperlink>
      <w:r w:rsidRPr="001C3EC8">
        <w:rPr>
          <w:color w:val="000000" w:themeColor="text1"/>
        </w:rPr>
        <w:t>, data publikovaná Českým statistickým úřadem) má tato zpráva mnoho výhod:</w:t>
      </w:r>
    </w:p>
    <w:p w14:paraId="737DB2AA" w14:textId="77777777" w:rsidR="008430BD" w:rsidRPr="001C3EC8" w:rsidRDefault="008430BD" w:rsidP="008430BD">
      <w:pPr>
        <w:pStyle w:val="Odstavecseseznamem"/>
        <w:numPr>
          <w:ilvl w:val="1"/>
          <w:numId w:val="2"/>
        </w:numPr>
        <w:rPr>
          <w:color w:val="000000" w:themeColor="text1"/>
        </w:rPr>
      </w:pPr>
      <w:r w:rsidRPr="001C3EC8">
        <w:rPr>
          <w:color w:val="000000" w:themeColor="text1"/>
        </w:rPr>
        <w:t>Obsahuje množství dat, která nejsou jinak dostupná, například nejen průměrné, ale i mediánové délky řízení.</w:t>
      </w:r>
    </w:p>
    <w:p w14:paraId="383C24EF" w14:textId="3C1ACF3F" w:rsidR="008430BD" w:rsidRPr="001C3EC8" w:rsidRDefault="008430BD" w:rsidP="008430BD">
      <w:pPr>
        <w:pStyle w:val="Odstavecseseznamem"/>
        <w:numPr>
          <w:ilvl w:val="1"/>
          <w:numId w:val="2"/>
        </w:numPr>
        <w:rPr>
          <w:color w:val="000000" w:themeColor="text1"/>
        </w:rPr>
      </w:pPr>
      <w:r w:rsidRPr="001C3EC8">
        <w:rPr>
          <w:color w:val="000000" w:themeColor="text1"/>
        </w:rPr>
        <w:t xml:space="preserve">V průběhu let docházelo ke změnám v legislativě a způsobu vedení statistik a některé zdroje (například </w:t>
      </w:r>
      <w:proofErr w:type="spellStart"/>
      <w:r w:rsidRPr="001C3EC8">
        <w:rPr>
          <w:color w:val="000000" w:themeColor="text1"/>
        </w:rPr>
        <w:t>InfoData</w:t>
      </w:r>
      <w:proofErr w:type="spellEnd"/>
      <w:r w:rsidRPr="001C3EC8">
        <w:rPr>
          <w:color w:val="000000" w:themeColor="text1"/>
        </w:rPr>
        <w:t xml:space="preserve">) ne vždy detailně rozlišují rejstříky. Ostatní zdroje dat rovněž obsahují jisté, byť velmi malé, množství chybných pozorování. Data v této zprávě jsou vždy, když je to možné, očištěna </w:t>
      </w:r>
      <w:r w:rsidR="000C3B1E" w:rsidRPr="001C3EC8">
        <w:rPr>
          <w:color w:val="000000" w:themeColor="text1"/>
        </w:rPr>
        <w:t>a</w:t>
      </w:r>
      <w:r w:rsidR="000C3B1E">
        <w:rPr>
          <w:color w:val="000000" w:themeColor="text1"/>
        </w:rPr>
        <w:t> </w:t>
      </w:r>
      <w:r w:rsidRPr="001C3EC8">
        <w:rPr>
          <w:color w:val="000000" w:themeColor="text1"/>
        </w:rPr>
        <w:t>výše zmíněnými nedostatky tak netrpí.</w:t>
      </w:r>
    </w:p>
    <w:p w14:paraId="7661C45B" w14:textId="77777777" w:rsidR="008430BD" w:rsidRPr="001C3EC8" w:rsidRDefault="008430BD" w:rsidP="008430BD">
      <w:pPr>
        <w:pStyle w:val="Odstavecseseznamem"/>
        <w:numPr>
          <w:ilvl w:val="1"/>
          <w:numId w:val="2"/>
        </w:numPr>
        <w:rPr>
          <w:color w:val="000000" w:themeColor="text1"/>
        </w:rPr>
      </w:pPr>
      <w:r w:rsidRPr="001C3EC8">
        <w:rPr>
          <w:color w:val="000000" w:themeColor="text1"/>
        </w:rPr>
        <w:t>Data jsou zobrazena v přehledné podobě v různých typech grafů, případně tabulkách. Především sledování vývoje ukazatelů v čase nebo rozdílů mezi jednotlivými soudy je takto výrazně snadnější.</w:t>
      </w:r>
    </w:p>
    <w:p w14:paraId="1FB6C79A" w14:textId="77777777" w:rsidR="008430BD" w:rsidRPr="001C3EC8" w:rsidRDefault="008430BD" w:rsidP="008430BD">
      <w:pPr>
        <w:pStyle w:val="Odstavecseseznamem"/>
        <w:numPr>
          <w:ilvl w:val="1"/>
          <w:numId w:val="2"/>
        </w:numPr>
        <w:rPr>
          <w:color w:val="000000" w:themeColor="text1"/>
        </w:rPr>
      </w:pPr>
      <w:r w:rsidRPr="001C3EC8">
        <w:rPr>
          <w:color w:val="000000" w:themeColor="text1"/>
        </w:rPr>
        <w:t>Data jsou doplněna komentářem a vysvětlivkami.</w:t>
      </w:r>
    </w:p>
    <w:p w14:paraId="42143231"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1BD65413" w14:textId="77777777" w:rsidR="008430BD" w:rsidRPr="001C3EC8" w:rsidRDefault="008430BD" w:rsidP="008430BD">
      <w:pPr>
        <w:pStyle w:val="Odstavecseseznamem"/>
        <w:numPr>
          <w:ilvl w:val="0"/>
          <w:numId w:val="2"/>
        </w:numPr>
        <w:rPr>
          <w:color w:val="000000" w:themeColor="text1"/>
        </w:rPr>
      </w:pPr>
      <w:r w:rsidRPr="001C3EC8">
        <w:rPr>
          <w:color w:val="000000" w:themeColor="text1"/>
        </w:rPr>
        <w:lastRenderedPageBreak/>
        <w:t>Definitivní závěry nemohou být vyvozovány pouze na základě jednoho statistického ukazatele. Například vysoké délky řízení nemusí znamenat (a často také neznamenají), že soud pracuje špatně. Mohou ve skutečnosti ukazovat to, že soud z nějakého důvodu (nízký počet personálu, špatná organizace práce apod.) přestal zvládat vyřizovat svou agendu před několika lety, a ačkoliv již nyní pracuje dobře, potýká se s problémy, které vznikly dříve.</w:t>
      </w:r>
    </w:p>
    <w:p w14:paraId="08642151"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Zpráva se zabývá pouze hlavními agendami soudů. Soudy ale vyřizují i množství vedlejších agend. Základní údaje o nich lze najít v jiných informačních zdrojích (</w:t>
      </w:r>
      <w:proofErr w:type="spellStart"/>
      <w:r w:rsidRPr="001C3EC8">
        <w:rPr>
          <w:color w:val="000000" w:themeColor="text1"/>
        </w:rPr>
        <w:t>InfoData</w:t>
      </w:r>
      <w:proofErr w:type="spellEnd"/>
      <w:r w:rsidRPr="001C3EC8">
        <w:rPr>
          <w:color w:val="000000" w:themeColor="text1"/>
        </w:rPr>
        <w:t>, Statistická ročenka). Další rozcestník lze najít na internetových stránkách Ministerstva spravedlnosti v části věnující se justiční statistice</w:t>
      </w:r>
      <w:r w:rsidRPr="001C3EC8">
        <w:rPr>
          <w:rStyle w:val="Znakapoznpodarou"/>
          <w:color w:val="000000" w:themeColor="text1"/>
        </w:rPr>
        <w:footnoteReference w:id="3"/>
      </w:r>
      <w:r w:rsidRPr="001C3EC8">
        <w:rPr>
          <w:color w:val="000000" w:themeColor="text1"/>
        </w:rPr>
        <w:t>.</w:t>
      </w:r>
    </w:p>
    <w:p w14:paraId="045ECDB0" w14:textId="66BFE52C" w:rsidR="008430BD" w:rsidRPr="001C3EC8" w:rsidRDefault="008430BD" w:rsidP="008430BD">
      <w:pPr>
        <w:pStyle w:val="Odstavecseseznamem"/>
        <w:numPr>
          <w:ilvl w:val="0"/>
          <w:numId w:val="2"/>
        </w:numPr>
        <w:rPr>
          <w:color w:val="000000" w:themeColor="text1"/>
        </w:rPr>
      </w:pPr>
      <w:r w:rsidRPr="001C3EC8">
        <w:rPr>
          <w:color w:val="000000" w:themeColor="text1"/>
        </w:rPr>
        <w:t xml:space="preserve">Soudní obvody neodpovídají novému samosprávnímu členění státu a vycházejí v základu ze správního členění z roku 1960. Na úrovni okresů se hranice často liší pouze mírně. Větší odlišnosti můžeme najít u okresů </w:t>
      </w:r>
      <w:r w:rsidR="0053190F">
        <w:rPr>
          <w:color w:val="000000" w:themeColor="text1"/>
        </w:rPr>
        <w:t>Brno</w:t>
      </w:r>
      <w:r w:rsidR="0053190F">
        <w:rPr>
          <w:color w:val="000000" w:themeColor="text1"/>
        </w:rPr>
        <w:noBreakHyphen/>
      </w:r>
      <w:r w:rsidRPr="001C3EC8">
        <w:rPr>
          <w:color w:val="000000" w:themeColor="text1"/>
        </w:rPr>
        <w:t xml:space="preserve">venkov, Břeclav, Žďár nad Sázavou, </w:t>
      </w:r>
      <w:r w:rsidR="0053190F">
        <w:rPr>
          <w:color w:val="000000" w:themeColor="text1"/>
        </w:rPr>
        <w:t>Praha</w:t>
      </w:r>
      <w:r w:rsidR="0053190F">
        <w:rPr>
          <w:color w:val="000000" w:themeColor="text1"/>
        </w:rPr>
        <w:noBreakHyphen/>
      </w:r>
      <w:r w:rsidRPr="001C3EC8">
        <w:rPr>
          <w:color w:val="000000" w:themeColor="text1"/>
        </w:rPr>
        <w:t xml:space="preserve">východ, Kolín, Ostrava-město, </w:t>
      </w:r>
      <w:r w:rsidR="0053190F">
        <w:rPr>
          <w:color w:val="000000" w:themeColor="text1"/>
        </w:rPr>
        <w:t>Frýdek</w:t>
      </w:r>
      <w:r w:rsidR="0053190F">
        <w:rPr>
          <w:color w:val="000000" w:themeColor="text1"/>
        </w:rPr>
        <w:noBreakHyphen/>
        <w:t>Místek</w:t>
      </w:r>
      <w:r w:rsidRPr="001C3EC8">
        <w:rPr>
          <w:color w:val="000000" w:themeColor="text1"/>
        </w:rPr>
        <w:t xml:space="preserve">, Nový Jičín, </w:t>
      </w:r>
      <w:r w:rsidR="0053190F">
        <w:rPr>
          <w:color w:val="000000" w:themeColor="text1"/>
        </w:rPr>
        <w:t>Plzeň</w:t>
      </w:r>
      <w:r w:rsidR="0053190F">
        <w:rPr>
          <w:color w:val="000000" w:themeColor="text1"/>
        </w:rPr>
        <w:noBreakHyphen/>
      </w:r>
      <w:r w:rsidRPr="001C3EC8">
        <w:rPr>
          <w:color w:val="000000" w:themeColor="text1"/>
        </w:rPr>
        <w:t xml:space="preserve">jih nebo </w:t>
      </w:r>
      <w:r w:rsidR="0053190F">
        <w:rPr>
          <w:color w:val="000000" w:themeColor="text1"/>
        </w:rPr>
        <w:t>Plzeň</w:t>
      </w:r>
      <w:r w:rsidR="0053190F">
        <w:rPr>
          <w:color w:val="000000" w:themeColor="text1"/>
        </w:rPr>
        <w:noBreakHyphen/>
      </w:r>
      <w:r w:rsidRPr="001C3EC8">
        <w:rPr>
          <w:color w:val="000000" w:themeColor="text1"/>
        </w:rPr>
        <w:t xml:space="preserve">město. Výrazně větší rozdíly jsou patrné na úrovni krajů, když existuje 14 samosprávných krajů, ale jen 8 krajů soudních. Tato zpráva se zaměřuje na soudnictví a vychází tedy pouze ze soudního členění. Například pojmem </w:t>
      </w:r>
      <w:r w:rsidRPr="001C3EC8">
        <w:rPr>
          <w:i/>
          <w:color w:val="000000" w:themeColor="text1"/>
        </w:rPr>
        <w:t>kraj</w:t>
      </w:r>
      <w:r w:rsidRPr="001C3EC8">
        <w:rPr>
          <w:color w:val="000000" w:themeColor="text1"/>
        </w:rPr>
        <w:t xml:space="preserve"> se tedy myslí kraj podle soudního členění. Hlavní město Praha má podle soudního členění 10 obvodů.</w:t>
      </w:r>
    </w:p>
    <w:p w14:paraId="44058153"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 xml:space="preserve">Ačkoliv je to na první pohled nelogické, ve statistikách týkajících se vyřizování věcí nutně neplatí, že (nevyřízené </w:t>
      </w:r>
      <w:proofErr w:type="gramStart"/>
      <w:r w:rsidRPr="001C3EC8">
        <w:rPr>
          <w:color w:val="000000" w:themeColor="text1"/>
        </w:rPr>
        <w:t>věci)</w:t>
      </w:r>
      <w:r w:rsidRPr="001C3EC8">
        <w:rPr>
          <w:color w:val="000000" w:themeColor="text1"/>
          <w:vertAlign w:val="subscript"/>
        </w:rPr>
        <w:t>t</w:t>
      </w:r>
      <w:proofErr w:type="gramEnd"/>
      <w:r w:rsidRPr="001C3EC8">
        <w:rPr>
          <w:color w:val="000000" w:themeColor="text1"/>
          <w:vertAlign w:val="subscript"/>
        </w:rPr>
        <w:t>-1</w:t>
      </w:r>
      <w:r w:rsidRPr="001C3EC8">
        <w:rPr>
          <w:color w:val="000000" w:themeColor="text1"/>
        </w:rPr>
        <w:t xml:space="preserve"> + (příchozí věci)</w:t>
      </w:r>
      <w:r w:rsidRPr="001C3EC8">
        <w:rPr>
          <w:color w:val="000000" w:themeColor="text1"/>
          <w:vertAlign w:val="subscript"/>
        </w:rPr>
        <w:t>t</w:t>
      </w:r>
      <w:r w:rsidRPr="001C3EC8">
        <w:rPr>
          <w:color w:val="000000" w:themeColor="text1"/>
        </w:rPr>
        <w:t xml:space="preserve"> – (vyřízené věci)</w:t>
      </w:r>
      <w:r w:rsidRPr="001C3EC8">
        <w:rPr>
          <w:color w:val="000000" w:themeColor="text1"/>
          <w:vertAlign w:val="subscript"/>
        </w:rPr>
        <w:t xml:space="preserve">t </w:t>
      </w:r>
      <w:r w:rsidRPr="001C3EC8">
        <w:rPr>
          <w:color w:val="000000" w:themeColor="text1"/>
        </w:rPr>
        <w:t>= (nevyřízené věci)</w:t>
      </w:r>
      <w:r w:rsidRPr="001C3EC8">
        <w:rPr>
          <w:color w:val="000000" w:themeColor="text1"/>
          <w:vertAlign w:val="subscript"/>
        </w:rPr>
        <w:t>t</w:t>
      </w:r>
      <w:r w:rsidRPr="001C3EC8">
        <w:rPr>
          <w:color w:val="000000" w:themeColor="text1"/>
        </w:rPr>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223F2352"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U grafů je třeba věnovat pozornost měřítku na ose </w:t>
      </w:r>
      <w:r w:rsidRPr="001C3EC8">
        <w:rPr>
          <w:i/>
          <w:color w:val="000000" w:themeColor="text1"/>
        </w:rPr>
        <w:t xml:space="preserve">y </w:t>
      </w:r>
      <w:r w:rsidRPr="001C3EC8">
        <w:rPr>
          <w:color w:val="000000" w:themeColor="text1"/>
        </w:rPr>
        <w:t>(svislá osa), měřítka se totiž liší. Stejně důležitý je rozsah osy. Ta totiž například nezačíná na hodnotě 0, ale na hodnotě vyšší. Na první pohled se tak mohou rozdíly zdát větší, než ve skutečnosti jsou. U kartogramů musíme sledovat velikost intervalů.</w:t>
      </w:r>
    </w:p>
    <w:p w14:paraId="6B3AD648"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U trestních agend je potřeba rozlišovat mezi počtem věcí a počtem osob. Z podstaty trestního řízení totiž vyplývá, že směřuje proti osobě, vůči které je vedeno. Jedna trestní věc může zahrnovat i více osob, počet osob tak může být výrazně vyšší než počet věcí. To platí především u krajských a vrchních soudů. Tato zpráva se zabývá pouze počtem věcí. Za zmínku stojí fakt, že počet stíhaných osob lze považovat za aproximaci složitosti věci. Více osob znamená zpravidla složitější věc.</w:t>
      </w:r>
    </w:p>
    <w:p w14:paraId="4B3B6BA9"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 xml:space="preserve">Mediánová délka řízení má z trojice medián, průměr a percentil 90 pro účely této zprávy zřejmě nejlepší vypovídající hodnotu, protože eliminuje extrémní hodnoty. Proto v kartogramech využíváme mediánovou délku </w:t>
      </w:r>
      <w:proofErr w:type="gramStart"/>
      <w:r w:rsidRPr="001C3EC8">
        <w:rPr>
          <w:color w:val="000000" w:themeColor="text1"/>
        </w:rPr>
        <w:t>řízení</w:t>
      </w:r>
      <w:proofErr w:type="gramEnd"/>
      <w:r w:rsidRPr="001C3EC8">
        <w:rPr>
          <w:color w:val="000000" w:themeColor="text1"/>
        </w:rPr>
        <w:t xml:space="preserve"> a ne průměrnou délku řízení nebo devadesátý percentil.</w:t>
      </w:r>
    </w:p>
    <w:p w14:paraId="419E14A0"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Seznam použitých pojmů, seznam zkratek soudních okresů a soudních obvodů hlavního města Prahy využitých v kartogramech a seznam vybraných rejstříků soudů naleznete v příloze této zprávy.</w:t>
      </w:r>
    </w:p>
    <w:p w14:paraId="688A1CFB" w14:textId="3819C94C" w:rsidR="008430BD" w:rsidRPr="001C3EC8" w:rsidRDefault="008430BD" w:rsidP="008430BD">
      <w:pPr>
        <w:pStyle w:val="Odstavecseseznamem"/>
        <w:numPr>
          <w:ilvl w:val="0"/>
          <w:numId w:val="2"/>
        </w:numPr>
        <w:rPr>
          <w:color w:val="000000" w:themeColor="text1"/>
        </w:rPr>
      </w:pPr>
      <w:r w:rsidRPr="001C3EC8">
        <w:rPr>
          <w:color w:val="000000" w:themeColor="text1"/>
        </w:rPr>
        <w:lastRenderedPageBreak/>
        <w:t xml:space="preserve">Přesné číselné údaje </w:t>
      </w:r>
      <w:r w:rsidR="000C3B1E" w:rsidRPr="001C3EC8">
        <w:rPr>
          <w:color w:val="000000" w:themeColor="text1"/>
        </w:rPr>
        <w:t>o</w:t>
      </w:r>
      <w:r w:rsidR="000C3B1E">
        <w:rPr>
          <w:color w:val="000000" w:themeColor="text1"/>
        </w:rPr>
        <w:t> </w:t>
      </w:r>
      <w:r w:rsidRPr="001C3EC8">
        <w:rPr>
          <w:color w:val="000000" w:themeColor="text1"/>
        </w:rPr>
        <w:t>jednotlivých okresních soudech jsou v</w:t>
      </w:r>
      <w:r w:rsidR="000C3B1E">
        <w:rPr>
          <w:color w:val="000000" w:themeColor="text1"/>
        </w:rPr>
        <w:t> </w:t>
      </w:r>
      <w:r w:rsidRPr="001C3EC8">
        <w:rPr>
          <w:color w:val="000000" w:themeColor="text1"/>
        </w:rPr>
        <w:t>Příloze</w:t>
      </w:r>
      <w:r w:rsidR="000C3B1E">
        <w:rPr>
          <w:color w:val="000000" w:themeColor="text1"/>
        </w:rPr>
        <w:t> </w:t>
      </w:r>
      <w:r w:rsidRPr="001C3EC8">
        <w:rPr>
          <w:color w:val="000000" w:themeColor="text1"/>
        </w:rPr>
        <w:t>D. Lze je také dohledat na internetových stránkách Ministerstva spravedlnosti v části věnující se justiční statistice.</w:t>
      </w:r>
    </w:p>
    <w:p w14:paraId="1586C7BE" w14:textId="77777777" w:rsidR="008430BD" w:rsidRPr="001C3EC8" w:rsidRDefault="008430BD" w:rsidP="008430BD">
      <w:pPr>
        <w:pStyle w:val="Odstavecseseznamem"/>
        <w:numPr>
          <w:ilvl w:val="0"/>
          <w:numId w:val="2"/>
        </w:numPr>
        <w:rPr>
          <w:color w:val="000000" w:themeColor="text1"/>
        </w:rPr>
      </w:pPr>
      <w:r w:rsidRPr="001C3EC8">
        <w:rPr>
          <w:color w:val="000000" w:themeColor="text1"/>
        </w:rPr>
        <w:t>Od výroční zprávy za rok 2019 jsou ve zprávě využity dva různé ukazatele pro počty soudců.</w:t>
      </w:r>
    </w:p>
    <w:p w14:paraId="6EA96F7B" w14:textId="137D88FE" w:rsidR="008430BD" w:rsidRPr="001C3EC8" w:rsidRDefault="008430BD" w:rsidP="008430BD">
      <w:pPr>
        <w:pStyle w:val="Odstavecseseznamem"/>
        <w:numPr>
          <w:ilvl w:val="1"/>
          <w:numId w:val="2"/>
        </w:numPr>
        <w:rPr>
          <w:color w:val="000000" w:themeColor="text1"/>
        </w:rPr>
      </w:pPr>
      <w:r w:rsidRPr="001C3EC8">
        <w:rPr>
          <w:color w:val="000000" w:themeColor="text1"/>
        </w:rPr>
        <w:t xml:space="preserve">Stejně jako v předchozích verzích zprávy je využit evidenční počet soudců, </w:t>
      </w:r>
      <w:r w:rsidR="000C3B1E" w:rsidRPr="001C3EC8">
        <w:rPr>
          <w:color w:val="000000" w:themeColor="text1"/>
        </w:rPr>
        <w:t>a</w:t>
      </w:r>
      <w:r w:rsidR="000C3B1E">
        <w:rPr>
          <w:color w:val="000000" w:themeColor="text1"/>
        </w:rPr>
        <w:t> </w:t>
      </w:r>
      <w:r w:rsidRPr="001C3EC8">
        <w:rPr>
          <w:color w:val="000000" w:themeColor="text1"/>
        </w:rPr>
        <w:t xml:space="preserve">to v kapitolách o personálu. Výhodou je především to, že data jsou sbírána pravidelně stejnou metodikou </w:t>
      </w:r>
      <w:r w:rsidR="000C3B1E" w:rsidRPr="001C3EC8">
        <w:rPr>
          <w:color w:val="000000" w:themeColor="text1"/>
        </w:rPr>
        <w:t>a</w:t>
      </w:r>
      <w:r w:rsidR="000C3B1E">
        <w:rPr>
          <w:color w:val="000000" w:themeColor="text1"/>
        </w:rPr>
        <w:t> </w:t>
      </w:r>
      <w:r w:rsidRPr="001C3EC8">
        <w:rPr>
          <w:color w:val="000000" w:themeColor="text1"/>
        </w:rPr>
        <w:t>jsou k dispozici za dlouhé časové období.</w:t>
      </w:r>
    </w:p>
    <w:p w14:paraId="7526A902" w14:textId="60CA35F3" w:rsidR="008430BD" w:rsidRPr="001C3EC8" w:rsidRDefault="008430BD" w:rsidP="008430BD">
      <w:pPr>
        <w:pStyle w:val="Odstavecseseznamem"/>
        <w:numPr>
          <w:ilvl w:val="1"/>
          <w:numId w:val="2"/>
        </w:numPr>
        <w:rPr>
          <w:color w:val="000000" w:themeColor="text1"/>
        </w:rPr>
      </w:pPr>
      <w:r w:rsidRPr="001C3EC8">
        <w:rPr>
          <w:color w:val="000000" w:themeColor="text1"/>
        </w:rPr>
        <w:t xml:space="preserve">Opět jsou využita data </w:t>
      </w:r>
      <w:r w:rsidR="000C3B1E" w:rsidRPr="001C3EC8">
        <w:rPr>
          <w:color w:val="000000" w:themeColor="text1"/>
        </w:rPr>
        <w:t>o</w:t>
      </w:r>
      <w:r w:rsidR="000C3B1E">
        <w:rPr>
          <w:color w:val="000000" w:themeColor="text1"/>
        </w:rPr>
        <w:t> </w:t>
      </w:r>
      <w:r w:rsidRPr="001C3EC8">
        <w:rPr>
          <w:color w:val="000000" w:themeColor="text1"/>
        </w:rPr>
        <w:t xml:space="preserve">počtu skutečných úvazků, která byla poprvé sbírána k 1. 1. 2020 </w:t>
      </w:r>
      <w:r w:rsidR="000C3B1E" w:rsidRPr="001C3EC8">
        <w:rPr>
          <w:color w:val="000000" w:themeColor="text1"/>
        </w:rPr>
        <w:t>a</w:t>
      </w:r>
      <w:r w:rsidR="000C3B1E">
        <w:rPr>
          <w:color w:val="000000" w:themeColor="text1"/>
        </w:rPr>
        <w:t> </w:t>
      </w:r>
      <w:r w:rsidRPr="001C3EC8">
        <w:rPr>
          <w:color w:val="000000" w:themeColor="text1"/>
        </w:rPr>
        <w:t xml:space="preserve">v této zprávě jsou platná k 1. 1. 2021. Jejich velkou výhodou je fakt, že jsou přesnější, neboť je v nich například vyčleněna opatrovnická agenda (a není tedy uvedena dohromady s rejstříkem C) </w:t>
      </w:r>
      <w:r w:rsidR="000C3B1E" w:rsidRPr="001C3EC8">
        <w:rPr>
          <w:color w:val="000000" w:themeColor="text1"/>
        </w:rPr>
        <w:t>a</w:t>
      </w:r>
      <w:r w:rsidR="000C3B1E">
        <w:rPr>
          <w:color w:val="000000" w:themeColor="text1"/>
        </w:rPr>
        <w:t> </w:t>
      </w:r>
      <w:r w:rsidRPr="001C3EC8">
        <w:rPr>
          <w:color w:val="000000" w:themeColor="text1"/>
        </w:rPr>
        <w:t xml:space="preserve">dále jsou zohledněny i nepřítomnosti soudců, </w:t>
      </w:r>
      <w:r w:rsidR="00FC1534" w:rsidRPr="001C3EC8">
        <w:rPr>
          <w:color w:val="000000" w:themeColor="text1"/>
        </w:rPr>
        <w:t>jako</w:t>
      </w:r>
      <w:r w:rsidRPr="001C3EC8">
        <w:rPr>
          <w:color w:val="000000" w:themeColor="text1"/>
        </w:rPr>
        <w:t xml:space="preserve"> je dlouhodobá nemoc apod. Počty skutečných úvazků jsou uvedeny s přesností na desetinu soudce. Tato data jsou pak tedy využita v kapitolách s přepočty věcí na soudce.</w:t>
      </w:r>
    </w:p>
    <w:p w14:paraId="672E9E25" w14:textId="77777777" w:rsidR="008430BD" w:rsidRPr="001C3EC8" w:rsidRDefault="008430BD" w:rsidP="008430BD">
      <w:pPr>
        <w:rPr>
          <w:color w:val="000000" w:themeColor="text1"/>
          <w:highlight w:val="yellow"/>
        </w:rPr>
      </w:pPr>
    </w:p>
    <w:p w14:paraId="0275EB5B" w14:textId="77777777" w:rsidR="008430BD" w:rsidRPr="001C3EC8" w:rsidRDefault="008430BD" w:rsidP="008430BD">
      <w:pPr>
        <w:pStyle w:val="Odstavecseseznamem"/>
        <w:numPr>
          <w:ilvl w:val="1"/>
          <w:numId w:val="2"/>
        </w:numPr>
        <w:rPr>
          <w:color w:val="000000" w:themeColor="text1"/>
          <w:highlight w:val="yellow"/>
        </w:rPr>
      </w:pPr>
      <w:r w:rsidRPr="001C3EC8">
        <w:rPr>
          <w:color w:val="000000" w:themeColor="text1"/>
          <w:highlight w:val="yellow"/>
        </w:rPr>
        <w:br w:type="page"/>
      </w:r>
    </w:p>
    <w:p w14:paraId="00D2A37B" w14:textId="77777777" w:rsidR="008430BD" w:rsidRPr="001C3EC8" w:rsidRDefault="008430BD" w:rsidP="008430BD">
      <w:pPr>
        <w:pStyle w:val="Nadpis2"/>
        <w:numPr>
          <w:ilvl w:val="1"/>
          <w:numId w:val="1"/>
        </w:numPr>
        <w:spacing w:before="120"/>
      </w:pPr>
      <w:bookmarkStart w:id="9" w:name="_Ref508884198"/>
      <w:bookmarkStart w:id="10" w:name="_Toc517118505"/>
      <w:bookmarkStart w:id="11" w:name="_Toc75952050"/>
      <w:r w:rsidRPr="001C3EC8">
        <w:lastRenderedPageBreak/>
        <w:t>Změny oproti verzi z minulého roku</w:t>
      </w:r>
      <w:bookmarkEnd w:id="9"/>
      <w:bookmarkEnd w:id="10"/>
      <w:bookmarkEnd w:id="11"/>
    </w:p>
    <w:p w14:paraId="2BD6599D" w14:textId="0F96141D" w:rsidR="008430BD" w:rsidRPr="001C3EC8" w:rsidRDefault="008430BD" w:rsidP="008430BD">
      <w:pPr>
        <w:pStyle w:val="OdstavecASR"/>
        <w:rPr>
          <w:color w:val="000000" w:themeColor="text1"/>
        </w:rPr>
      </w:pPr>
      <w:r w:rsidRPr="001C3EC8">
        <w:rPr>
          <w:color w:val="000000" w:themeColor="text1"/>
        </w:rPr>
        <w:t>Statistická výroční zpráva za rok 2020 je v mnoha ohledech (obsažená data, metodologie komentáře, grafická úprava apod.) velmi podobná zprávě za rok 2019. Určitých změn však doznala:</w:t>
      </w:r>
    </w:p>
    <w:p w14:paraId="5938A1C9" w14:textId="77777777" w:rsidR="008430BD" w:rsidRPr="001C3EC8" w:rsidRDefault="008430BD" w:rsidP="008430BD">
      <w:pPr>
        <w:pStyle w:val="Odstavecseseznamem"/>
        <w:numPr>
          <w:ilvl w:val="0"/>
          <w:numId w:val="3"/>
        </w:numPr>
        <w:rPr>
          <w:color w:val="000000" w:themeColor="text1"/>
        </w:rPr>
      </w:pPr>
      <w:r w:rsidRPr="001C3EC8">
        <w:rPr>
          <w:color w:val="000000" w:themeColor="text1"/>
        </w:rPr>
        <w:t xml:space="preserve">U některých agend uvádíme jiné </w:t>
      </w:r>
      <w:r w:rsidRPr="001C3EC8">
        <w:rPr>
          <w:i/>
          <w:color w:val="000000" w:themeColor="text1"/>
        </w:rPr>
        <w:t>další statistiky</w:t>
      </w:r>
      <w:r w:rsidRPr="001C3EC8">
        <w:rPr>
          <w:color w:val="000000" w:themeColor="text1"/>
        </w:rPr>
        <w:t xml:space="preserve"> než v roce 2019.</w:t>
      </w:r>
    </w:p>
    <w:p w14:paraId="78BA571E" w14:textId="4B4D9182" w:rsidR="00FC1534" w:rsidRPr="001C3EC8" w:rsidRDefault="008430BD" w:rsidP="008430BD">
      <w:pPr>
        <w:pStyle w:val="Odstavecseseznamem"/>
        <w:numPr>
          <w:ilvl w:val="0"/>
          <w:numId w:val="3"/>
        </w:numPr>
        <w:rPr>
          <w:color w:val="000000" w:themeColor="text1"/>
        </w:rPr>
      </w:pPr>
      <w:r w:rsidRPr="001C3EC8">
        <w:rPr>
          <w:color w:val="000000" w:themeColor="text1"/>
        </w:rPr>
        <w:t xml:space="preserve">Byla přidána část </w:t>
      </w:r>
      <w:r w:rsidR="00FC1534" w:rsidRPr="001C3EC8">
        <w:rPr>
          <w:color w:val="000000" w:themeColor="text1"/>
        </w:rPr>
        <w:t xml:space="preserve">7, která stručně shrnuje poznatky z předchozích kapitol </w:t>
      </w:r>
      <w:r w:rsidR="000C3B1E" w:rsidRPr="001C3EC8">
        <w:rPr>
          <w:color w:val="000000" w:themeColor="text1"/>
        </w:rPr>
        <w:t>a</w:t>
      </w:r>
      <w:r w:rsidR="000C3B1E">
        <w:rPr>
          <w:color w:val="000000" w:themeColor="text1"/>
        </w:rPr>
        <w:t> </w:t>
      </w:r>
      <w:r w:rsidR="00FC1534" w:rsidRPr="001C3EC8">
        <w:rPr>
          <w:color w:val="000000" w:themeColor="text1"/>
        </w:rPr>
        <w:t>krátce ČR srovnává s ostatními členskými státy EU.</w:t>
      </w:r>
    </w:p>
    <w:p w14:paraId="596CB258" w14:textId="449682C9" w:rsidR="008430BD" w:rsidRPr="001C3EC8" w:rsidRDefault="008430BD" w:rsidP="008430BD">
      <w:pPr>
        <w:pStyle w:val="Odstavecseseznamem"/>
        <w:numPr>
          <w:ilvl w:val="0"/>
          <w:numId w:val="3"/>
        </w:numPr>
        <w:rPr>
          <w:color w:val="000000" w:themeColor="text1"/>
        </w:rPr>
      </w:pPr>
      <w:r w:rsidRPr="001C3EC8">
        <w:rPr>
          <w:color w:val="000000" w:themeColor="text1"/>
        </w:rPr>
        <w:t xml:space="preserve">Byla přidána část </w:t>
      </w:r>
      <w:r w:rsidR="00FC1534" w:rsidRPr="001C3EC8">
        <w:rPr>
          <w:color w:val="000000" w:themeColor="text1"/>
        </w:rPr>
        <w:t>8</w:t>
      </w:r>
      <w:r w:rsidRPr="001C3EC8">
        <w:rPr>
          <w:color w:val="000000" w:themeColor="text1"/>
        </w:rPr>
        <w:t>, která obsahuje statisti</w:t>
      </w:r>
      <w:r w:rsidR="00FC1534" w:rsidRPr="001C3EC8">
        <w:rPr>
          <w:color w:val="000000" w:themeColor="text1"/>
        </w:rPr>
        <w:t xml:space="preserve">cké údaje vztahující se k celé </w:t>
      </w:r>
      <w:r w:rsidRPr="001C3EC8">
        <w:rPr>
          <w:color w:val="000000" w:themeColor="text1"/>
        </w:rPr>
        <w:t>soustav</w:t>
      </w:r>
      <w:r w:rsidR="00FC1534" w:rsidRPr="001C3EC8">
        <w:rPr>
          <w:color w:val="000000" w:themeColor="text1"/>
        </w:rPr>
        <w:t>ě</w:t>
      </w:r>
      <w:r w:rsidRPr="001C3EC8">
        <w:rPr>
          <w:color w:val="000000" w:themeColor="text1"/>
        </w:rPr>
        <w:t>.</w:t>
      </w:r>
    </w:p>
    <w:p w14:paraId="3A02CB7C" w14:textId="335CFBA4" w:rsidR="008430BD" w:rsidRPr="001C3EC8" w:rsidRDefault="008430BD" w:rsidP="008430BD">
      <w:pPr>
        <w:pStyle w:val="Odstavecseseznamem"/>
        <w:numPr>
          <w:ilvl w:val="0"/>
          <w:numId w:val="3"/>
        </w:numPr>
        <w:rPr>
          <w:color w:val="000000" w:themeColor="text1"/>
        </w:rPr>
      </w:pPr>
      <w:r w:rsidRPr="001C3EC8">
        <w:rPr>
          <w:color w:val="000000" w:themeColor="text1"/>
        </w:rPr>
        <w:t xml:space="preserve">Ve vybraných kapitolách je nyní doplněno srovnání s demografickými daty. Jedná se o přepočet vybraných ukazatelů na obyvatele </w:t>
      </w:r>
      <w:r w:rsidR="000C3B1E" w:rsidRPr="001C3EC8">
        <w:rPr>
          <w:color w:val="000000" w:themeColor="text1"/>
        </w:rPr>
        <w:t>a</w:t>
      </w:r>
      <w:r w:rsidR="000C3B1E">
        <w:rPr>
          <w:color w:val="000000" w:themeColor="text1"/>
        </w:rPr>
        <w:t> </w:t>
      </w:r>
      <w:r w:rsidRPr="001C3EC8">
        <w:rPr>
          <w:color w:val="000000" w:themeColor="text1"/>
        </w:rPr>
        <w:t xml:space="preserve">také </w:t>
      </w:r>
      <w:r w:rsidR="000C3B1E" w:rsidRPr="001C3EC8">
        <w:rPr>
          <w:color w:val="000000" w:themeColor="text1"/>
        </w:rPr>
        <w:t>o</w:t>
      </w:r>
      <w:r w:rsidR="000C3B1E">
        <w:rPr>
          <w:color w:val="000000" w:themeColor="text1"/>
        </w:rPr>
        <w:t> </w:t>
      </w:r>
      <w:r w:rsidRPr="001C3EC8">
        <w:rPr>
          <w:color w:val="000000" w:themeColor="text1"/>
        </w:rPr>
        <w:t>počet odsouzených osob na obyvatele dle státní příslušnosti.</w:t>
      </w:r>
    </w:p>
    <w:p w14:paraId="18453502" w14:textId="4631FE5B" w:rsidR="008430BD" w:rsidRPr="001C3EC8" w:rsidRDefault="008430BD" w:rsidP="008430BD">
      <w:pPr>
        <w:pStyle w:val="Odstavecseseznamem"/>
        <w:numPr>
          <w:ilvl w:val="0"/>
          <w:numId w:val="3"/>
        </w:numPr>
        <w:rPr>
          <w:color w:val="000000" w:themeColor="text1"/>
        </w:rPr>
      </w:pPr>
      <w:r w:rsidRPr="001C3EC8">
        <w:rPr>
          <w:color w:val="000000" w:themeColor="text1"/>
        </w:rPr>
        <w:t xml:space="preserve">Data </w:t>
      </w:r>
      <w:r w:rsidR="000C3B1E" w:rsidRPr="001C3EC8">
        <w:rPr>
          <w:color w:val="000000" w:themeColor="text1"/>
        </w:rPr>
        <w:t>o</w:t>
      </w:r>
      <w:r w:rsidR="000C3B1E">
        <w:rPr>
          <w:color w:val="000000" w:themeColor="text1"/>
        </w:rPr>
        <w:t> </w:t>
      </w:r>
      <w:r w:rsidRPr="001C3EC8">
        <w:rPr>
          <w:color w:val="000000" w:themeColor="text1"/>
        </w:rPr>
        <w:t>skutečném počtu úvazků jsou nyní k dispozici za dva roky po sobě, v příslušných tabulkách je tedy provedeno srovnání přepočtu na skutečný úvazek.</w:t>
      </w:r>
    </w:p>
    <w:p w14:paraId="320F42DA" w14:textId="3E4077D3" w:rsidR="008430BD" w:rsidRPr="001C3EC8" w:rsidRDefault="008430BD" w:rsidP="008430BD">
      <w:pPr>
        <w:pStyle w:val="Odstavecseseznamem"/>
        <w:numPr>
          <w:ilvl w:val="0"/>
          <w:numId w:val="3"/>
        </w:numPr>
        <w:rPr>
          <w:color w:val="000000" w:themeColor="text1"/>
        </w:rPr>
      </w:pPr>
      <w:r w:rsidRPr="001C3EC8">
        <w:rPr>
          <w:color w:val="000000" w:themeColor="text1"/>
        </w:rPr>
        <w:t xml:space="preserve">Stejně jako takřka každé odvětví, </w:t>
      </w:r>
      <w:r w:rsidR="000C3B1E" w:rsidRPr="001C3EC8">
        <w:rPr>
          <w:color w:val="000000" w:themeColor="text1"/>
        </w:rPr>
        <w:t>i</w:t>
      </w:r>
      <w:r w:rsidR="000C3B1E">
        <w:rPr>
          <w:color w:val="000000" w:themeColor="text1"/>
        </w:rPr>
        <w:t> </w:t>
      </w:r>
      <w:r w:rsidRPr="001C3EC8">
        <w:rPr>
          <w:color w:val="000000" w:themeColor="text1"/>
        </w:rPr>
        <w:t xml:space="preserve">soudnictví bylo ovlivněno epidemiologickou situací a zavedenými vládními restrikcemi v důsledku šíření nemoci </w:t>
      </w:r>
      <w:r w:rsidR="000C3B1E">
        <w:rPr>
          <w:color w:val="000000" w:themeColor="text1"/>
        </w:rPr>
        <w:t>COVID</w:t>
      </w:r>
      <w:r w:rsidR="000C3B1E">
        <w:rPr>
          <w:color w:val="000000" w:themeColor="text1"/>
        </w:rPr>
        <w:noBreakHyphen/>
        <w:t>19</w:t>
      </w:r>
      <w:r w:rsidRPr="001C3EC8">
        <w:rPr>
          <w:color w:val="000000" w:themeColor="text1"/>
        </w:rPr>
        <w:t xml:space="preserve">. Z toho důvodu je nápad v některých agendách zkoumán po měsících </w:t>
      </w:r>
      <w:r w:rsidR="000C3B1E" w:rsidRPr="001C3EC8">
        <w:rPr>
          <w:color w:val="000000" w:themeColor="text1"/>
        </w:rPr>
        <w:t>a</w:t>
      </w:r>
      <w:r w:rsidR="000C3B1E">
        <w:rPr>
          <w:color w:val="000000" w:themeColor="text1"/>
        </w:rPr>
        <w:t> </w:t>
      </w:r>
      <w:r w:rsidRPr="001C3EC8">
        <w:rPr>
          <w:color w:val="000000" w:themeColor="text1"/>
        </w:rPr>
        <w:t>srovnán s daty za předchozí roky.</w:t>
      </w:r>
    </w:p>
    <w:p w14:paraId="0E8476B8" w14:textId="12D0EE63" w:rsidR="008430BD" w:rsidRPr="001C3EC8" w:rsidRDefault="008430BD" w:rsidP="008430BD">
      <w:pPr>
        <w:pStyle w:val="OdstavecASR"/>
        <w:rPr>
          <w:color w:val="000000" w:themeColor="text1"/>
        </w:rPr>
      </w:pPr>
      <w:r w:rsidRPr="001C3EC8">
        <w:rPr>
          <w:color w:val="000000" w:themeColor="text1"/>
        </w:rPr>
        <w:t xml:space="preserve">Zejména jsme však doplnili data za rok 2020 </w:t>
      </w:r>
      <w:r w:rsidR="000C3B1E" w:rsidRPr="001C3EC8">
        <w:rPr>
          <w:color w:val="000000" w:themeColor="text1"/>
        </w:rPr>
        <w:t>a</w:t>
      </w:r>
      <w:r w:rsidR="000C3B1E">
        <w:rPr>
          <w:color w:val="000000" w:themeColor="text1"/>
        </w:rPr>
        <w:t> </w:t>
      </w:r>
      <w:r w:rsidRPr="001C3EC8">
        <w:rPr>
          <w:color w:val="000000" w:themeColor="text1"/>
        </w:rPr>
        <w:t xml:space="preserve">upravili grafy </w:t>
      </w:r>
      <w:r w:rsidR="000C3B1E" w:rsidRPr="001C3EC8">
        <w:rPr>
          <w:color w:val="000000" w:themeColor="text1"/>
        </w:rPr>
        <w:t>i</w:t>
      </w:r>
      <w:r w:rsidR="000C3B1E">
        <w:rPr>
          <w:color w:val="000000" w:themeColor="text1"/>
        </w:rPr>
        <w:t> </w:t>
      </w:r>
      <w:r w:rsidRPr="001C3EC8">
        <w:rPr>
          <w:color w:val="000000" w:themeColor="text1"/>
        </w:rPr>
        <w:t>textovou část, kterou jsme také rozšířili.</w:t>
      </w:r>
    </w:p>
    <w:p w14:paraId="0ACB3C4D" w14:textId="77777777" w:rsidR="008430BD" w:rsidRPr="001C3EC8" w:rsidRDefault="008430BD" w:rsidP="008430BD">
      <w:pPr>
        <w:pStyle w:val="Nadpis1"/>
        <w:pageBreakBefore/>
        <w:numPr>
          <w:ilvl w:val="0"/>
          <w:numId w:val="1"/>
        </w:numPr>
        <w:spacing w:after="120"/>
        <w:rPr>
          <w:color w:val="000000" w:themeColor="text1"/>
        </w:rPr>
      </w:pPr>
      <w:bookmarkStart w:id="12" w:name="_Toc517118506"/>
      <w:bookmarkStart w:id="13" w:name="_Toc75952051"/>
      <w:r w:rsidRPr="001C3EC8">
        <w:rPr>
          <w:color w:val="000000" w:themeColor="text1"/>
        </w:rPr>
        <w:lastRenderedPageBreak/>
        <w:t>Okresní soudy</w:t>
      </w:r>
      <w:bookmarkEnd w:id="12"/>
      <w:bookmarkEnd w:id="13"/>
    </w:p>
    <w:p w14:paraId="31D50614" w14:textId="77777777" w:rsidR="008430BD" w:rsidRPr="001C3EC8" w:rsidRDefault="008430BD" w:rsidP="008430BD">
      <w:pPr>
        <w:pStyle w:val="OdstavecASR"/>
        <w:rPr>
          <w:color w:val="000000" w:themeColor="text1"/>
        </w:rPr>
      </w:pPr>
      <w:r w:rsidRPr="001C3EC8">
        <w:rPr>
          <w:color w:val="000000" w:themeColor="text1"/>
        </w:rPr>
        <w:t>Tato část výroční zprávy obsahuje data, která se týkají všech okresních soudů (OS) v ČR. Jedná se o 75 okresních soudů, Městský soud v Brně a 10 obvodních soudů v Praze.</w:t>
      </w:r>
    </w:p>
    <w:p w14:paraId="036AF469" w14:textId="6AA5ACAA" w:rsidR="00B07E76" w:rsidRDefault="008430BD" w:rsidP="008430BD">
      <w:pPr>
        <w:pStyle w:val="OdstavecASR"/>
        <w:rPr>
          <w:color w:val="000000" w:themeColor="text1"/>
        </w:rPr>
      </w:pPr>
      <w:r w:rsidRPr="001C3EC8">
        <w:rPr>
          <w:color w:val="000000" w:themeColor="text1"/>
        </w:rPr>
        <w:t xml:space="preserve">V první podkapitole uvádíme statistiky týkající se počtu soudců, počtu zaměstnanců ve výkonu a ve správě </w:t>
      </w:r>
      <w:r w:rsidR="0053190F" w:rsidRPr="001C3EC8">
        <w:rPr>
          <w:color w:val="000000" w:themeColor="text1"/>
        </w:rPr>
        <w:t>a</w:t>
      </w:r>
      <w:r w:rsidR="0053190F">
        <w:rPr>
          <w:color w:val="000000" w:themeColor="text1"/>
        </w:rPr>
        <w:t> </w:t>
      </w:r>
      <w:r w:rsidRPr="001C3EC8">
        <w:rPr>
          <w:color w:val="000000" w:themeColor="text1"/>
        </w:rPr>
        <w:t>počtu přísedících. Další podkapitoly se věnují jednotlivým soudním agendám. Okresní soudy jsou soudy prvoinstanční a vyřizují v zásadě tři hlavní typy agend – civilní, trestní a opatrovnickou.</w:t>
      </w:r>
    </w:p>
    <w:p w14:paraId="277F4217" w14:textId="2445D714" w:rsidR="008430BD" w:rsidRPr="001C3EC8" w:rsidRDefault="008430BD" w:rsidP="008430BD">
      <w:pPr>
        <w:pStyle w:val="OdstavecASR"/>
        <w:rPr>
          <w:color w:val="000000" w:themeColor="text1"/>
        </w:rPr>
      </w:pPr>
      <w:r w:rsidRPr="001C3EC8">
        <w:rPr>
          <w:color w:val="000000" w:themeColor="text1"/>
        </w:rPr>
        <w:t xml:space="preserve">Pro většinu agend (tedy ve většině podkapitol) uvádíme délky řízení ode dne nápadu do dne vyřízení soudem </w:t>
      </w:r>
      <w:r w:rsidR="000C3B1E">
        <w:rPr>
          <w:color w:val="000000" w:themeColor="text1"/>
        </w:rPr>
        <w:t>I. stupně</w:t>
      </w:r>
      <w:r w:rsidRPr="001C3EC8">
        <w:rPr>
          <w:color w:val="000000" w:themeColor="text1"/>
        </w:rPr>
        <w:t xml:space="preserve"> (průměr, medián a percentil 90). Dále následují data týkající se vyřizování věcí: nápad + obživlé věci, vyřízené věci, nevyřízené věci a míra vyřizování v % (vyřízené věci/příchozí věci × 100 %). V závěru uvádíme i další zajímavé statistiky (např. míru odvolání). Údaje jsou většinou řazeny v časových řadách pro celou ČR, následují data za kraje v roce 2019 a kartogramy pro jednotlivé okresní soudy. Ve většině tabulek s průřezovými daty po krajích je také menším písmem uvedena změna oproti roku 2019. U délky řízení je pomocí histogramu rovněž zobrazeno její rozdělení v roce 2020.</w:t>
      </w:r>
    </w:p>
    <w:p w14:paraId="581729B8" w14:textId="77777777" w:rsidR="008430BD" w:rsidRPr="001C3EC8" w:rsidRDefault="008430BD" w:rsidP="008430BD">
      <w:pPr>
        <w:pStyle w:val="Nadpis2"/>
        <w:numPr>
          <w:ilvl w:val="1"/>
          <w:numId w:val="1"/>
        </w:numPr>
        <w:spacing w:before="120"/>
      </w:pPr>
      <w:bookmarkStart w:id="14" w:name="_Toc487791225"/>
      <w:bookmarkStart w:id="15" w:name="_Toc517118507"/>
      <w:bookmarkStart w:id="16" w:name="_Toc75952052"/>
      <w:r w:rsidRPr="001C3EC8">
        <w:t>Personál</w:t>
      </w:r>
      <w:bookmarkEnd w:id="14"/>
      <w:bookmarkEnd w:id="15"/>
      <w:bookmarkEnd w:id="16"/>
    </w:p>
    <w:p w14:paraId="0BA86EFC" w14:textId="13EA6F0E" w:rsidR="008430BD" w:rsidRPr="001C3EC8" w:rsidRDefault="008430BD" w:rsidP="008430BD">
      <w:pPr>
        <w:pStyle w:val="OdstavecASR"/>
        <w:rPr>
          <w:color w:val="000000" w:themeColor="text1"/>
        </w:rPr>
      </w:pPr>
      <w:r w:rsidRPr="001C3EC8">
        <w:rPr>
          <w:color w:val="000000" w:themeColor="text1"/>
        </w:rPr>
        <w:t xml:space="preserve">Podkapitolu dělíme na tři části. </w:t>
      </w:r>
      <w:r w:rsidR="0053190F" w:rsidRPr="001C3EC8">
        <w:rPr>
          <w:color w:val="000000" w:themeColor="text1"/>
        </w:rPr>
        <w:t>V</w:t>
      </w:r>
      <w:r w:rsidR="0053190F">
        <w:rPr>
          <w:color w:val="000000" w:themeColor="text1"/>
        </w:rPr>
        <w:t> </w:t>
      </w:r>
      <w:r w:rsidRPr="001C3EC8">
        <w:rPr>
          <w:color w:val="000000" w:themeColor="text1"/>
        </w:rPr>
        <w:t xml:space="preserve">první části se věnujeme soudcům, druhá se zaměřuje na další zaměstnance soudu </w:t>
      </w:r>
      <w:r w:rsidR="0053190F" w:rsidRPr="001C3EC8">
        <w:rPr>
          <w:color w:val="000000" w:themeColor="text1"/>
        </w:rPr>
        <w:t>a</w:t>
      </w:r>
      <w:r w:rsidR="0053190F">
        <w:rPr>
          <w:color w:val="000000" w:themeColor="text1"/>
        </w:rPr>
        <w:t> </w:t>
      </w:r>
      <w:r w:rsidRPr="001C3EC8">
        <w:rPr>
          <w:color w:val="000000" w:themeColor="text1"/>
        </w:rPr>
        <w:t xml:space="preserve">třetí pojednává </w:t>
      </w:r>
      <w:r w:rsidR="0053190F" w:rsidRPr="001C3EC8">
        <w:rPr>
          <w:color w:val="000000" w:themeColor="text1"/>
        </w:rPr>
        <w:t>o</w:t>
      </w:r>
      <w:r w:rsidR="0053190F">
        <w:rPr>
          <w:color w:val="000000" w:themeColor="text1"/>
        </w:rPr>
        <w:t> </w:t>
      </w:r>
      <w:r w:rsidRPr="001C3EC8">
        <w:rPr>
          <w:color w:val="000000" w:themeColor="text1"/>
        </w:rPr>
        <w:t>přísedících soudu. Všechny uvedené údaje jsou v osobách a data vyjadřují vždy stav k 1. 1. daného roku.</w:t>
      </w:r>
    </w:p>
    <w:p w14:paraId="57B665AE" w14:textId="77777777" w:rsidR="008430BD" w:rsidRPr="001C3EC8" w:rsidRDefault="008430BD" w:rsidP="008430BD">
      <w:pPr>
        <w:pStyle w:val="Nadpis3"/>
        <w:numPr>
          <w:ilvl w:val="2"/>
          <w:numId w:val="1"/>
        </w:numPr>
        <w:spacing w:before="0"/>
        <w:rPr>
          <w:color w:val="000000" w:themeColor="text1"/>
        </w:rPr>
      </w:pPr>
      <w:bookmarkStart w:id="17" w:name="_Ref486090162"/>
      <w:bookmarkStart w:id="18" w:name="_Toc487791226"/>
      <w:bookmarkStart w:id="19" w:name="_Toc517118508"/>
      <w:bookmarkStart w:id="20" w:name="_Toc75952053"/>
      <w:r w:rsidRPr="001C3EC8">
        <w:rPr>
          <w:color w:val="000000" w:themeColor="text1"/>
        </w:rPr>
        <w:t>Soudci</w:t>
      </w:r>
      <w:bookmarkEnd w:id="17"/>
      <w:bookmarkEnd w:id="18"/>
      <w:bookmarkEnd w:id="19"/>
      <w:bookmarkEnd w:id="20"/>
    </w:p>
    <w:p w14:paraId="0B679D87" w14:textId="6DDEF759" w:rsidR="008430BD" w:rsidRPr="001C3EC8" w:rsidRDefault="008430BD" w:rsidP="008430BD">
      <w:pPr>
        <w:pStyle w:val="Podnadpis"/>
        <w:rPr>
          <w:color w:val="000000" w:themeColor="text1"/>
        </w:rPr>
      </w:pPr>
      <w:bookmarkStart w:id="21" w:name="_Ref509212911"/>
      <w:bookmarkStart w:id="22" w:name="_Toc515871326"/>
      <w:bookmarkStart w:id="23" w:name="_Toc11135062"/>
      <w:bookmarkStart w:id="24" w:name="_Toc43841381"/>
      <w:bookmarkStart w:id="25" w:name="_Toc7595218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w:t>
      </w:r>
      <w:r w:rsidRPr="001C3EC8">
        <w:rPr>
          <w:color w:val="000000" w:themeColor="text1"/>
        </w:rPr>
        <w:fldChar w:fldCharType="end"/>
      </w:r>
      <w:bookmarkEnd w:id="21"/>
      <w:r w:rsidRPr="001C3EC8">
        <w:rPr>
          <w:color w:val="000000" w:themeColor="text1"/>
        </w:rPr>
        <w:t>: OS – počet soudců v letech 2008–20</w:t>
      </w:r>
      <w:bookmarkEnd w:id="22"/>
      <w:bookmarkEnd w:id="23"/>
      <w:bookmarkEnd w:id="24"/>
      <w:r w:rsidRPr="001C3EC8">
        <w:rPr>
          <w:color w:val="000000" w:themeColor="text1"/>
        </w:rPr>
        <w:t>20</w:t>
      </w:r>
      <w:bookmarkEnd w:id="25"/>
    </w:p>
    <w:p w14:paraId="21130B4D"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B59EB98" wp14:editId="03AFFFD6">
            <wp:extent cx="5112385" cy="374523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72A558D8" w14:textId="77777777" w:rsidR="008430BD" w:rsidRPr="001C3EC8" w:rsidRDefault="008430BD" w:rsidP="008430BD">
      <w:pPr>
        <w:rPr>
          <w:color w:val="000000" w:themeColor="text1"/>
        </w:rPr>
      </w:pPr>
    </w:p>
    <w:p w14:paraId="4C4E486F" w14:textId="46BAB98B" w:rsidR="008430BD" w:rsidRPr="001C3EC8" w:rsidRDefault="008430BD" w:rsidP="008430BD">
      <w:pPr>
        <w:pStyle w:val="OdstavecASR"/>
        <w:rPr>
          <w:color w:val="000000" w:themeColor="text1"/>
        </w:rPr>
      </w:pPr>
      <w:r w:rsidRPr="001C3EC8">
        <w:rPr>
          <w:color w:val="000000" w:themeColor="text1"/>
        </w:rPr>
        <w:lastRenderedPageBreak/>
        <w:t xml:space="preserve">Z grafu je patrné, že počet soudců u OS je v ČR velmi stabilní. </w:t>
      </w:r>
      <w:r w:rsidR="000139E3" w:rsidRPr="001C3EC8">
        <w:rPr>
          <w:color w:val="000000" w:themeColor="text1"/>
        </w:rPr>
        <w:t>P</w:t>
      </w:r>
      <w:r w:rsidRPr="001C3EC8">
        <w:rPr>
          <w:color w:val="000000" w:themeColor="text1"/>
        </w:rPr>
        <w:t>lánovaný počet všech soudců</w:t>
      </w:r>
      <w:r w:rsidR="000139E3" w:rsidRPr="001C3EC8">
        <w:rPr>
          <w:color w:val="000000" w:themeColor="text1"/>
        </w:rPr>
        <w:t xml:space="preserve"> byl </w:t>
      </w:r>
      <w:r w:rsidR="0053190F" w:rsidRPr="001C3EC8">
        <w:rPr>
          <w:color w:val="000000" w:themeColor="text1"/>
        </w:rPr>
        <w:t>v</w:t>
      </w:r>
      <w:r w:rsidR="0053190F">
        <w:rPr>
          <w:color w:val="000000" w:themeColor="text1"/>
        </w:rPr>
        <w:t> </w:t>
      </w:r>
      <w:r w:rsidR="000139E3" w:rsidRPr="001C3EC8">
        <w:rPr>
          <w:color w:val="000000" w:themeColor="text1"/>
        </w:rPr>
        <w:t xml:space="preserve">minulosti prakticky neměnný, </w:t>
      </w:r>
      <w:r w:rsidR="0053190F" w:rsidRPr="001C3EC8">
        <w:rPr>
          <w:color w:val="000000" w:themeColor="text1"/>
        </w:rPr>
        <w:t>a</w:t>
      </w:r>
      <w:r w:rsidR="0053190F">
        <w:rPr>
          <w:color w:val="000000" w:themeColor="text1"/>
        </w:rPr>
        <w:t> </w:t>
      </w:r>
      <w:r w:rsidR="000139E3" w:rsidRPr="001C3EC8">
        <w:rPr>
          <w:color w:val="000000" w:themeColor="text1"/>
        </w:rPr>
        <w:t>to</w:t>
      </w:r>
      <w:r w:rsidR="00A74487">
        <w:rPr>
          <w:color w:val="000000" w:themeColor="text1"/>
        </w:rPr>
        <w:t xml:space="preserve"> </w:t>
      </w:r>
      <w:r w:rsidRPr="001C3EC8">
        <w:rPr>
          <w:color w:val="000000" w:themeColor="text1"/>
        </w:rPr>
        <w:t>3 063 nebo 3</w:t>
      </w:r>
      <w:r w:rsidR="0053190F">
        <w:rPr>
          <w:color w:val="000000" w:themeColor="text1"/>
        </w:rPr>
        <w:t> </w:t>
      </w:r>
      <w:r w:rsidRPr="001C3EC8">
        <w:rPr>
          <w:color w:val="000000" w:themeColor="text1"/>
        </w:rPr>
        <w:t>062</w:t>
      </w:r>
      <w:r w:rsidR="0053190F">
        <w:rPr>
          <w:color w:val="000000" w:themeColor="text1"/>
        </w:rPr>
        <w:t> </w:t>
      </w:r>
      <w:r w:rsidRPr="001C3EC8">
        <w:rPr>
          <w:color w:val="000000" w:themeColor="text1"/>
        </w:rPr>
        <w:t xml:space="preserve">soudců. Tento počet je pak rozdělen mezi všechny články soudní soustavy (OS, KS, VS, NS, NSS). Mírné změny v plánovaném počtu soudců u OS jsou tak způsobeny pouze přesouváním plánovaného počtu soudců mezi jednotlivými články soudní soustavy a vyplývají z výpočtu potřeby soudců a systemizace soudů, která se odvíjí od nápadu jednotlivých soudů (viz seznam použitých pojmů v příloze). V roce 2018 došlo k určitým změnám v systemizaci – došlo k přehodnocení náročnosti vybraných rejstříků, protože </w:t>
      </w:r>
      <w:r w:rsidRPr="001C3EC8">
        <w:rPr>
          <w:color w:val="000000" w:themeColor="text1"/>
          <w:lang w:eastAsia="cs-CZ"/>
        </w:rPr>
        <w:t>náročnost agendy v průměru rostla.</w:t>
      </w:r>
      <w:r w:rsidRPr="001C3EC8">
        <w:rPr>
          <w:color w:val="000000" w:themeColor="text1"/>
        </w:rPr>
        <w:t xml:space="preserve"> Na druhou stranu ale stabilně a celkem rychle klesal nápad.</w:t>
      </w:r>
    </w:p>
    <w:p w14:paraId="723DAECD" w14:textId="52674991" w:rsidR="008430BD" w:rsidRPr="001C3EC8" w:rsidRDefault="008430BD" w:rsidP="008430BD">
      <w:pPr>
        <w:pStyle w:val="OdstavecASR"/>
        <w:rPr>
          <w:color w:val="000000" w:themeColor="text1"/>
        </w:rPr>
      </w:pPr>
      <w:r w:rsidRPr="001C3EC8">
        <w:rPr>
          <w:color w:val="000000" w:themeColor="text1"/>
        </w:rPr>
        <w:t xml:space="preserve">Změna v systemizaci ale neměla vliv na celkový plánovaný počet soudců, protože ten je omezen rozpočtem. Proto došlo pouze k mírné změně </w:t>
      </w:r>
      <w:r w:rsidR="0053190F" w:rsidRPr="001C3EC8">
        <w:rPr>
          <w:color w:val="000000" w:themeColor="text1"/>
        </w:rPr>
        <w:t>v</w:t>
      </w:r>
      <w:r w:rsidR="0053190F">
        <w:rPr>
          <w:color w:val="000000" w:themeColor="text1"/>
        </w:rPr>
        <w:t> </w:t>
      </w:r>
      <w:r w:rsidRPr="001C3EC8">
        <w:rPr>
          <w:color w:val="000000" w:themeColor="text1"/>
        </w:rPr>
        <w:t>plánovaném rozložení soudců mezi jednotlivé soudy. Z grafu vyplývá, že ani rok po změně v systemizaci soudů prakticky nedošlo k žádným změnám.</w:t>
      </w:r>
    </w:p>
    <w:p w14:paraId="607D707F" w14:textId="5AC824CC" w:rsidR="00B07E76" w:rsidRDefault="008430BD" w:rsidP="008430BD">
      <w:pPr>
        <w:pStyle w:val="OdstavecASR"/>
        <w:rPr>
          <w:color w:val="000000" w:themeColor="text1"/>
        </w:rPr>
      </w:pPr>
      <w:r w:rsidRPr="001C3EC8">
        <w:rPr>
          <w:color w:val="000000" w:themeColor="text1"/>
        </w:rPr>
        <w:t xml:space="preserve">Evidenční počet soudců je také velmi stabilní </w:t>
      </w:r>
      <w:r w:rsidR="0053190F" w:rsidRPr="001C3EC8">
        <w:rPr>
          <w:color w:val="000000" w:themeColor="text1"/>
        </w:rPr>
        <w:t>a</w:t>
      </w:r>
      <w:r w:rsidR="0053190F">
        <w:rPr>
          <w:color w:val="000000" w:themeColor="text1"/>
        </w:rPr>
        <w:t> </w:t>
      </w:r>
      <w:r w:rsidRPr="001C3EC8">
        <w:rPr>
          <w:color w:val="000000" w:themeColor="text1"/>
        </w:rPr>
        <w:t xml:space="preserve">o několik desítek přesahuje plánovaný počet soudců. Změny v evidenčním počtu soudců jsou dány především načasováním jednotlivých jmenovacích </w:t>
      </w:r>
      <w:r w:rsidR="00302145" w:rsidRPr="001C3EC8">
        <w:rPr>
          <w:color w:val="000000" w:themeColor="text1"/>
        </w:rPr>
        <w:t xml:space="preserve">etap. </w:t>
      </w:r>
      <w:r w:rsidR="0053190F" w:rsidRPr="001C3EC8">
        <w:rPr>
          <w:color w:val="000000" w:themeColor="text1"/>
        </w:rPr>
        <w:t>V</w:t>
      </w:r>
      <w:r w:rsidR="0053190F">
        <w:rPr>
          <w:color w:val="000000" w:themeColor="text1"/>
        </w:rPr>
        <w:t> </w:t>
      </w:r>
      <w:r w:rsidRPr="001C3EC8">
        <w:rPr>
          <w:color w:val="000000" w:themeColor="text1"/>
        </w:rPr>
        <w:t>roce 2020 došlo ve většině agend k výraznému poklesu v nápadu, to se ale neprojevilo v</w:t>
      </w:r>
      <w:r w:rsidR="00302145" w:rsidRPr="001C3EC8">
        <w:rPr>
          <w:color w:val="000000" w:themeColor="text1"/>
        </w:rPr>
        <w:t xml:space="preserve"> plánovaném </w:t>
      </w:r>
      <w:r w:rsidRPr="001C3EC8">
        <w:rPr>
          <w:color w:val="000000" w:themeColor="text1"/>
        </w:rPr>
        <w:t>počtu soudců,</w:t>
      </w:r>
      <w:r w:rsidR="00302145" w:rsidRPr="001C3EC8">
        <w:rPr>
          <w:color w:val="000000" w:themeColor="text1"/>
        </w:rPr>
        <w:t xml:space="preserve"> protože</w:t>
      </w:r>
      <w:r w:rsidRPr="001C3EC8">
        <w:rPr>
          <w:color w:val="000000" w:themeColor="text1"/>
        </w:rPr>
        <w:t xml:space="preserve"> ještě nebylo dost času, aby se změna projevila. Pokles nápadu lze s velkou pravděpodobností přičíst epidemiologické situaci </w:t>
      </w:r>
      <w:r w:rsidR="0053190F" w:rsidRPr="001C3EC8">
        <w:rPr>
          <w:color w:val="000000" w:themeColor="text1"/>
        </w:rPr>
        <w:t>a</w:t>
      </w:r>
      <w:r w:rsidR="0053190F">
        <w:rPr>
          <w:color w:val="000000" w:themeColor="text1"/>
        </w:rPr>
        <w:t> </w:t>
      </w:r>
      <w:r w:rsidRPr="001C3EC8">
        <w:rPr>
          <w:color w:val="000000" w:themeColor="text1"/>
        </w:rPr>
        <w:t xml:space="preserve">zavedení vládních restrikcí v důsledku šíření nemoci </w:t>
      </w:r>
      <w:r w:rsidR="000C3B1E">
        <w:rPr>
          <w:color w:val="000000" w:themeColor="text1"/>
        </w:rPr>
        <w:t>COVID</w:t>
      </w:r>
      <w:r w:rsidR="000C3B1E">
        <w:rPr>
          <w:color w:val="000000" w:themeColor="text1"/>
        </w:rPr>
        <w:noBreakHyphen/>
        <w:t>19</w:t>
      </w:r>
      <w:r w:rsidRPr="001C3EC8">
        <w:rPr>
          <w:color w:val="000000" w:themeColor="text1"/>
        </w:rPr>
        <w:t>.</w:t>
      </w:r>
    </w:p>
    <w:p w14:paraId="5494BD36" w14:textId="03421566" w:rsidR="008430BD" w:rsidRPr="001C3EC8" w:rsidRDefault="008430BD" w:rsidP="008430BD">
      <w:pPr>
        <w:pStyle w:val="OdstavecASR"/>
        <w:rPr>
          <w:color w:val="000000" w:themeColor="text1"/>
        </w:rPr>
      </w:pPr>
      <w:r w:rsidRPr="001C3EC8">
        <w:rPr>
          <w:color w:val="000000" w:themeColor="text1"/>
        </w:rPr>
        <w:t xml:space="preserve">Za povšimnutí stojí výrazný pokles v počtu soudkyň (soudců) na MD/RD (mateřské/rodičovské dovolené) mezi roky 2009 až 2015 (pokles </w:t>
      </w:r>
      <w:r w:rsidR="0053190F" w:rsidRPr="001C3EC8">
        <w:rPr>
          <w:color w:val="000000" w:themeColor="text1"/>
        </w:rPr>
        <w:t>o</w:t>
      </w:r>
      <w:r w:rsidR="0053190F">
        <w:rPr>
          <w:color w:val="000000" w:themeColor="text1"/>
        </w:rPr>
        <w:t> </w:t>
      </w:r>
      <w:r w:rsidRPr="001C3EC8">
        <w:rPr>
          <w:color w:val="000000" w:themeColor="text1"/>
        </w:rPr>
        <w:t>48</w:t>
      </w:r>
      <w:r w:rsidR="0053190F">
        <w:rPr>
          <w:color w:val="000000" w:themeColor="text1"/>
        </w:rPr>
        <w:t> </w:t>
      </w:r>
      <w:r w:rsidRPr="001C3EC8">
        <w:rPr>
          <w:color w:val="000000" w:themeColor="text1"/>
        </w:rPr>
        <w:t xml:space="preserve">%) </w:t>
      </w:r>
      <w:r w:rsidR="0053190F" w:rsidRPr="001C3EC8">
        <w:rPr>
          <w:color w:val="000000" w:themeColor="text1"/>
        </w:rPr>
        <w:t>a</w:t>
      </w:r>
      <w:r w:rsidR="0053190F">
        <w:rPr>
          <w:color w:val="000000" w:themeColor="text1"/>
        </w:rPr>
        <w:t> </w:t>
      </w:r>
      <w:r w:rsidRPr="001C3EC8">
        <w:rPr>
          <w:color w:val="000000" w:themeColor="text1"/>
        </w:rPr>
        <w:t xml:space="preserve">jeho stabilizace na průměrné hodnotě 90,8 </w:t>
      </w:r>
      <w:r w:rsidR="000E2347" w:rsidRPr="001C3EC8">
        <w:rPr>
          <w:color w:val="000000" w:themeColor="text1"/>
        </w:rPr>
        <w:t>v </w:t>
      </w:r>
      <w:r w:rsidRPr="001C3EC8">
        <w:rPr>
          <w:color w:val="000000" w:themeColor="text1"/>
        </w:rPr>
        <w:t>letech 2015 až 2020 (při vyloučení výchylky v roce 2017). V datech níže ve zprávě vidíme, že soudci u OS v průměru stárnou (snižuje se podíl soudců a soudkyň ve věku 30 až 40 let). To pak logicky vedlo také ke snižování počtu soudkyň na MD/RD. Z toho také plyne, že počet soudců, kteří u soudů v daném období skutečně působili, velmi mírně vzrostl.</w:t>
      </w:r>
    </w:p>
    <w:p w14:paraId="692BB162" w14:textId="77777777" w:rsidR="008430BD" w:rsidRPr="001C3EC8" w:rsidRDefault="008430BD" w:rsidP="008430BD">
      <w:pPr>
        <w:pStyle w:val="OdstavecASR"/>
        <w:rPr>
          <w:color w:val="000000" w:themeColor="text1"/>
        </w:rPr>
      </w:pPr>
      <w:r w:rsidRPr="001C3EC8">
        <w:rPr>
          <w:color w:val="000000" w:themeColor="text1"/>
        </w:rPr>
        <w:t xml:space="preserve">V grafu níže vidíme, že poměr velikosti soudních úseků je velmi stabilní – počet soudců na civilním úseku je asi třikrát </w:t>
      </w:r>
      <w:proofErr w:type="gramStart"/>
      <w:r w:rsidRPr="001C3EC8">
        <w:rPr>
          <w:color w:val="000000" w:themeColor="text1"/>
        </w:rPr>
        <w:t>větší</w:t>
      </w:r>
      <w:proofErr w:type="gramEnd"/>
      <w:r w:rsidRPr="001C3EC8">
        <w:rPr>
          <w:color w:val="000000" w:themeColor="text1"/>
        </w:rPr>
        <w:t xml:space="preserve"> než počet soudců na úseku trestním. Ještě je třeba upozornit, že do civilního úseku v tomto kontextu spadají i soudci, kteří vyřizují opatrovnickou agendu. V podkapitolách o vyřizování věcí na soudce již jsou tito soudci uvedeni zvlášť.</w:t>
      </w:r>
    </w:p>
    <w:p w14:paraId="4C40FB9B" w14:textId="77777777" w:rsidR="008430BD" w:rsidRPr="001C3EC8" w:rsidRDefault="008430BD" w:rsidP="000E2347">
      <w:pPr>
        <w:pStyle w:val="OdstavecASR"/>
        <w:rPr>
          <w:color w:val="000000" w:themeColor="text1"/>
        </w:rPr>
      </w:pPr>
    </w:p>
    <w:p w14:paraId="74013E93" w14:textId="531C23F3" w:rsidR="008430BD" w:rsidRPr="001C3EC8" w:rsidRDefault="008430BD" w:rsidP="008430BD">
      <w:pPr>
        <w:pStyle w:val="Podnadpis"/>
        <w:rPr>
          <w:color w:val="000000" w:themeColor="text1"/>
        </w:rPr>
      </w:pPr>
      <w:bookmarkStart w:id="26" w:name="_Toc515871327"/>
      <w:bookmarkStart w:id="27" w:name="_Toc11135063"/>
      <w:bookmarkStart w:id="28" w:name="_Toc43841382"/>
      <w:bookmarkStart w:id="29" w:name="_Toc75952182"/>
      <w:r w:rsidRPr="001C3EC8">
        <w:rPr>
          <w:color w:val="000000" w:themeColor="text1"/>
        </w:rPr>
        <w:lastRenderedPageBreak/>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2</w:t>
      </w:r>
      <w:r w:rsidRPr="001C3EC8">
        <w:rPr>
          <w:noProof/>
          <w:color w:val="000000" w:themeColor="text1"/>
        </w:rPr>
        <w:fldChar w:fldCharType="end"/>
      </w:r>
      <w:r w:rsidRPr="001C3EC8">
        <w:rPr>
          <w:color w:val="000000" w:themeColor="text1"/>
        </w:rPr>
        <w:t>: OS – evidenční počet soudců dle soudních úseků v letech 2008–20</w:t>
      </w:r>
      <w:bookmarkEnd w:id="26"/>
      <w:bookmarkEnd w:id="27"/>
      <w:bookmarkEnd w:id="28"/>
      <w:r w:rsidRPr="001C3EC8">
        <w:rPr>
          <w:color w:val="000000" w:themeColor="text1"/>
        </w:rPr>
        <w:t>20</w:t>
      </w:r>
      <w:bookmarkEnd w:id="29"/>
    </w:p>
    <w:p w14:paraId="6ECA825D"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11F67183" wp14:editId="366D6DFB">
            <wp:extent cx="5112385" cy="3745230"/>
            <wp:effectExtent l="0" t="0" r="0" b="762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69F81874" w14:textId="3AA87735" w:rsidR="008430BD" w:rsidRPr="001C3EC8" w:rsidRDefault="008430BD" w:rsidP="008430BD">
      <w:pPr>
        <w:pStyle w:val="Podnadpis"/>
        <w:rPr>
          <w:color w:val="000000" w:themeColor="text1"/>
        </w:rPr>
      </w:pPr>
      <w:bookmarkStart w:id="30" w:name="_Toc11133203"/>
      <w:bookmarkStart w:id="31" w:name="_Toc43931174"/>
      <w:bookmarkStart w:id="32" w:name="_Toc75952304"/>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1</w:t>
      </w:r>
      <w:r w:rsidRPr="001C3EC8">
        <w:rPr>
          <w:noProof/>
          <w:color w:val="000000" w:themeColor="text1"/>
        </w:rPr>
        <w:fldChar w:fldCharType="end"/>
      </w:r>
      <w:r w:rsidRPr="001C3EC8">
        <w:rPr>
          <w:color w:val="000000" w:themeColor="text1"/>
        </w:rPr>
        <w:t>: OS – počet soudců dle krajů</w:t>
      </w:r>
      <w:bookmarkEnd w:id="30"/>
      <w:bookmarkEnd w:id="31"/>
      <w:bookmarkEnd w:id="32"/>
    </w:p>
    <w:tbl>
      <w:tblPr>
        <w:tblW w:w="9072" w:type="dxa"/>
        <w:tblCellMar>
          <w:left w:w="70" w:type="dxa"/>
          <w:right w:w="70" w:type="dxa"/>
        </w:tblCellMar>
        <w:tblLook w:val="04A0" w:firstRow="1" w:lastRow="0" w:firstColumn="1" w:lastColumn="0" w:noHBand="0" w:noVBand="1"/>
      </w:tblPr>
      <w:tblGrid>
        <w:gridCol w:w="2480"/>
        <w:gridCol w:w="1600"/>
        <w:gridCol w:w="1307"/>
        <w:gridCol w:w="1276"/>
        <w:gridCol w:w="1134"/>
        <w:gridCol w:w="1275"/>
      </w:tblGrid>
      <w:tr w:rsidR="008430BD" w:rsidRPr="001C3EC8" w14:paraId="673AD51B" w14:textId="77777777" w:rsidTr="00F41AA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DCEFEE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391662F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Plánovaný počet soudců</w:t>
            </w:r>
          </w:p>
        </w:tc>
        <w:tc>
          <w:tcPr>
            <w:tcW w:w="4992" w:type="dxa"/>
            <w:gridSpan w:val="4"/>
            <w:tcBorders>
              <w:top w:val="double" w:sz="6" w:space="0" w:color="auto"/>
              <w:left w:val="nil"/>
              <w:bottom w:val="nil"/>
              <w:right w:val="nil"/>
            </w:tcBorders>
            <w:shd w:val="clear" w:color="auto" w:fill="auto"/>
            <w:noWrap/>
            <w:vAlign w:val="center"/>
            <w:hideMark/>
          </w:tcPr>
          <w:p w14:paraId="2ADFCFF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 počet soudců</w:t>
            </w:r>
          </w:p>
        </w:tc>
      </w:tr>
      <w:tr w:rsidR="008430BD" w:rsidRPr="001C3EC8" w14:paraId="00DFD8FC" w14:textId="77777777" w:rsidTr="00F41AA8">
        <w:trPr>
          <w:trHeight w:val="645"/>
        </w:trPr>
        <w:tc>
          <w:tcPr>
            <w:tcW w:w="2480" w:type="dxa"/>
            <w:vMerge/>
            <w:tcBorders>
              <w:top w:val="double" w:sz="6" w:space="0" w:color="auto"/>
              <w:left w:val="nil"/>
              <w:bottom w:val="double" w:sz="6" w:space="0" w:color="000000"/>
              <w:right w:val="nil"/>
            </w:tcBorders>
            <w:vAlign w:val="center"/>
            <w:hideMark/>
          </w:tcPr>
          <w:p w14:paraId="570E4F7D"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600" w:type="dxa"/>
            <w:vMerge/>
            <w:tcBorders>
              <w:top w:val="double" w:sz="6" w:space="0" w:color="auto"/>
              <w:left w:val="nil"/>
              <w:bottom w:val="double" w:sz="6" w:space="0" w:color="000000"/>
              <w:right w:val="nil"/>
            </w:tcBorders>
            <w:vAlign w:val="center"/>
            <w:hideMark/>
          </w:tcPr>
          <w:p w14:paraId="5B0C50B7"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307" w:type="dxa"/>
            <w:tcBorders>
              <w:top w:val="nil"/>
              <w:left w:val="nil"/>
              <w:bottom w:val="double" w:sz="6" w:space="0" w:color="auto"/>
              <w:right w:val="nil"/>
            </w:tcBorders>
            <w:shd w:val="clear" w:color="auto" w:fill="auto"/>
            <w:noWrap/>
            <w:vAlign w:val="center"/>
            <w:hideMark/>
          </w:tcPr>
          <w:p w14:paraId="0281625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Civilní úsek</w:t>
            </w:r>
          </w:p>
        </w:tc>
        <w:tc>
          <w:tcPr>
            <w:tcW w:w="1276" w:type="dxa"/>
            <w:tcBorders>
              <w:top w:val="nil"/>
              <w:left w:val="nil"/>
              <w:bottom w:val="double" w:sz="6" w:space="0" w:color="auto"/>
              <w:right w:val="nil"/>
            </w:tcBorders>
            <w:shd w:val="clear" w:color="auto" w:fill="auto"/>
            <w:noWrap/>
            <w:vAlign w:val="center"/>
            <w:hideMark/>
          </w:tcPr>
          <w:p w14:paraId="38A544C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Trestní úsek</w:t>
            </w:r>
          </w:p>
        </w:tc>
        <w:tc>
          <w:tcPr>
            <w:tcW w:w="1134" w:type="dxa"/>
            <w:tcBorders>
              <w:top w:val="nil"/>
              <w:left w:val="nil"/>
              <w:bottom w:val="double" w:sz="6" w:space="0" w:color="auto"/>
              <w:right w:val="nil"/>
            </w:tcBorders>
            <w:shd w:val="clear" w:color="auto" w:fill="auto"/>
            <w:noWrap/>
            <w:vAlign w:val="center"/>
            <w:hideMark/>
          </w:tcPr>
          <w:p w14:paraId="374C0BC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Celkem</w:t>
            </w:r>
          </w:p>
        </w:tc>
        <w:tc>
          <w:tcPr>
            <w:tcW w:w="1275" w:type="dxa"/>
            <w:tcBorders>
              <w:top w:val="nil"/>
              <w:left w:val="nil"/>
              <w:bottom w:val="double" w:sz="6" w:space="0" w:color="auto"/>
              <w:right w:val="nil"/>
            </w:tcBorders>
            <w:shd w:val="clear" w:color="auto" w:fill="auto"/>
            <w:vAlign w:val="center"/>
            <w:hideMark/>
          </w:tcPr>
          <w:p w14:paraId="7B6C32A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 100 000 obyvatel</w:t>
            </w:r>
          </w:p>
        </w:tc>
      </w:tr>
      <w:tr w:rsidR="008430BD" w:rsidRPr="001C3EC8" w14:paraId="79D3824A" w14:textId="77777777" w:rsidTr="00F41AA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693E48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600" w:type="dxa"/>
            <w:tcBorders>
              <w:top w:val="single" w:sz="4" w:space="0" w:color="auto"/>
              <w:left w:val="nil"/>
              <w:bottom w:val="single" w:sz="4" w:space="0" w:color="auto"/>
              <w:right w:val="nil"/>
            </w:tcBorders>
            <w:shd w:val="clear" w:color="auto" w:fill="auto"/>
            <w:noWrap/>
            <w:vAlign w:val="bottom"/>
            <w:hideMark/>
          </w:tcPr>
          <w:p w14:paraId="12B31C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295</w:t>
            </w:r>
          </w:p>
        </w:tc>
        <w:tc>
          <w:tcPr>
            <w:tcW w:w="1307" w:type="dxa"/>
            <w:tcBorders>
              <w:top w:val="single" w:sz="4" w:space="0" w:color="auto"/>
              <w:left w:val="nil"/>
              <w:bottom w:val="single" w:sz="4" w:space="0" w:color="auto"/>
              <w:right w:val="nil"/>
            </w:tcBorders>
            <w:shd w:val="clear" w:color="auto" w:fill="auto"/>
            <w:noWrap/>
            <w:vAlign w:val="bottom"/>
            <w:hideMark/>
          </w:tcPr>
          <w:p w14:paraId="7C6AC9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235</w:t>
            </w:r>
          </w:p>
        </w:tc>
        <w:tc>
          <w:tcPr>
            <w:tcW w:w="1276" w:type="dxa"/>
            <w:tcBorders>
              <w:top w:val="single" w:sz="4" w:space="0" w:color="auto"/>
              <w:left w:val="nil"/>
              <w:bottom w:val="single" w:sz="4" w:space="0" w:color="auto"/>
              <w:right w:val="nil"/>
            </w:tcBorders>
            <w:shd w:val="clear" w:color="auto" w:fill="auto"/>
            <w:noWrap/>
            <w:vAlign w:val="bottom"/>
            <w:hideMark/>
          </w:tcPr>
          <w:p w14:paraId="27BCF67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w:t>
            </w:r>
          </w:p>
        </w:tc>
        <w:tc>
          <w:tcPr>
            <w:tcW w:w="1134" w:type="dxa"/>
            <w:tcBorders>
              <w:top w:val="single" w:sz="4" w:space="0" w:color="auto"/>
              <w:left w:val="nil"/>
              <w:bottom w:val="single" w:sz="4" w:space="0" w:color="auto"/>
              <w:right w:val="nil"/>
            </w:tcBorders>
            <w:shd w:val="clear" w:color="auto" w:fill="auto"/>
            <w:noWrap/>
            <w:vAlign w:val="bottom"/>
            <w:hideMark/>
          </w:tcPr>
          <w:p w14:paraId="174893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303</w:t>
            </w:r>
          </w:p>
        </w:tc>
        <w:tc>
          <w:tcPr>
            <w:tcW w:w="1275" w:type="dxa"/>
            <w:tcBorders>
              <w:top w:val="single" w:sz="4" w:space="0" w:color="auto"/>
              <w:left w:val="nil"/>
              <w:bottom w:val="single" w:sz="4" w:space="0" w:color="auto"/>
              <w:right w:val="nil"/>
            </w:tcBorders>
            <w:shd w:val="clear" w:color="auto" w:fill="auto"/>
            <w:noWrap/>
            <w:vAlign w:val="bottom"/>
            <w:hideMark/>
          </w:tcPr>
          <w:p w14:paraId="564395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22,7</w:t>
            </w:r>
          </w:p>
        </w:tc>
      </w:tr>
      <w:tr w:rsidR="008430BD" w:rsidRPr="001C3EC8" w14:paraId="7F01A742" w14:textId="77777777" w:rsidTr="00F41AA8">
        <w:trPr>
          <w:trHeight w:val="315"/>
        </w:trPr>
        <w:tc>
          <w:tcPr>
            <w:tcW w:w="2480" w:type="dxa"/>
            <w:tcBorders>
              <w:top w:val="nil"/>
              <w:left w:val="nil"/>
              <w:bottom w:val="single" w:sz="4" w:space="0" w:color="auto"/>
              <w:right w:val="nil"/>
            </w:tcBorders>
            <w:shd w:val="clear" w:color="auto" w:fill="auto"/>
            <w:noWrap/>
            <w:vAlign w:val="bottom"/>
            <w:hideMark/>
          </w:tcPr>
          <w:p w14:paraId="423A57E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600" w:type="dxa"/>
            <w:tcBorders>
              <w:top w:val="nil"/>
              <w:left w:val="nil"/>
              <w:bottom w:val="single" w:sz="4" w:space="0" w:color="auto"/>
              <w:right w:val="nil"/>
            </w:tcBorders>
            <w:shd w:val="clear" w:color="auto" w:fill="auto"/>
            <w:noWrap/>
            <w:vAlign w:val="bottom"/>
            <w:hideMark/>
          </w:tcPr>
          <w:p w14:paraId="534B1F0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215</w:t>
            </w:r>
          </w:p>
        </w:tc>
        <w:tc>
          <w:tcPr>
            <w:tcW w:w="1307" w:type="dxa"/>
            <w:tcBorders>
              <w:top w:val="nil"/>
              <w:left w:val="nil"/>
              <w:bottom w:val="single" w:sz="4" w:space="0" w:color="auto"/>
              <w:right w:val="nil"/>
            </w:tcBorders>
            <w:shd w:val="clear" w:color="auto" w:fill="auto"/>
            <w:noWrap/>
            <w:vAlign w:val="bottom"/>
            <w:hideMark/>
          </w:tcPr>
          <w:p w14:paraId="03F2D8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w:t>
            </w:r>
          </w:p>
        </w:tc>
        <w:tc>
          <w:tcPr>
            <w:tcW w:w="1276" w:type="dxa"/>
            <w:tcBorders>
              <w:top w:val="nil"/>
              <w:left w:val="nil"/>
              <w:bottom w:val="single" w:sz="4" w:space="0" w:color="auto"/>
              <w:right w:val="nil"/>
            </w:tcBorders>
            <w:shd w:val="clear" w:color="auto" w:fill="auto"/>
            <w:noWrap/>
            <w:vAlign w:val="bottom"/>
            <w:hideMark/>
          </w:tcPr>
          <w:p w14:paraId="1679574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p>
        </w:tc>
        <w:tc>
          <w:tcPr>
            <w:tcW w:w="1134" w:type="dxa"/>
            <w:tcBorders>
              <w:top w:val="nil"/>
              <w:left w:val="nil"/>
              <w:bottom w:val="single" w:sz="4" w:space="0" w:color="auto"/>
              <w:right w:val="nil"/>
            </w:tcBorders>
            <w:shd w:val="clear" w:color="auto" w:fill="auto"/>
            <w:noWrap/>
            <w:vAlign w:val="bottom"/>
            <w:hideMark/>
          </w:tcPr>
          <w:p w14:paraId="48158A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206</w:t>
            </w:r>
          </w:p>
        </w:tc>
        <w:tc>
          <w:tcPr>
            <w:tcW w:w="1275" w:type="dxa"/>
            <w:tcBorders>
              <w:top w:val="nil"/>
              <w:left w:val="nil"/>
              <w:bottom w:val="single" w:sz="4" w:space="0" w:color="auto"/>
              <w:right w:val="nil"/>
            </w:tcBorders>
            <w:shd w:val="clear" w:color="auto" w:fill="auto"/>
            <w:noWrap/>
            <w:vAlign w:val="bottom"/>
            <w:hideMark/>
          </w:tcPr>
          <w:p w14:paraId="7D74A5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r>
      <w:tr w:rsidR="008430BD" w:rsidRPr="001C3EC8" w14:paraId="6F2B6D54" w14:textId="77777777" w:rsidTr="00F41AA8">
        <w:trPr>
          <w:trHeight w:val="315"/>
        </w:trPr>
        <w:tc>
          <w:tcPr>
            <w:tcW w:w="2480" w:type="dxa"/>
            <w:tcBorders>
              <w:top w:val="nil"/>
              <w:left w:val="nil"/>
              <w:bottom w:val="single" w:sz="4" w:space="0" w:color="auto"/>
              <w:right w:val="nil"/>
            </w:tcBorders>
            <w:shd w:val="clear" w:color="auto" w:fill="auto"/>
            <w:noWrap/>
            <w:vAlign w:val="bottom"/>
            <w:hideMark/>
          </w:tcPr>
          <w:p w14:paraId="7D7A96A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600" w:type="dxa"/>
            <w:tcBorders>
              <w:top w:val="nil"/>
              <w:left w:val="nil"/>
              <w:bottom w:val="single" w:sz="4" w:space="0" w:color="auto"/>
              <w:right w:val="nil"/>
            </w:tcBorders>
            <w:shd w:val="clear" w:color="auto" w:fill="auto"/>
            <w:noWrap/>
            <w:vAlign w:val="bottom"/>
            <w:hideMark/>
          </w:tcPr>
          <w:p w14:paraId="62F31C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w:t>
            </w:r>
          </w:p>
        </w:tc>
        <w:tc>
          <w:tcPr>
            <w:tcW w:w="1307" w:type="dxa"/>
            <w:tcBorders>
              <w:top w:val="nil"/>
              <w:left w:val="nil"/>
              <w:bottom w:val="single" w:sz="4" w:space="0" w:color="auto"/>
              <w:right w:val="nil"/>
            </w:tcBorders>
            <w:shd w:val="clear" w:color="auto" w:fill="auto"/>
            <w:noWrap/>
            <w:vAlign w:val="bottom"/>
            <w:hideMark/>
          </w:tcPr>
          <w:p w14:paraId="239A2B0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w:t>
            </w:r>
          </w:p>
        </w:tc>
        <w:tc>
          <w:tcPr>
            <w:tcW w:w="1276" w:type="dxa"/>
            <w:tcBorders>
              <w:top w:val="nil"/>
              <w:left w:val="nil"/>
              <w:bottom w:val="single" w:sz="4" w:space="0" w:color="auto"/>
              <w:right w:val="nil"/>
            </w:tcBorders>
            <w:shd w:val="clear" w:color="auto" w:fill="auto"/>
            <w:noWrap/>
            <w:vAlign w:val="bottom"/>
            <w:hideMark/>
          </w:tcPr>
          <w:p w14:paraId="6C7095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w:t>
            </w:r>
          </w:p>
        </w:tc>
        <w:tc>
          <w:tcPr>
            <w:tcW w:w="1134" w:type="dxa"/>
            <w:tcBorders>
              <w:top w:val="nil"/>
              <w:left w:val="nil"/>
              <w:bottom w:val="single" w:sz="4" w:space="0" w:color="auto"/>
              <w:right w:val="nil"/>
            </w:tcBorders>
            <w:shd w:val="clear" w:color="auto" w:fill="auto"/>
            <w:noWrap/>
            <w:vAlign w:val="bottom"/>
            <w:hideMark/>
          </w:tcPr>
          <w:p w14:paraId="3625903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w:t>
            </w:r>
          </w:p>
        </w:tc>
        <w:tc>
          <w:tcPr>
            <w:tcW w:w="1275" w:type="dxa"/>
            <w:tcBorders>
              <w:top w:val="nil"/>
              <w:left w:val="nil"/>
              <w:bottom w:val="single" w:sz="4" w:space="0" w:color="auto"/>
              <w:right w:val="nil"/>
            </w:tcBorders>
            <w:shd w:val="clear" w:color="auto" w:fill="auto"/>
            <w:noWrap/>
            <w:vAlign w:val="bottom"/>
            <w:hideMark/>
          </w:tcPr>
          <w:p w14:paraId="5A1B94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r>
      <w:tr w:rsidR="008430BD" w:rsidRPr="001C3EC8" w14:paraId="73E3ED60" w14:textId="77777777" w:rsidTr="00F41AA8">
        <w:trPr>
          <w:trHeight w:val="315"/>
        </w:trPr>
        <w:tc>
          <w:tcPr>
            <w:tcW w:w="2480" w:type="dxa"/>
            <w:tcBorders>
              <w:top w:val="nil"/>
              <w:left w:val="nil"/>
              <w:bottom w:val="single" w:sz="4" w:space="0" w:color="auto"/>
              <w:right w:val="nil"/>
            </w:tcBorders>
            <w:shd w:val="clear" w:color="auto" w:fill="auto"/>
            <w:noWrap/>
            <w:vAlign w:val="bottom"/>
            <w:hideMark/>
          </w:tcPr>
          <w:p w14:paraId="700E177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600" w:type="dxa"/>
            <w:tcBorders>
              <w:top w:val="nil"/>
              <w:left w:val="nil"/>
              <w:bottom w:val="single" w:sz="4" w:space="0" w:color="auto"/>
              <w:right w:val="nil"/>
            </w:tcBorders>
            <w:shd w:val="clear" w:color="auto" w:fill="auto"/>
            <w:noWrap/>
            <w:vAlign w:val="bottom"/>
            <w:hideMark/>
          </w:tcPr>
          <w:p w14:paraId="67A6217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160</w:t>
            </w:r>
          </w:p>
        </w:tc>
        <w:tc>
          <w:tcPr>
            <w:tcW w:w="1307" w:type="dxa"/>
            <w:tcBorders>
              <w:top w:val="nil"/>
              <w:left w:val="nil"/>
              <w:bottom w:val="single" w:sz="4" w:space="0" w:color="auto"/>
              <w:right w:val="nil"/>
            </w:tcBorders>
            <w:shd w:val="clear" w:color="auto" w:fill="auto"/>
            <w:noWrap/>
            <w:vAlign w:val="bottom"/>
            <w:hideMark/>
          </w:tcPr>
          <w:p w14:paraId="6B5FB7B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115</w:t>
            </w:r>
          </w:p>
        </w:tc>
        <w:tc>
          <w:tcPr>
            <w:tcW w:w="1276" w:type="dxa"/>
            <w:tcBorders>
              <w:top w:val="nil"/>
              <w:left w:val="nil"/>
              <w:bottom w:val="single" w:sz="4" w:space="0" w:color="auto"/>
              <w:right w:val="nil"/>
            </w:tcBorders>
            <w:shd w:val="clear" w:color="auto" w:fill="auto"/>
            <w:noWrap/>
            <w:vAlign w:val="bottom"/>
            <w:hideMark/>
          </w:tcPr>
          <w:p w14:paraId="5217B24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c>
          <w:tcPr>
            <w:tcW w:w="1134" w:type="dxa"/>
            <w:tcBorders>
              <w:top w:val="nil"/>
              <w:left w:val="nil"/>
              <w:bottom w:val="single" w:sz="4" w:space="0" w:color="auto"/>
              <w:right w:val="nil"/>
            </w:tcBorders>
            <w:shd w:val="clear" w:color="auto" w:fill="auto"/>
            <w:noWrap/>
            <w:vAlign w:val="bottom"/>
            <w:hideMark/>
          </w:tcPr>
          <w:p w14:paraId="721E729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159</w:t>
            </w:r>
          </w:p>
        </w:tc>
        <w:tc>
          <w:tcPr>
            <w:tcW w:w="1275" w:type="dxa"/>
            <w:tcBorders>
              <w:top w:val="nil"/>
              <w:left w:val="nil"/>
              <w:bottom w:val="single" w:sz="4" w:space="0" w:color="auto"/>
              <w:right w:val="nil"/>
            </w:tcBorders>
            <w:shd w:val="clear" w:color="auto" w:fill="auto"/>
            <w:noWrap/>
            <w:vAlign w:val="bottom"/>
            <w:hideMark/>
          </w:tcPr>
          <w:p w14:paraId="151F7B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18,0</w:t>
            </w:r>
          </w:p>
        </w:tc>
      </w:tr>
      <w:tr w:rsidR="008430BD" w:rsidRPr="001C3EC8" w14:paraId="22E501D9" w14:textId="77777777" w:rsidTr="00F41AA8">
        <w:trPr>
          <w:trHeight w:val="315"/>
        </w:trPr>
        <w:tc>
          <w:tcPr>
            <w:tcW w:w="2480" w:type="dxa"/>
            <w:tcBorders>
              <w:top w:val="nil"/>
              <w:left w:val="nil"/>
              <w:bottom w:val="single" w:sz="4" w:space="0" w:color="auto"/>
              <w:right w:val="nil"/>
            </w:tcBorders>
            <w:shd w:val="clear" w:color="auto" w:fill="auto"/>
            <w:noWrap/>
            <w:vAlign w:val="bottom"/>
            <w:hideMark/>
          </w:tcPr>
          <w:p w14:paraId="0A1667A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600" w:type="dxa"/>
            <w:tcBorders>
              <w:top w:val="nil"/>
              <w:left w:val="nil"/>
              <w:bottom w:val="single" w:sz="4" w:space="0" w:color="auto"/>
              <w:right w:val="nil"/>
            </w:tcBorders>
            <w:shd w:val="clear" w:color="auto" w:fill="auto"/>
            <w:noWrap/>
            <w:vAlign w:val="bottom"/>
            <w:hideMark/>
          </w:tcPr>
          <w:p w14:paraId="1892206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260</w:t>
            </w:r>
          </w:p>
        </w:tc>
        <w:tc>
          <w:tcPr>
            <w:tcW w:w="1307" w:type="dxa"/>
            <w:tcBorders>
              <w:top w:val="nil"/>
              <w:left w:val="nil"/>
              <w:bottom w:val="single" w:sz="4" w:space="0" w:color="auto"/>
              <w:right w:val="nil"/>
            </w:tcBorders>
            <w:shd w:val="clear" w:color="auto" w:fill="auto"/>
            <w:noWrap/>
            <w:vAlign w:val="bottom"/>
            <w:hideMark/>
          </w:tcPr>
          <w:p w14:paraId="38F1902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188</w:t>
            </w:r>
          </w:p>
        </w:tc>
        <w:tc>
          <w:tcPr>
            <w:tcW w:w="1276" w:type="dxa"/>
            <w:tcBorders>
              <w:top w:val="nil"/>
              <w:left w:val="nil"/>
              <w:bottom w:val="single" w:sz="4" w:space="0" w:color="auto"/>
              <w:right w:val="nil"/>
            </w:tcBorders>
            <w:shd w:val="clear" w:color="auto" w:fill="auto"/>
            <w:noWrap/>
            <w:vAlign w:val="bottom"/>
            <w:hideMark/>
          </w:tcPr>
          <w:p w14:paraId="2634946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w:t>
            </w:r>
          </w:p>
        </w:tc>
        <w:tc>
          <w:tcPr>
            <w:tcW w:w="1134" w:type="dxa"/>
            <w:tcBorders>
              <w:top w:val="nil"/>
              <w:left w:val="nil"/>
              <w:bottom w:val="single" w:sz="4" w:space="0" w:color="auto"/>
              <w:right w:val="nil"/>
            </w:tcBorders>
            <w:shd w:val="clear" w:color="auto" w:fill="auto"/>
            <w:noWrap/>
            <w:vAlign w:val="bottom"/>
            <w:hideMark/>
          </w:tcPr>
          <w:p w14:paraId="4A2E9B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274</w:t>
            </w:r>
          </w:p>
        </w:tc>
        <w:tc>
          <w:tcPr>
            <w:tcW w:w="1275" w:type="dxa"/>
            <w:tcBorders>
              <w:top w:val="nil"/>
              <w:left w:val="nil"/>
              <w:bottom w:val="single" w:sz="4" w:space="0" w:color="auto"/>
              <w:right w:val="nil"/>
            </w:tcBorders>
            <w:shd w:val="clear" w:color="auto" w:fill="auto"/>
            <w:noWrap/>
            <w:vAlign w:val="bottom"/>
            <w:hideMark/>
          </w:tcPr>
          <w:p w14:paraId="7917D8C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23,1</w:t>
            </w:r>
          </w:p>
        </w:tc>
      </w:tr>
      <w:tr w:rsidR="008430BD" w:rsidRPr="001C3EC8" w14:paraId="3126E1F8" w14:textId="77777777" w:rsidTr="00F41AA8">
        <w:trPr>
          <w:trHeight w:val="315"/>
        </w:trPr>
        <w:tc>
          <w:tcPr>
            <w:tcW w:w="2480" w:type="dxa"/>
            <w:tcBorders>
              <w:top w:val="nil"/>
              <w:left w:val="nil"/>
              <w:bottom w:val="single" w:sz="4" w:space="0" w:color="auto"/>
              <w:right w:val="nil"/>
            </w:tcBorders>
            <w:shd w:val="clear" w:color="auto" w:fill="auto"/>
            <w:noWrap/>
            <w:vAlign w:val="bottom"/>
            <w:hideMark/>
          </w:tcPr>
          <w:p w14:paraId="46849F7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600" w:type="dxa"/>
            <w:tcBorders>
              <w:top w:val="nil"/>
              <w:left w:val="nil"/>
              <w:bottom w:val="single" w:sz="4" w:space="0" w:color="auto"/>
              <w:right w:val="nil"/>
            </w:tcBorders>
            <w:shd w:val="clear" w:color="auto" w:fill="auto"/>
            <w:noWrap/>
            <w:vAlign w:val="bottom"/>
            <w:hideMark/>
          </w:tcPr>
          <w:p w14:paraId="68E7B7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169</w:t>
            </w:r>
          </w:p>
        </w:tc>
        <w:tc>
          <w:tcPr>
            <w:tcW w:w="1307" w:type="dxa"/>
            <w:tcBorders>
              <w:top w:val="nil"/>
              <w:left w:val="nil"/>
              <w:bottom w:val="single" w:sz="4" w:space="0" w:color="auto"/>
              <w:right w:val="nil"/>
            </w:tcBorders>
            <w:shd w:val="clear" w:color="auto" w:fill="auto"/>
            <w:noWrap/>
            <w:vAlign w:val="bottom"/>
            <w:hideMark/>
          </w:tcPr>
          <w:p w14:paraId="1C825C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131</w:t>
            </w:r>
          </w:p>
        </w:tc>
        <w:tc>
          <w:tcPr>
            <w:tcW w:w="1276" w:type="dxa"/>
            <w:tcBorders>
              <w:top w:val="nil"/>
              <w:left w:val="nil"/>
              <w:bottom w:val="single" w:sz="4" w:space="0" w:color="auto"/>
              <w:right w:val="nil"/>
            </w:tcBorders>
            <w:shd w:val="clear" w:color="auto" w:fill="auto"/>
            <w:noWrap/>
            <w:vAlign w:val="bottom"/>
            <w:hideMark/>
          </w:tcPr>
          <w:p w14:paraId="501179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w:t>
            </w:r>
          </w:p>
        </w:tc>
        <w:tc>
          <w:tcPr>
            <w:tcW w:w="1134" w:type="dxa"/>
            <w:tcBorders>
              <w:top w:val="nil"/>
              <w:left w:val="nil"/>
              <w:bottom w:val="single" w:sz="4" w:space="0" w:color="auto"/>
              <w:right w:val="nil"/>
            </w:tcBorders>
            <w:shd w:val="clear" w:color="auto" w:fill="auto"/>
            <w:noWrap/>
            <w:vAlign w:val="bottom"/>
            <w:hideMark/>
          </w:tcPr>
          <w:p w14:paraId="4977676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172</w:t>
            </w:r>
          </w:p>
        </w:tc>
        <w:tc>
          <w:tcPr>
            <w:tcW w:w="1275" w:type="dxa"/>
            <w:tcBorders>
              <w:top w:val="nil"/>
              <w:left w:val="nil"/>
              <w:bottom w:val="single" w:sz="4" w:space="0" w:color="auto"/>
              <w:right w:val="nil"/>
            </w:tcBorders>
            <w:shd w:val="clear" w:color="auto" w:fill="auto"/>
            <w:noWrap/>
            <w:vAlign w:val="bottom"/>
            <w:hideMark/>
          </w:tcPr>
          <w:p w14:paraId="04C5BE6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13,8</w:t>
            </w:r>
          </w:p>
        </w:tc>
      </w:tr>
      <w:tr w:rsidR="008430BD" w:rsidRPr="001C3EC8" w14:paraId="016EA343" w14:textId="77777777" w:rsidTr="00F41AA8">
        <w:trPr>
          <w:trHeight w:val="315"/>
        </w:trPr>
        <w:tc>
          <w:tcPr>
            <w:tcW w:w="2480" w:type="dxa"/>
            <w:tcBorders>
              <w:top w:val="nil"/>
              <w:left w:val="nil"/>
              <w:bottom w:val="single" w:sz="4" w:space="0" w:color="auto"/>
              <w:right w:val="nil"/>
            </w:tcBorders>
            <w:shd w:val="clear" w:color="auto" w:fill="auto"/>
            <w:noWrap/>
            <w:vAlign w:val="bottom"/>
            <w:hideMark/>
          </w:tcPr>
          <w:p w14:paraId="3BB7AB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600" w:type="dxa"/>
            <w:tcBorders>
              <w:top w:val="nil"/>
              <w:left w:val="nil"/>
              <w:bottom w:val="single" w:sz="4" w:space="0" w:color="auto"/>
              <w:right w:val="nil"/>
            </w:tcBorders>
            <w:shd w:val="clear" w:color="auto" w:fill="auto"/>
            <w:noWrap/>
            <w:vAlign w:val="bottom"/>
            <w:hideMark/>
          </w:tcPr>
          <w:p w14:paraId="1038679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282</w:t>
            </w:r>
          </w:p>
        </w:tc>
        <w:tc>
          <w:tcPr>
            <w:tcW w:w="1307" w:type="dxa"/>
            <w:tcBorders>
              <w:top w:val="nil"/>
              <w:left w:val="nil"/>
              <w:bottom w:val="single" w:sz="4" w:space="0" w:color="auto"/>
              <w:right w:val="nil"/>
            </w:tcBorders>
            <w:shd w:val="clear" w:color="auto" w:fill="auto"/>
            <w:noWrap/>
            <w:vAlign w:val="bottom"/>
            <w:hideMark/>
          </w:tcPr>
          <w:p w14:paraId="5EEBC4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227</w:t>
            </w:r>
          </w:p>
        </w:tc>
        <w:tc>
          <w:tcPr>
            <w:tcW w:w="1276" w:type="dxa"/>
            <w:tcBorders>
              <w:top w:val="nil"/>
              <w:left w:val="nil"/>
              <w:bottom w:val="single" w:sz="4" w:space="0" w:color="auto"/>
              <w:right w:val="nil"/>
            </w:tcBorders>
            <w:shd w:val="clear" w:color="auto" w:fill="auto"/>
            <w:noWrap/>
            <w:vAlign w:val="bottom"/>
            <w:hideMark/>
          </w:tcPr>
          <w:p w14:paraId="15EDCE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w:t>
            </w:r>
          </w:p>
        </w:tc>
        <w:tc>
          <w:tcPr>
            <w:tcW w:w="1134" w:type="dxa"/>
            <w:tcBorders>
              <w:top w:val="nil"/>
              <w:left w:val="nil"/>
              <w:bottom w:val="single" w:sz="4" w:space="0" w:color="auto"/>
              <w:right w:val="nil"/>
            </w:tcBorders>
            <w:shd w:val="clear" w:color="auto" w:fill="auto"/>
            <w:noWrap/>
            <w:vAlign w:val="bottom"/>
            <w:hideMark/>
          </w:tcPr>
          <w:p w14:paraId="5F0787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290</w:t>
            </w:r>
          </w:p>
        </w:tc>
        <w:tc>
          <w:tcPr>
            <w:tcW w:w="1275" w:type="dxa"/>
            <w:tcBorders>
              <w:top w:val="nil"/>
              <w:left w:val="nil"/>
              <w:bottom w:val="single" w:sz="4" w:space="0" w:color="auto"/>
              <w:right w:val="nil"/>
            </w:tcBorders>
            <w:shd w:val="clear" w:color="auto" w:fill="auto"/>
            <w:noWrap/>
            <w:vAlign w:val="bottom"/>
            <w:hideMark/>
          </w:tcPr>
          <w:p w14:paraId="3EF6141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13,9</w:t>
            </w:r>
          </w:p>
        </w:tc>
      </w:tr>
      <w:tr w:rsidR="008430BD" w:rsidRPr="001C3EC8" w14:paraId="57D93F3E" w14:textId="77777777" w:rsidTr="00F41AA8">
        <w:trPr>
          <w:trHeight w:val="330"/>
        </w:trPr>
        <w:tc>
          <w:tcPr>
            <w:tcW w:w="2480" w:type="dxa"/>
            <w:tcBorders>
              <w:top w:val="nil"/>
              <w:left w:val="nil"/>
              <w:bottom w:val="double" w:sz="6" w:space="0" w:color="auto"/>
              <w:right w:val="nil"/>
            </w:tcBorders>
            <w:shd w:val="clear" w:color="auto" w:fill="auto"/>
            <w:noWrap/>
            <w:vAlign w:val="bottom"/>
            <w:hideMark/>
          </w:tcPr>
          <w:p w14:paraId="0C79E51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600" w:type="dxa"/>
            <w:tcBorders>
              <w:top w:val="nil"/>
              <w:left w:val="nil"/>
              <w:bottom w:val="double" w:sz="6" w:space="0" w:color="auto"/>
              <w:right w:val="nil"/>
            </w:tcBorders>
            <w:shd w:val="clear" w:color="auto" w:fill="auto"/>
            <w:noWrap/>
            <w:vAlign w:val="bottom"/>
            <w:hideMark/>
          </w:tcPr>
          <w:p w14:paraId="3B5622C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318</w:t>
            </w:r>
          </w:p>
        </w:tc>
        <w:tc>
          <w:tcPr>
            <w:tcW w:w="1307" w:type="dxa"/>
            <w:tcBorders>
              <w:top w:val="nil"/>
              <w:left w:val="nil"/>
              <w:bottom w:val="double" w:sz="6" w:space="0" w:color="auto"/>
              <w:right w:val="nil"/>
            </w:tcBorders>
            <w:shd w:val="clear" w:color="auto" w:fill="auto"/>
            <w:noWrap/>
            <w:vAlign w:val="bottom"/>
            <w:hideMark/>
          </w:tcPr>
          <w:p w14:paraId="728040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234</w:t>
            </w:r>
          </w:p>
        </w:tc>
        <w:tc>
          <w:tcPr>
            <w:tcW w:w="1276" w:type="dxa"/>
            <w:tcBorders>
              <w:top w:val="nil"/>
              <w:left w:val="nil"/>
              <w:bottom w:val="double" w:sz="6" w:space="0" w:color="auto"/>
              <w:right w:val="nil"/>
            </w:tcBorders>
            <w:shd w:val="clear" w:color="auto" w:fill="auto"/>
            <w:noWrap/>
            <w:vAlign w:val="bottom"/>
            <w:hideMark/>
          </w:tcPr>
          <w:p w14:paraId="3D34BD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81</w:t>
            </w:r>
          </w:p>
        </w:tc>
        <w:tc>
          <w:tcPr>
            <w:tcW w:w="1134" w:type="dxa"/>
            <w:tcBorders>
              <w:top w:val="nil"/>
              <w:left w:val="nil"/>
              <w:bottom w:val="nil"/>
              <w:right w:val="nil"/>
            </w:tcBorders>
            <w:shd w:val="clear" w:color="auto" w:fill="auto"/>
            <w:noWrap/>
            <w:vAlign w:val="bottom"/>
            <w:hideMark/>
          </w:tcPr>
          <w:p w14:paraId="2B4E872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315</w:t>
            </w:r>
          </w:p>
        </w:tc>
        <w:tc>
          <w:tcPr>
            <w:tcW w:w="1275" w:type="dxa"/>
            <w:tcBorders>
              <w:top w:val="nil"/>
              <w:left w:val="nil"/>
              <w:bottom w:val="double" w:sz="6" w:space="0" w:color="auto"/>
              <w:right w:val="nil"/>
            </w:tcBorders>
            <w:shd w:val="clear" w:color="auto" w:fill="auto"/>
            <w:noWrap/>
            <w:vAlign w:val="bottom"/>
            <w:hideMark/>
          </w:tcPr>
          <w:p w14:paraId="7EA33FF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17,0</w:t>
            </w:r>
          </w:p>
        </w:tc>
      </w:tr>
      <w:tr w:rsidR="008430BD" w:rsidRPr="001C3EC8" w14:paraId="302BBA31" w14:textId="77777777" w:rsidTr="00F41AA8">
        <w:trPr>
          <w:trHeight w:val="345"/>
        </w:trPr>
        <w:tc>
          <w:tcPr>
            <w:tcW w:w="2480" w:type="dxa"/>
            <w:tcBorders>
              <w:top w:val="nil"/>
              <w:left w:val="nil"/>
              <w:bottom w:val="double" w:sz="6" w:space="0" w:color="auto"/>
              <w:right w:val="nil"/>
            </w:tcBorders>
            <w:shd w:val="clear" w:color="auto" w:fill="auto"/>
            <w:noWrap/>
            <w:vAlign w:val="bottom"/>
            <w:hideMark/>
          </w:tcPr>
          <w:p w14:paraId="445C1201"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600" w:type="dxa"/>
            <w:tcBorders>
              <w:top w:val="nil"/>
              <w:left w:val="nil"/>
              <w:bottom w:val="double" w:sz="6" w:space="0" w:color="auto"/>
              <w:right w:val="nil"/>
            </w:tcBorders>
            <w:shd w:val="clear" w:color="auto" w:fill="auto"/>
            <w:noWrap/>
            <w:vAlign w:val="bottom"/>
            <w:hideMark/>
          </w:tcPr>
          <w:p w14:paraId="1B2B7A18" w14:textId="61992856"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798</w:t>
            </w:r>
          </w:p>
        </w:tc>
        <w:tc>
          <w:tcPr>
            <w:tcW w:w="1307" w:type="dxa"/>
            <w:tcBorders>
              <w:top w:val="nil"/>
              <w:left w:val="nil"/>
              <w:bottom w:val="double" w:sz="6" w:space="0" w:color="auto"/>
              <w:right w:val="nil"/>
            </w:tcBorders>
            <w:shd w:val="clear" w:color="auto" w:fill="auto"/>
            <w:noWrap/>
            <w:vAlign w:val="bottom"/>
            <w:hideMark/>
          </w:tcPr>
          <w:p w14:paraId="6DF7BA5D" w14:textId="4BAD632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369</w:t>
            </w:r>
          </w:p>
        </w:tc>
        <w:tc>
          <w:tcPr>
            <w:tcW w:w="1276" w:type="dxa"/>
            <w:tcBorders>
              <w:top w:val="nil"/>
              <w:left w:val="nil"/>
              <w:bottom w:val="double" w:sz="6" w:space="0" w:color="auto"/>
              <w:right w:val="nil"/>
            </w:tcBorders>
            <w:shd w:val="clear" w:color="auto" w:fill="auto"/>
            <w:noWrap/>
            <w:vAlign w:val="bottom"/>
            <w:hideMark/>
          </w:tcPr>
          <w:p w14:paraId="53B5853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455</w:t>
            </w:r>
          </w:p>
        </w:tc>
        <w:tc>
          <w:tcPr>
            <w:tcW w:w="1134" w:type="dxa"/>
            <w:tcBorders>
              <w:top w:val="double" w:sz="6" w:space="0" w:color="auto"/>
              <w:left w:val="nil"/>
              <w:bottom w:val="double" w:sz="6" w:space="0" w:color="auto"/>
              <w:right w:val="nil"/>
            </w:tcBorders>
            <w:shd w:val="clear" w:color="auto" w:fill="auto"/>
            <w:noWrap/>
            <w:vAlign w:val="bottom"/>
            <w:hideMark/>
          </w:tcPr>
          <w:p w14:paraId="75C4332B" w14:textId="55C0B47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824</w:t>
            </w:r>
          </w:p>
        </w:tc>
        <w:tc>
          <w:tcPr>
            <w:tcW w:w="1275" w:type="dxa"/>
            <w:tcBorders>
              <w:top w:val="nil"/>
              <w:left w:val="nil"/>
              <w:bottom w:val="double" w:sz="6" w:space="0" w:color="auto"/>
              <w:right w:val="nil"/>
            </w:tcBorders>
            <w:shd w:val="clear" w:color="auto" w:fill="auto"/>
            <w:noWrap/>
            <w:vAlign w:val="bottom"/>
            <w:hideMark/>
          </w:tcPr>
          <w:p w14:paraId="02EBEE9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17,0</w:t>
            </w:r>
          </w:p>
        </w:tc>
      </w:tr>
    </w:tbl>
    <w:p w14:paraId="51CCEEBA" w14:textId="2AA81052" w:rsidR="008430BD" w:rsidRPr="001C3EC8" w:rsidRDefault="008430BD" w:rsidP="008430BD">
      <w:pPr>
        <w:pStyle w:val="OdstavecASR"/>
        <w:rPr>
          <w:color w:val="000000" w:themeColor="text1"/>
        </w:rPr>
      </w:pPr>
      <w:r w:rsidRPr="001C3EC8">
        <w:rPr>
          <w:color w:val="000000" w:themeColor="text1"/>
        </w:rPr>
        <w:t xml:space="preserve">Plánovaný počet soudců se oproti předchozímu roku nepatrně zvýšil, zatímco evidenční počet soudců se snížil. To odpovídá dlouhodobému trendu nárůstu plánovaného počtu soudců </w:t>
      </w:r>
      <w:r w:rsidR="0053190F" w:rsidRPr="001C3EC8">
        <w:rPr>
          <w:color w:val="000000" w:themeColor="text1"/>
        </w:rPr>
        <w:t>a</w:t>
      </w:r>
      <w:r w:rsidR="0053190F">
        <w:rPr>
          <w:color w:val="000000" w:themeColor="text1"/>
        </w:rPr>
        <w:t> </w:t>
      </w:r>
      <w:r w:rsidRPr="001C3EC8">
        <w:rPr>
          <w:color w:val="000000" w:themeColor="text1"/>
        </w:rPr>
        <w:t xml:space="preserve">dlouhodobému snižování evidenčního počtu soudců. Výsledkem je zmenšování rozdílu mezi plánovaným </w:t>
      </w:r>
      <w:r w:rsidR="0053190F" w:rsidRPr="001C3EC8">
        <w:rPr>
          <w:color w:val="000000" w:themeColor="text1"/>
        </w:rPr>
        <w:t>a</w:t>
      </w:r>
      <w:r w:rsidR="0053190F">
        <w:rPr>
          <w:color w:val="000000" w:themeColor="text1"/>
        </w:rPr>
        <w:t> </w:t>
      </w:r>
      <w:r w:rsidRPr="001C3EC8">
        <w:rPr>
          <w:color w:val="000000" w:themeColor="text1"/>
        </w:rPr>
        <w:t xml:space="preserve">evidenčním počtem soudců, kdy v roce 2016 byl evidenční počet vyšší </w:t>
      </w:r>
      <w:r w:rsidR="0053190F" w:rsidRPr="001C3EC8">
        <w:rPr>
          <w:color w:val="000000" w:themeColor="text1"/>
        </w:rPr>
        <w:t>o</w:t>
      </w:r>
      <w:r w:rsidR="0053190F">
        <w:rPr>
          <w:color w:val="000000" w:themeColor="text1"/>
        </w:rPr>
        <w:t> </w:t>
      </w:r>
      <w:r w:rsidRPr="001C3EC8">
        <w:rPr>
          <w:color w:val="000000" w:themeColor="text1"/>
        </w:rPr>
        <w:t>73</w:t>
      </w:r>
      <w:r w:rsidR="0053190F">
        <w:rPr>
          <w:color w:val="000000" w:themeColor="text1"/>
        </w:rPr>
        <w:t> </w:t>
      </w:r>
      <w:r w:rsidRPr="001C3EC8">
        <w:rPr>
          <w:color w:val="000000" w:themeColor="text1"/>
        </w:rPr>
        <w:t xml:space="preserve">soudců než plánovaný </w:t>
      </w:r>
      <w:r w:rsidR="0053190F" w:rsidRPr="001C3EC8">
        <w:rPr>
          <w:color w:val="000000" w:themeColor="text1"/>
        </w:rPr>
        <w:t>a</w:t>
      </w:r>
      <w:r w:rsidR="0053190F">
        <w:rPr>
          <w:color w:val="000000" w:themeColor="text1"/>
        </w:rPr>
        <w:t> </w:t>
      </w:r>
      <w:r w:rsidRPr="001C3EC8">
        <w:rPr>
          <w:color w:val="000000" w:themeColor="text1"/>
        </w:rPr>
        <w:t xml:space="preserve">v roce 2020 </w:t>
      </w:r>
      <w:r w:rsidR="0053190F" w:rsidRPr="001C3EC8">
        <w:rPr>
          <w:color w:val="000000" w:themeColor="text1"/>
        </w:rPr>
        <w:t>o</w:t>
      </w:r>
      <w:r w:rsidR="0053190F">
        <w:rPr>
          <w:color w:val="000000" w:themeColor="text1"/>
        </w:rPr>
        <w:t> </w:t>
      </w:r>
      <w:r w:rsidRPr="001C3EC8">
        <w:rPr>
          <w:color w:val="000000" w:themeColor="text1"/>
        </w:rPr>
        <w:t>26</w:t>
      </w:r>
      <w:r w:rsidR="0053190F">
        <w:rPr>
          <w:color w:val="000000" w:themeColor="text1"/>
        </w:rPr>
        <w:t> </w:t>
      </w:r>
      <w:r w:rsidRPr="001C3EC8">
        <w:rPr>
          <w:color w:val="000000" w:themeColor="text1"/>
        </w:rPr>
        <w:t xml:space="preserve">soudců (snížení rozdílu </w:t>
      </w:r>
      <w:r w:rsidR="0053190F" w:rsidRPr="001C3EC8">
        <w:rPr>
          <w:color w:val="000000" w:themeColor="text1"/>
        </w:rPr>
        <w:t>o</w:t>
      </w:r>
      <w:r w:rsidR="0053190F">
        <w:rPr>
          <w:color w:val="000000" w:themeColor="text1"/>
        </w:rPr>
        <w:t> </w:t>
      </w:r>
      <w:r w:rsidRPr="001C3EC8">
        <w:rPr>
          <w:color w:val="000000" w:themeColor="text1"/>
        </w:rPr>
        <w:t xml:space="preserve">64 %). V roce 2008 činil rozdíl mezi evidenčním </w:t>
      </w:r>
      <w:r w:rsidR="0053190F" w:rsidRPr="001C3EC8">
        <w:rPr>
          <w:color w:val="000000" w:themeColor="text1"/>
        </w:rPr>
        <w:t>a</w:t>
      </w:r>
      <w:r w:rsidR="0053190F">
        <w:rPr>
          <w:color w:val="000000" w:themeColor="text1"/>
        </w:rPr>
        <w:t> </w:t>
      </w:r>
      <w:r w:rsidRPr="001C3EC8">
        <w:rPr>
          <w:color w:val="000000" w:themeColor="text1"/>
        </w:rPr>
        <w:t>plánovaným počtem dokonce 176 soudců ve prospěch počtu evidenčního. Další informace k tomuto tématu viz Tabulka 5.</w:t>
      </w:r>
    </w:p>
    <w:p w14:paraId="3DEF2F1C" w14:textId="6D0560AA" w:rsidR="008430BD" w:rsidRPr="001C3EC8" w:rsidRDefault="008430BD" w:rsidP="008430BD">
      <w:pPr>
        <w:pStyle w:val="OdstavecASR"/>
        <w:rPr>
          <w:color w:val="000000" w:themeColor="text1"/>
        </w:rPr>
      </w:pPr>
      <w:r w:rsidRPr="001C3EC8">
        <w:rPr>
          <w:color w:val="000000" w:themeColor="text1"/>
        </w:rPr>
        <w:t xml:space="preserve">Největšími okresními soudy zůstávají MS Brno (79 soudců), OS Ostrava (75 soudců), </w:t>
      </w:r>
      <w:r w:rsidR="0053190F" w:rsidRPr="001C3EC8">
        <w:rPr>
          <w:color w:val="000000" w:themeColor="text1"/>
        </w:rPr>
        <w:t>a</w:t>
      </w:r>
      <w:r w:rsidR="0053190F">
        <w:rPr>
          <w:color w:val="000000" w:themeColor="text1"/>
        </w:rPr>
        <w:t> </w:t>
      </w:r>
      <w:r w:rsidRPr="001C3EC8">
        <w:rPr>
          <w:color w:val="000000" w:themeColor="text1"/>
        </w:rPr>
        <w:t xml:space="preserve">to </w:t>
      </w:r>
      <w:r w:rsidR="0053190F" w:rsidRPr="001C3EC8">
        <w:rPr>
          <w:color w:val="000000" w:themeColor="text1"/>
        </w:rPr>
        <w:t>i</w:t>
      </w:r>
      <w:r w:rsidR="0053190F">
        <w:rPr>
          <w:color w:val="000000" w:themeColor="text1"/>
        </w:rPr>
        <w:t> </w:t>
      </w:r>
      <w:r w:rsidRPr="001C3EC8">
        <w:rPr>
          <w:color w:val="000000" w:themeColor="text1"/>
        </w:rPr>
        <w:t xml:space="preserve">přes pokles </w:t>
      </w:r>
      <w:r w:rsidR="0053190F" w:rsidRPr="001C3EC8">
        <w:rPr>
          <w:color w:val="000000" w:themeColor="text1"/>
        </w:rPr>
        <w:t>o</w:t>
      </w:r>
      <w:r w:rsidR="0053190F">
        <w:rPr>
          <w:color w:val="000000" w:themeColor="text1"/>
        </w:rPr>
        <w:t> </w:t>
      </w:r>
      <w:r w:rsidR="0053190F" w:rsidRPr="001C3EC8">
        <w:rPr>
          <w:color w:val="000000" w:themeColor="text1"/>
        </w:rPr>
        <w:t>5</w:t>
      </w:r>
      <w:r w:rsidR="0053190F">
        <w:rPr>
          <w:color w:val="000000" w:themeColor="text1"/>
        </w:rPr>
        <w:t> </w:t>
      </w:r>
      <w:r w:rsidRPr="001C3EC8">
        <w:rPr>
          <w:color w:val="000000" w:themeColor="text1"/>
        </w:rPr>
        <w:t>soudců vs. 2019, a OS pro Prahu 4 (50</w:t>
      </w:r>
      <w:r w:rsidR="0053190F">
        <w:rPr>
          <w:color w:val="000000" w:themeColor="text1"/>
        </w:rPr>
        <w:t> </w:t>
      </w:r>
      <w:r w:rsidRPr="001C3EC8">
        <w:rPr>
          <w:color w:val="000000" w:themeColor="text1"/>
        </w:rPr>
        <w:t xml:space="preserve">soudců). Naopak nejmenší jsou okresní soudy </w:t>
      </w:r>
      <w:r w:rsidRPr="001C3EC8">
        <w:rPr>
          <w:color w:val="000000" w:themeColor="text1"/>
        </w:rPr>
        <w:lastRenderedPageBreak/>
        <w:t>v Prachaticích, Pelhřimově, Jeseníku a Rokycanech (všechny po 7 soudcích). Velikost jednotlivých soudů lze přibližně vyčíst z kartogramu.</w:t>
      </w:r>
    </w:p>
    <w:p w14:paraId="1BEF2156" w14:textId="2953E267" w:rsidR="008430BD" w:rsidRPr="001C3EC8" w:rsidRDefault="008430BD" w:rsidP="008430BD">
      <w:pPr>
        <w:pStyle w:val="Podnadpis"/>
        <w:rPr>
          <w:color w:val="000000" w:themeColor="text1"/>
        </w:rPr>
      </w:pPr>
      <w:bookmarkStart w:id="33" w:name="_Ref41044837"/>
      <w:bookmarkStart w:id="34" w:name="_Toc515871328"/>
      <w:bookmarkStart w:id="35" w:name="_Toc11135064"/>
      <w:bookmarkStart w:id="36" w:name="_Toc43841383"/>
      <w:bookmarkStart w:id="37" w:name="_Toc7595218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w:t>
      </w:r>
      <w:r w:rsidRPr="001C3EC8">
        <w:rPr>
          <w:color w:val="000000" w:themeColor="text1"/>
        </w:rPr>
        <w:fldChar w:fldCharType="end"/>
      </w:r>
      <w:bookmarkEnd w:id="33"/>
      <w:r w:rsidRPr="001C3EC8">
        <w:rPr>
          <w:color w:val="000000" w:themeColor="text1"/>
        </w:rPr>
        <w:t>: OS – evidenční počet soudců u jednotlivých soudů</w:t>
      </w:r>
      <w:bookmarkEnd w:id="34"/>
      <w:bookmarkEnd w:id="35"/>
      <w:bookmarkEnd w:id="36"/>
      <w:bookmarkEnd w:id="37"/>
    </w:p>
    <w:p w14:paraId="3FDEA3C1" w14:textId="77777777" w:rsidR="008430BD" w:rsidRPr="001C3EC8" w:rsidRDefault="008430BD" w:rsidP="008430BD">
      <w:pPr>
        <w:rPr>
          <w:color w:val="000000" w:themeColor="text1"/>
        </w:rPr>
      </w:pPr>
      <w:r w:rsidRPr="001C3EC8">
        <w:rPr>
          <w:noProof/>
          <w:color w:val="000000" w:themeColor="text1"/>
          <w:lang w:eastAsia="cs-CZ"/>
        </w:rPr>
        <w:drawing>
          <wp:anchor distT="0" distB="0" distL="114300" distR="114300" simplePos="0" relativeHeight="251662336" behindDoc="0" locked="0" layoutInCell="1" allowOverlap="1" wp14:anchorId="1F21034A" wp14:editId="5087DDD6">
            <wp:simplePos x="0" y="0"/>
            <wp:positionH relativeFrom="margin">
              <wp:align>right</wp:align>
            </wp:positionH>
            <wp:positionV relativeFrom="paragraph">
              <wp:posOffset>13335</wp:posOffset>
            </wp:positionV>
            <wp:extent cx="1260000" cy="914400"/>
            <wp:effectExtent l="0" t="0" r="0"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0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07563E2D" wp14:editId="129BF940">
            <wp:extent cx="5759450" cy="3296019"/>
            <wp:effectExtent l="0" t="0" r="0" b="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Pr="001C3EC8">
        <w:rPr>
          <w:color w:val="000000" w:themeColor="text1"/>
        </w:rPr>
        <w:t>V kartogramu vidíme, že největší soudy jsou především ve větších městech. Relativně velké soudy se nachází v Severočeském a Severomoravském kraji. Velké jsou také některé obvodní soudy v Praze (již zmíněný OS pro Prahu 4, dále OS pro Prahu 1 a OS pro Prahu 5).</w:t>
      </w:r>
    </w:p>
    <w:p w14:paraId="5B3CEFD7" w14:textId="6421A046" w:rsidR="008430BD" w:rsidRPr="001C3EC8" w:rsidRDefault="008430BD" w:rsidP="008430BD">
      <w:pPr>
        <w:pStyle w:val="Podnadpis"/>
        <w:rPr>
          <w:color w:val="000000" w:themeColor="text1"/>
        </w:rPr>
      </w:pPr>
      <w:bookmarkStart w:id="38" w:name="_Toc515871329"/>
      <w:bookmarkStart w:id="39" w:name="_Toc11135065"/>
      <w:bookmarkStart w:id="40" w:name="_Toc43841384"/>
      <w:bookmarkStart w:id="41" w:name="_Toc75952184"/>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4</w:t>
      </w:r>
      <w:r w:rsidRPr="001C3EC8">
        <w:rPr>
          <w:noProof/>
          <w:color w:val="000000" w:themeColor="text1"/>
        </w:rPr>
        <w:fldChar w:fldCharType="end"/>
      </w:r>
      <w:r w:rsidRPr="001C3EC8">
        <w:rPr>
          <w:color w:val="000000" w:themeColor="text1"/>
        </w:rPr>
        <w:t xml:space="preserve">: </w:t>
      </w:r>
      <w:bookmarkStart w:id="42" w:name="_Toc485734466"/>
      <w:bookmarkStart w:id="43" w:name="_Toc487792737"/>
      <w:r w:rsidRPr="001C3EC8">
        <w:rPr>
          <w:color w:val="000000" w:themeColor="text1"/>
        </w:rPr>
        <w:t>OS – evidenční počet soudců dle pohlaví v letech 2008–</w:t>
      </w:r>
      <w:bookmarkEnd w:id="38"/>
      <w:bookmarkEnd w:id="39"/>
      <w:bookmarkEnd w:id="42"/>
      <w:bookmarkEnd w:id="43"/>
      <w:r w:rsidRPr="001C3EC8">
        <w:rPr>
          <w:color w:val="000000" w:themeColor="text1"/>
        </w:rPr>
        <w:t>20</w:t>
      </w:r>
      <w:bookmarkEnd w:id="40"/>
      <w:r w:rsidRPr="001C3EC8">
        <w:rPr>
          <w:color w:val="000000" w:themeColor="text1"/>
        </w:rPr>
        <w:t>20</w:t>
      </w:r>
      <w:bookmarkEnd w:id="41"/>
    </w:p>
    <w:p w14:paraId="4BC9E4F2"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04B5C8DF" wp14:editId="4CE7C477">
            <wp:extent cx="5112385" cy="3745230"/>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1B60E997" w14:textId="77777777" w:rsidR="008430BD" w:rsidRPr="001C3EC8" w:rsidRDefault="008430BD" w:rsidP="008430BD">
      <w:pPr>
        <w:pStyle w:val="OdstavecASR"/>
        <w:rPr>
          <w:color w:val="000000" w:themeColor="text1"/>
        </w:rPr>
      </w:pPr>
    </w:p>
    <w:p w14:paraId="02859646" w14:textId="6539E7E9" w:rsidR="008430BD" w:rsidRPr="001C3EC8" w:rsidRDefault="008430BD" w:rsidP="008430BD">
      <w:pPr>
        <w:pStyle w:val="OdstavecASR"/>
        <w:rPr>
          <w:color w:val="000000" w:themeColor="text1"/>
        </w:rPr>
      </w:pPr>
      <w:r w:rsidRPr="001C3EC8">
        <w:rPr>
          <w:color w:val="000000" w:themeColor="text1"/>
        </w:rPr>
        <w:lastRenderedPageBreak/>
        <w:t xml:space="preserve">Zajímavý je také údaj o počtu </w:t>
      </w:r>
      <w:r w:rsidR="0053190F" w:rsidRPr="001C3EC8">
        <w:rPr>
          <w:color w:val="000000" w:themeColor="text1"/>
        </w:rPr>
        <w:t>a</w:t>
      </w:r>
      <w:r w:rsidR="0053190F">
        <w:rPr>
          <w:color w:val="000000" w:themeColor="text1"/>
        </w:rPr>
        <w:t> </w:t>
      </w:r>
      <w:r w:rsidRPr="001C3EC8">
        <w:rPr>
          <w:color w:val="000000" w:themeColor="text1"/>
        </w:rPr>
        <w:t xml:space="preserve">podílu žen mezi soudci. Přes zaznamenané výkyvy počty soudkyň dlouhodobě mírně stoupají (+16 v roce 2020 vs. 2008), zatímco počty soudců </w:t>
      </w:r>
      <w:r w:rsidR="0053190F" w:rsidRPr="001C3EC8">
        <w:rPr>
          <w:color w:val="000000" w:themeColor="text1"/>
        </w:rPr>
        <w:t>u</w:t>
      </w:r>
      <w:r w:rsidR="0053190F">
        <w:rPr>
          <w:color w:val="000000" w:themeColor="text1"/>
        </w:rPr>
        <w:t> </w:t>
      </w:r>
      <w:r w:rsidRPr="001C3EC8">
        <w:rPr>
          <w:color w:val="000000" w:themeColor="text1"/>
        </w:rPr>
        <w:t>OS stabilně a </w:t>
      </w:r>
      <w:proofErr w:type="gramStart"/>
      <w:r w:rsidRPr="001C3EC8">
        <w:rPr>
          <w:color w:val="000000" w:themeColor="text1"/>
        </w:rPr>
        <w:t>výrazněji</w:t>
      </w:r>
      <w:proofErr w:type="gramEnd"/>
      <w:r w:rsidRPr="001C3EC8">
        <w:rPr>
          <w:color w:val="000000" w:themeColor="text1"/>
        </w:rPr>
        <w:t xml:space="preserve"> než </w:t>
      </w:r>
      <w:r w:rsidR="0053190F" w:rsidRPr="001C3EC8">
        <w:rPr>
          <w:color w:val="000000" w:themeColor="text1"/>
        </w:rPr>
        <w:t>u</w:t>
      </w:r>
      <w:r w:rsidR="0053190F">
        <w:rPr>
          <w:color w:val="000000" w:themeColor="text1"/>
        </w:rPr>
        <w:t> </w:t>
      </w:r>
      <w:r w:rsidRPr="001C3EC8">
        <w:rPr>
          <w:color w:val="000000" w:themeColor="text1"/>
        </w:rPr>
        <w:t>žen klesají (-57 v roce 2020 vs. 2008).</w:t>
      </w:r>
    </w:p>
    <w:p w14:paraId="59E2A10B" w14:textId="16DD04DE" w:rsidR="008430BD" w:rsidRPr="001C3EC8" w:rsidRDefault="008430BD" w:rsidP="008430BD">
      <w:pPr>
        <w:pStyle w:val="OdstavecASR"/>
        <w:rPr>
          <w:color w:val="000000" w:themeColor="text1"/>
        </w:rPr>
      </w:pPr>
      <w:r w:rsidRPr="001C3EC8">
        <w:rPr>
          <w:color w:val="000000" w:themeColor="text1"/>
        </w:rPr>
        <w:t>Jak ukazuje graf</w:t>
      </w:r>
      <w:r w:rsidR="00882534" w:rsidRPr="001C3EC8">
        <w:rPr>
          <w:color w:val="000000" w:themeColor="text1"/>
        </w:rPr>
        <w:t>,</w:t>
      </w:r>
      <w:r w:rsidRPr="001C3EC8">
        <w:rPr>
          <w:color w:val="000000" w:themeColor="text1"/>
        </w:rPr>
        <w:t xml:space="preserve"> je i proto </w:t>
      </w:r>
      <w:r w:rsidR="00882534" w:rsidRPr="001C3EC8">
        <w:rPr>
          <w:color w:val="000000" w:themeColor="text1"/>
        </w:rPr>
        <w:t>procentní</w:t>
      </w:r>
      <w:r w:rsidRPr="001C3EC8">
        <w:rPr>
          <w:color w:val="000000" w:themeColor="text1"/>
        </w:rPr>
        <w:t xml:space="preserve"> podíl soudkyň celkem stabilní, a to přibližně v</w:t>
      </w:r>
      <w:r w:rsidR="00B07E76">
        <w:rPr>
          <w:color w:val="000000" w:themeColor="text1"/>
        </w:rPr>
        <w:t> </w:t>
      </w:r>
      <w:r w:rsidRPr="001C3EC8">
        <w:rPr>
          <w:color w:val="000000" w:themeColor="text1"/>
        </w:rPr>
        <w:t>rozpětí 65</w:t>
      </w:r>
      <w:r w:rsidR="00B07E76">
        <w:rPr>
          <w:color w:val="000000" w:themeColor="text1"/>
        </w:rPr>
        <w:t xml:space="preserve"> </w:t>
      </w:r>
      <w:r w:rsidRPr="001C3EC8">
        <w:rPr>
          <w:color w:val="000000" w:themeColor="text1"/>
        </w:rPr>
        <w:t xml:space="preserve">až 67 %. V letech 2011 až 2020 lze nicméně </w:t>
      </w:r>
      <w:r w:rsidR="00882534" w:rsidRPr="001C3EC8">
        <w:rPr>
          <w:color w:val="000000" w:themeColor="text1"/>
        </w:rPr>
        <w:t xml:space="preserve">pozorovat </w:t>
      </w:r>
      <w:r w:rsidRPr="001C3EC8">
        <w:rPr>
          <w:color w:val="000000" w:themeColor="text1"/>
        </w:rPr>
        <w:t>velmi mírný rostoucí trend, kdy se podíl žen v posledních třech letech ustálil okolo 67 %. Můžeme tedy říct, že podíl žen se od roku 2011 zvýšil, ale velmi mírně. Tabulka</w:t>
      </w:r>
      <w:r w:rsidR="0053190F">
        <w:rPr>
          <w:color w:val="000000" w:themeColor="text1"/>
        </w:rPr>
        <w:t> </w:t>
      </w:r>
      <w:r w:rsidRPr="001C3EC8">
        <w:rPr>
          <w:noProof/>
          <w:color w:val="000000" w:themeColor="text1"/>
        </w:rPr>
        <w:t>2</w:t>
      </w:r>
      <w:r w:rsidRPr="001C3EC8">
        <w:rPr>
          <w:color w:val="000000" w:themeColor="text1"/>
        </w:rPr>
        <w:t xml:space="preserve"> uvádí evidenční počty soudců a soudkyň podle soudních krajů. Podíl žen u soudů spadajících pod MS Praha a KS Praha je vyšší než ve zbytku ČR.</w:t>
      </w:r>
    </w:p>
    <w:p w14:paraId="3BF9CB46" w14:textId="29EC7893" w:rsidR="008430BD" w:rsidRPr="001C3EC8" w:rsidRDefault="008430BD" w:rsidP="008430BD">
      <w:pPr>
        <w:pStyle w:val="Podnadpis"/>
        <w:rPr>
          <w:color w:val="000000" w:themeColor="text1"/>
        </w:rPr>
      </w:pPr>
      <w:bookmarkStart w:id="44" w:name="_Ref511985934"/>
      <w:bookmarkStart w:id="45" w:name="_Toc515871437"/>
      <w:bookmarkStart w:id="46" w:name="_Toc11133204"/>
      <w:bookmarkStart w:id="47" w:name="_Toc43931175"/>
      <w:bookmarkStart w:id="48" w:name="_Toc75952305"/>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w:t>
      </w:r>
      <w:r w:rsidRPr="001C3EC8">
        <w:rPr>
          <w:noProof/>
          <w:color w:val="000000" w:themeColor="text1"/>
        </w:rPr>
        <w:fldChar w:fldCharType="end"/>
      </w:r>
      <w:bookmarkEnd w:id="44"/>
      <w:r w:rsidRPr="001C3EC8">
        <w:rPr>
          <w:color w:val="000000" w:themeColor="text1"/>
        </w:rPr>
        <w:t>: OS – evidenční počet soudců dle pohlaví a krajů</w:t>
      </w:r>
      <w:bookmarkEnd w:id="45"/>
      <w:bookmarkEnd w:id="46"/>
      <w:bookmarkEnd w:id="47"/>
      <w:bookmarkEnd w:id="48"/>
    </w:p>
    <w:tbl>
      <w:tblPr>
        <w:tblW w:w="6800" w:type="dxa"/>
        <w:tblCellMar>
          <w:left w:w="70" w:type="dxa"/>
          <w:right w:w="70" w:type="dxa"/>
        </w:tblCellMar>
        <w:tblLook w:val="04A0" w:firstRow="1" w:lastRow="0" w:firstColumn="1" w:lastColumn="0" w:noHBand="0" w:noVBand="1"/>
      </w:tblPr>
      <w:tblGrid>
        <w:gridCol w:w="2480"/>
        <w:gridCol w:w="1154"/>
        <w:gridCol w:w="1566"/>
        <w:gridCol w:w="1600"/>
      </w:tblGrid>
      <w:tr w:rsidR="008430BD" w:rsidRPr="001C3EC8" w14:paraId="1E99C306"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8F8165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607E069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5DD06404" w14:textId="3DE417D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žen </w:t>
            </w:r>
            <w:r w:rsidR="0053190F" w:rsidRPr="001C3EC8">
              <w:rPr>
                <w:rFonts w:eastAsia="Times New Roman"/>
                <w:b/>
                <w:bCs/>
                <w:color w:val="000000" w:themeColor="text1"/>
                <w:szCs w:val="24"/>
                <w:lang w:eastAsia="cs-CZ"/>
              </w:rPr>
              <w:t>v</w:t>
            </w:r>
            <w:r w:rsidR="0053190F">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014C83A5"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0BDB814B"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154" w:type="dxa"/>
            <w:tcBorders>
              <w:top w:val="nil"/>
              <w:left w:val="nil"/>
              <w:bottom w:val="double" w:sz="6" w:space="0" w:color="auto"/>
              <w:right w:val="nil"/>
            </w:tcBorders>
            <w:shd w:val="clear" w:color="auto" w:fill="auto"/>
            <w:noWrap/>
            <w:vAlign w:val="center"/>
            <w:hideMark/>
          </w:tcPr>
          <w:p w14:paraId="7EFBD1F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Žen</w:t>
            </w:r>
          </w:p>
        </w:tc>
        <w:tc>
          <w:tcPr>
            <w:tcW w:w="1566" w:type="dxa"/>
            <w:tcBorders>
              <w:top w:val="nil"/>
              <w:left w:val="nil"/>
              <w:bottom w:val="double" w:sz="6" w:space="0" w:color="auto"/>
              <w:right w:val="nil"/>
            </w:tcBorders>
            <w:shd w:val="clear" w:color="auto" w:fill="auto"/>
            <w:noWrap/>
            <w:vAlign w:val="center"/>
            <w:hideMark/>
          </w:tcPr>
          <w:p w14:paraId="1DB3DC8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181F3BF9"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6A6BDB90"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F630FA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154" w:type="dxa"/>
            <w:tcBorders>
              <w:top w:val="single" w:sz="4" w:space="0" w:color="auto"/>
              <w:left w:val="nil"/>
              <w:bottom w:val="single" w:sz="4" w:space="0" w:color="auto"/>
              <w:right w:val="nil"/>
            </w:tcBorders>
            <w:shd w:val="clear" w:color="auto" w:fill="auto"/>
            <w:noWrap/>
            <w:vAlign w:val="bottom"/>
            <w:hideMark/>
          </w:tcPr>
          <w:p w14:paraId="465C7B2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228</w:t>
            </w:r>
          </w:p>
        </w:tc>
        <w:tc>
          <w:tcPr>
            <w:tcW w:w="1566" w:type="dxa"/>
            <w:tcBorders>
              <w:top w:val="single" w:sz="4" w:space="0" w:color="auto"/>
              <w:left w:val="nil"/>
              <w:bottom w:val="single" w:sz="4" w:space="0" w:color="auto"/>
              <w:right w:val="nil"/>
            </w:tcBorders>
            <w:shd w:val="clear" w:color="auto" w:fill="auto"/>
            <w:noWrap/>
            <w:vAlign w:val="bottom"/>
            <w:hideMark/>
          </w:tcPr>
          <w:p w14:paraId="64ED1B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w:t>
            </w:r>
          </w:p>
        </w:tc>
        <w:tc>
          <w:tcPr>
            <w:tcW w:w="1600" w:type="dxa"/>
            <w:tcBorders>
              <w:top w:val="single" w:sz="4" w:space="0" w:color="auto"/>
              <w:left w:val="nil"/>
              <w:bottom w:val="single" w:sz="4" w:space="0" w:color="auto"/>
              <w:right w:val="nil"/>
            </w:tcBorders>
            <w:shd w:val="clear" w:color="auto" w:fill="auto"/>
            <w:noWrap/>
            <w:vAlign w:val="bottom"/>
            <w:hideMark/>
          </w:tcPr>
          <w:p w14:paraId="7732943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75,25</w:t>
            </w:r>
          </w:p>
        </w:tc>
      </w:tr>
      <w:tr w:rsidR="008430BD" w:rsidRPr="001C3EC8" w14:paraId="60C8B1C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6D3135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154" w:type="dxa"/>
            <w:tcBorders>
              <w:top w:val="nil"/>
              <w:left w:val="nil"/>
              <w:bottom w:val="single" w:sz="4" w:space="0" w:color="auto"/>
              <w:right w:val="nil"/>
            </w:tcBorders>
            <w:shd w:val="clear" w:color="auto" w:fill="auto"/>
            <w:noWrap/>
            <w:vAlign w:val="bottom"/>
            <w:hideMark/>
          </w:tcPr>
          <w:p w14:paraId="2A996C9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154</w:t>
            </w:r>
          </w:p>
        </w:tc>
        <w:tc>
          <w:tcPr>
            <w:tcW w:w="1566" w:type="dxa"/>
            <w:tcBorders>
              <w:top w:val="nil"/>
              <w:left w:val="nil"/>
              <w:bottom w:val="single" w:sz="4" w:space="0" w:color="auto"/>
              <w:right w:val="nil"/>
            </w:tcBorders>
            <w:shd w:val="clear" w:color="auto" w:fill="auto"/>
            <w:noWrap/>
            <w:vAlign w:val="bottom"/>
            <w:hideMark/>
          </w:tcPr>
          <w:p w14:paraId="5AE68B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w:t>
            </w:r>
          </w:p>
        </w:tc>
        <w:tc>
          <w:tcPr>
            <w:tcW w:w="1600" w:type="dxa"/>
            <w:tcBorders>
              <w:top w:val="nil"/>
              <w:left w:val="nil"/>
              <w:bottom w:val="single" w:sz="4" w:space="0" w:color="auto"/>
              <w:right w:val="nil"/>
            </w:tcBorders>
            <w:shd w:val="clear" w:color="auto" w:fill="auto"/>
            <w:noWrap/>
            <w:vAlign w:val="bottom"/>
            <w:hideMark/>
          </w:tcPr>
          <w:p w14:paraId="5974616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74,76</w:t>
            </w:r>
          </w:p>
        </w:tc>
      </w:tr>
      <w:tr w:rsidR="008430BD" w:rsidRPr="001C3EC8" w14:paraId="6C84857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E58526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154" w:type="dxa"/>
            <w:tcBorders>
              <w:top w:val="nil"/>
              <w:left w:val="nil"/>
              <w:bottom w:val="single" w:sz="4" w:space="0" w:color="auto"/>
              <w:right w:val="nil"/>
            </w:tcBorders>
            <w:shd w:val="clear" w:color="auto" w:fill="auto"/>
            <w:noWrap/>
            <w:vAlign w:val="bottom"/>
            <w:hideMark/>
          </w:tcPr>
          <w:p w14:paraId="6D5E9EC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w:t>
            </w:r>
          </w:p>
        </w:tc>
        <w:tc>
          <w:tcPr>
            <w:tcW w:w="1566" w:type="dxa"/>
            <w:tcBorders>
              <w:top w:val="nil"/>
              <w:left w:val="nil"/>
              <w:bottom w:val="single" w:sz="4" w:space="0" w:color="auto"/>
              <w:right w:val="nil"/>
            </w:tcBorders>
            <w:shd w:val="clear" w:color="auto" w:fill="auto"/>
            <w:noWrap/>
            <w:vAlign w:val="bottom"/>
            <w:hideMark/>
          </w:tcPr>
          <w:p w14:paraId="61FDEBD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c>
          <w:tcPr>
            <w:tcW w:w="1600" w:type="dxa"/>
            <w:tcBorders>
              <w:top w:val="nil"/>
              <w:left w:val="nil"/>
              <w:bottom w:val="single" w:sz="4" w:space="0" w:color="auto"/>
              <w:right w:val="nil"/>
            </w:tcBorders>
            <w:shd w:val="clear" w:color="auto" w:fill="auto"/>
            <w:noWrap/>
            <w:vAlign w:val="bottom"/>
            <w:hideMark/>
          </w:tcPr>
          <w:p w14:paraId="654D96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62,86</w:t>
            </w:r>
          </w:p>
        </w:tc>
      </w:tr>
      <w:tr w:rsidR="008430BD" w:rsidRPr="001C3EC8" w14:paraId="7D624CB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3000EA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154" w:type="dxa"/>
            <w:tcBorders>
              <w:top w:val="nil"/>
              <w:left w:val="nil"/>
              <w:bottom w:val="single" w:sz="4" w:space="0" w:color="auto"/>
              <w:right w:val="nil"/>
            </w:tcBorders>
            <w:shd w:val="clear" w:color="auto" w:fill="auto"/>
            <w:noWrap/>
            <w:vAlign w:val="bottom"/>
            <w:hideMark/>
          </w:tcPr>
          <w:p w14:paraId="243EE4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w:t>
            </w:r>
          </w:p>
        </w:tc>
        <w:tc>
          <w:tcPr>
            <w:tcW w:w="1566" w:type="dxa"/>
            <w:tcBorders>
              <w:top w:val="nil"/>
              <w:left w:val="nil"/>
              <w:bottom w:val="single" w:sz="4" w:space="0" w:color="auto"/>
              <w:right w:val="nil"/>
            </w:tcBorders>
            <w:shd w:val="clear" w:color="auto" w:fill="auto"/>
            <w:noWrap/>
            <w:vAlign w:val="bottom"/>
            <w:hideMark/>
          </w:tcPr>
          <w:p w14:paraId="1BE309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67</w:t>
            </w:r>
          </w:p>
        </w:tc>
        <w:tc>
          <w:tcPr>
            <w:tcW w:w="1600" w:type="dxa"/>
            <w:tcBorders>
              <w:top w:val="nil"/>
              <w:left w:val="nil"/>
              <w:bottom w:val="single" w:sz="4" w:space="0" w:color="auto"/>
              <w:right w:val="nil"/>
            </w:tcBorders>
            <w:shd w:val="clear" w:color="auto" w:fill="auto"/>
            <w:noWrap/>
            <w:vAlign w:val="bottom"/>
            <w:hideMark/>
          </w:tcPr>
          <w:p w14:paraId="6FE348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57,86</w:t>
            </w:r>
          </w:p>
        </w:tc>
      </w:tr>
      <w:tr w:rsidR="008430BD" w:rsidRPr="001C3EC8" w14:paraId="16776E6F"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F2500A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154" w:type="dxa"/>
            <w:tcBorders>
              <w:top w:val="nil"/>
              <w:left w:val="nil"/>
              <w:bottom w:val="single" w:sz="4" w:space="0" w:color="auto"/>
              <w:right w:val="nil"/>
            </w:tcBorders>
            <w:shd w:val="clear" w:color="auto" w:fill="auto"/>
            <w:noWrap/>
            <w:vAlign w:val="bottom"/>
            <w:hideMark/>
          </w:tcPr>
          <w:p w14:paraId="09963B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174</w:t>
            </w:r>
          </w:p>
        </w:tc>
        <w:tc>
          <w:tcPr>
            <w:tcW w:w="1566" w:type="dxa"/>
            <w:tcBorders>
              <w:top w:val="nil"/>
              <w:left w:val="nil"/>
              <w:bottom w:val="single" w:sz="4" w:space="0" w:color="auto"/>
              <w:right w:val="nil"/>
            </w:tcBorders>
            <w:shd w:val="clear" w:color="auto" w:fill="auto"/>
            <w:noWrap/>
            <w:vAlign w:val="bottom"/>
            <w:hideMark/>
          </w:tcPr>
          <w:p w14:paraId="6364CA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w:t>
            </w:r>
          </w:p>
        </w:tc>
        <w:tc>
          <w:tcPr>
            <w:tcW w:w="1600" w:type="dxa"/>
            <w:tcBorders>
              <w:top w:val="nil"/>
              <w:left w:val="nil"/>
              <w:bottom w:val="single" w:sz="4" w:space="0" w:color="auto"/>
              <w:right w:val="nil"/>
            </w:tcBorders>
            <w:shd w:val="clear" w:color="auto" w:fill="auto"/>
            <w:noWrap/>
            <w:vAlign w:val="bottom"/>
            <w:hideMark/>
          </w:tcPr>
          <w:p w14:paraId="2CB77E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63,50</w:t>
            </w:r>
          </w:p>
        </w:tc>
      </w:tr>
      <w:tr w:rsidR="008430BD" w:rsidRPr="001C3EC8" w14:paraId="49DC785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ED4581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154" w:type="dxa"/>
            <w:tcBorders>
              <w:top w:val="nil"/>
              <w:left w:val="nil"/>
              <w:bottom w:val="single" w:sz="4" w:space="0" w:color="auto"/>
              <w:right w:val="nil"/>
            </w:tcBorders>
            <w:shd w:val="clear" w:color="auto" w:fill="auto"/>
            <w:noWrap/>
            <w:vAlign w:val="bottom"/>
            <w:hideMark/>
          </w:tcPr>
          <w:p w14:paraId="334433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w:t>
            </w:r>
          </w:p>
        </w:tc>
        <w:tc>
          <w:tcPr>
            <w:tcW w:w="1566" w:type="dxa"/>
            <w:tcBorders>
              <w:top w:val="nil"/>
              <w:left w:val="nil"/>
              <w:bottom w:val="single" w:sz="4" w:space="0" w:color="auto"/>
              <w:right w:val="nil"/>
            </w:tcBorders>
            <w:shd w:val="clear" w:color="auto" w:fill="auto"/>
            <w:noWrap/>
            <w:vAlign w:val="bottom"/>
            <w:hideMark/>
          </w:tcPr>
          <w:p w14:paraId="5A89400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w:t>
            </w:r>
          </w:p>
        </w:tc>
        <w:tc>
          <w:tcPr>
            <w:tcW w:w="1600" w:type="dxa"/>
            <w:tcBorders>
              <w:top w:val="nil"/>
              <w:left w:val="nil"/>
              <w:bottom w:val="single" w:sz="4" w:space="0" w:color="auto"/>
              <w:right w:val="nil"/>
            </w:tcBorders>
            <w:shd w:val="clear" w:color="auto" w:fill="auto"/>
            <w:noWrap/>
            <w:vAlign w:val="bottom"/>
            <w:hideMark/>
          </w:tcPr>
          <w:p w14:paraId="5E6AFF9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64,53</w:t>
            </w:r>
          </w:p>
        </w:tc>
      </w:tr>
      <w:tr w:rsidR="008430BD" w:rsidRPr="001C3EC8" w14:paraId="78466795"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A022AD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154" w:type="dxa"/>
            <w:tcBorders>
              <w:top w:val="nil"/>
              <w:left w:val="nil"/>
              <w:bottom w:val="single" w:sz="4" w:space="0" w:color="auto"/>
              <w:right w:val="nil"/>
            </w:tcBorders>
            <w:shd w:val="clear" w:color="auto" w:fill="auto"/>
            <w:noWrap/>
            <w:vAlign w:val="bottom"/>
            <w:hideMark/>
          </w:tcPr>
          <w:p w14:paraId="3032C7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184</w:t>
            </w:r>
          </w:p>
        </w:tc>
        <w:tc>
          <w:tcPr>
            <w:tcW w:w="1566" w:type="dxa"/>
            <w:tcBorders>
              <w:top w:val="nil"/>
              <w:left w:val="nil"/>
              <w:bottom w:val="single" w:sz="4" w:space="0" w:color="auto"/>
              <w:right w:val="nil"/>
            </w:tcBorders>
            <w:shd w:val="clear" w:color="auto" w:fill="auto"/>
            <w:noWrap/>
            <w:vAlign w:val="bottom"/>
            <w:hideMark/>
          </w:tcPr>
          <w:p w14:paraId="2715F5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w:t>
            </w:r>
          </w:p>
        </w:tc>
        <w:tc>
          <w:tcPr>
            <w:tcW w:w="1600" w:type="dxa"/>
            <w:tcBorders>
              <w:top w:val="nil"/>
              <w:left w:val="nil"/>
              <w:bottom w:val="single" w:sz="4" w:space="0" w:color="auto"/>
              <w:right w:val="nil"/>
            </w:tcBorders>
            <w:shd w:val="clear" w:color="auto" w:fill="auto"/>
            <w:noWrap/>
            <w:vAlign w:val="bottom"/>
            <w:hideMark/>
          </w:tcPr>
          <w:p w14:paraId="10751F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63,45</w:t>
            </w:r>
          </w:p>
        </w:tc>
      </w:tr>
      <w:tr w:rsidR="008430BD" w:rsidRPr="001C3EC8" w14:paraId="43D03038"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4000C98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154" w:type="dxa"/>
            <w:tcBorders>
              <w:top w:val="nil"/>
              <w:left w:val="nil"/>
              <w:bottom w:val="double" w:sz="6" w:space="0" w:color="auto"/>
              <w:right w:val="nil"/>
            </w:tcBorders>
            <w:shd w:val="clear" w:color="auto" w:fill="auto"/>
            <w:noWrap/>
            <w:vAlign w:val="bottom"/>
            <w:hideMark/>
          </w:tcPr>
          <w:p w14:paraId="793FE0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214</w:t>
            </w:r>
          </w:p>
        </w:tc>
        <w:tc>
          <w:tcPr>
            <w:tcW w:w="1566" w:type="dxa"/>
            <w:tcBorders>
              <w:top w:val="nil"/>
              <w:left w:val="nil"/>
              <w:bottom w:val="double" w:sz="6" w:space="0" w:color="auto"/>
              <w:right w:val="nil"/>
            </w:tcBorders>
            <w:shd w:val="clear" w:color="auto" w:fill="auto"/>
            <w:noWrap/>
            <w:vAlign w:val="bottom"/>
            <w:hideMark/>
          </w:tcPr>
          <w:p w14:paraId="2282A8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w:t>
            </w:r>
          </w:p>
        </w:tc>
        <w:tc>
          <w:tcPr>
            <w:tcW w:w="1600" w:type="dxa"/>
            <w:tcBorders>
              <w:top w:val="nil"/>
              <w:left w:val="nil"/>
              <w:bottom w:val="double" w:sz="6" w:space="0" w:color="auto"/>
              <w:right w:val="nil"/>
            </w:tcBorders>
            <w:shd w:val="clear" w:color="auto" w:fill="auto"/>
            <w:noWrap/>
            <w:vAlign w:val="bottom"/>
            <w:hideMark/>
          </w:tcPr>
          <w:p w14:paraId="098B65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67,94</w:t>
            </w:r>
          </w:p>
        </w:tc>
      </w:tr>
      <w:tr w:rsidR="008430BD" w:rsidRPr="001C3EC8" w14:paraId="20C83FF2"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24D6B920"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154" w:type="dxa"/>
            <w:tcBorders>
              <w:top w:val="nil"/>
              <w:left w:val="nil"/>
              <w:bottom w:val="double" w:sz="6" w:space="0" w:color="auto"/>
              <w:right w:val="nil"/>
            </w:tcBorders>
            <w:shd w:val="clear" w:color="auto" w:fill="auto"/>
            <w:noWrap/>
            <w:vAlign w:val="bottom"/>
            <w:hideMark/>
          </w:tcPr>
          <w:p w14:paraId="5C88BFDD" w14:textId="5CD72984"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223</w:t>
            </w:r>
          </w:p>
        </w:tc>
        <w:tc>
          <w:tcPr>
            <w:tcW w:w="1566" w:type="dxa"/>
            <w:tcBorders>
              <w:top w:val="nil"/>
              <w:left w:val="nil"/>
              <w:bottom w:val="double" w:sz="6" w:space="0" w:color="auto"/>
              <w:right w:val="nil"/>
            </w:tcBorders>
            <w:shd w:val="clear" w:color="auto" w:fill="auto"/>
            <w:noWrap/>
            <w:vAlign w:val="bottom"/>
            <w:hideMark/>
          </w:tcPr>
          <w:p w14:paraId="053566D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601</w:t>
            </w:r>
          </w:p>
        </w:tc>
        <w:tc>
          <w:tcPr>
            <w:tcW w:w="1600" w:type="dxa"/>
            <w:tcBorders>
              <w:top w:val="nil"/>
              <w:left w:val="nil"/>
              <w:bottom w:val="double" w:sz="6" w:space="0" w:color="auto"/>
              <w:right w:val="nil"/>
            </w:tcBorders>
            <w:shd w:val="clear" w:color="auto" w:fill="auto"/>
            <w:noWrap/>
            <w:vAlign w:val="bottom"/>
            <w:hideMark/>
          </w:tcPr>
          <w:p w14:paraId="6CB6181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67,05</w:t>
            </w:r>
          </w:p>
        </w:tc>
      </w:tr>
    </w:tbl>
    <w:p w14:paraId="3D49E2EF" w14:textId="77777777" w:rsidR="008430BD" w:rsidRPr="001C3EC8" w:rsidRDefault="008430BD" w:rsidP="008430BD">
      <w:pPr>
        <w:rPr>
          <w:color w:val="000000" w:themeColor="text1"/>
        </w:rPr>
      </w:pPr>
    </w:p>
    <w:p w14:paraId="5693B141" w14:textId="77777777" w:rsidR="008430BD" w:rsidRPr="001C3EC8" w:rsidRDefault="008430BD" w:rsidP="008430BD">
      <w:pPr>
        <w:pStyle w:val="OdstavecASR"/>
        <w:rPr>
          <w:color w:val="000000" w:themeColor="text1"/>
        </w:rPr>
      </w:pPr>
      <w:r w:rsidRPr="001C3EC8">
        <w:rPr>
          <w:color w:val="000000" w:themeColor="text1"/>
        </w:rPr>
        <w:t>Podíl žen mezi soudci OS zůstal oproti roku 2019 prakticky konstantní.</w:t>
      </w:r>
    </w:p>
    <w:p w14:paraId="7B0400EC" w14:textId="77777777" w:rsidR="008430BD" w:rsidRPr="001C3EC8" w:rsidRDefault="008430BD" w:rsidP="008430BD">
      <w:pPr>
        <w:pStyle w:val="OdstavecASR"/>
        <w:rPr>
          <w:color w:val="000000" w:themeColor="text1"/>
        </w:rPr>
      </w:pPr>
      <w:r w:rsidRPr="001C3EC8">
        <w:rPr>
          <w:color w:val="000000" w:themeColor="text1"/>
        </w:rPr>
        <w:t>V kontextu podílu žen mezi soudci se dále můžeme sledovat jejich podíl mezi předsedy a místopředsedy soudů. Data jsou v tabulce níže.</w:t>
      </w:r>
    </w:p>
    <w:p w14:paraId="63A456AB" w14:textId="491669AB" w:rsidR="008430BD" w:rsidRPr="001C3EC8" w:rsidRDefault="008430BD" w:rsidP="008430BD">
      <w:pPr>
        <w:pStyle w:val="Podnadpis"/>
        <w:rPr>
          <w:color w:val="000000" w:themeColor="text1"/>
          <w:highlight w:val="yellow"/>
        </w:rPr>
      </w:pPr>
      <w:bookmarkStart w:id="49" w:name="_Toc11133205"/>
      <w:bookmarkStart w:id="50" w:name="_Toc43931176"/>
      <w:bookmarkStart w:id="51" w:name="_Toc75952306"/>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3</w:t>
      </w:r>
      <w:r w:rsidRPr="001C3EC8">
        <w:rPr>
          <w:noProof/>
          <w:color w:val="000000" w:themeColor="text1"/>
        </w:rPr>
        <w:fldChar w:fldCharType="end"/>
      </w:r>
      <w:r w:rsidRPr="001C3EC8">
        <w:rPr>
          <w:color w:val="000000" w:themeColor="text1"/>
        </w:rPr>
        <w:t xml:space="preserve">: OS – předsedové </w:t>
      </w:r>
      <w:r w:rsidR="0053190F" w:rsidRPr="001C3EC8">
        <w:rPr>
          <w:color w:val="000000" w:themeColor="text1"/>
        </w:rPr>
        <w:t>a</w:t>
      </w:r>
      <w:r w:rsidR="0053190F">
        <w:rPr>
          <w:color w:val="000000" w:themeColor="text1"/>
        </w:rPr>
        <w:t> </w:t>
      </w:r>
      <w:r w:rsidRPr="001C3EC8">
        <w:rPr>
          <w:color w:val="000000" w:themeColor="text1"/>
        </w:rPr>
        <w:t>místopředsedové soudů</w:t>
      </w:r>
      <w:bookmarkEnd w:id="49"/>
      <w:bookmarkEnd w:id="50"/>
      <w:bookmarkEnd w:id="51"/>
    </w:p>
    <w:tbl>
      <w:tblPr>
        <w:tblW w:w="8460" w:type="dxa"/>
        <w:tblCellMar>
          <w:left w:w="70" w:type="dxa"/>
          <w:right w:w="70" w:type="dxa"/>
        </w:tblCellMar>
        <w:tblLook w:val="04A0" w:firstRow="1" w:lastRow="0" w:firstColumn="1" w:lastColumn="0" w:noHBand="0" w:noVBand="1"/>
      </w:tblPr>
      <w:tblGrid>
        <w:gridCol w:w="2220"/>
        <w:gridCol w:w="851"/>
        <w:gridCol w:w="1229"/>
        <w:gridCol w:w="1040"/>
        <w:gridCol w:w="851"/>
        <w:gridCol w:w="1229"/>
        <w:gridCol w:w="1040"/>
      </w:tblGrid>
      <w:tr w:rsidR="008430BD" w:rsidRPr="001C3EC8" w14:paraId="6ED2EB83"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329DBE8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080" w:type="dxa"/>
            <w:gridSpan w:val="2"/>
            <w:tcBorders>
              <w:top w:val="double" w:sz="6" w:space="0" w:color="auto"/>
              <w:left w:val="nil"/>
              <w:bottom w:val="nil"/>
              <w:right w:val="nil"/>
            </w:tcBorders>
            <w:shd w:val="clear" w:color="auto" w:fill="auto"/>
            <w:noWrap/>
            <w:vAlign w:val="center"/>
            <w:hideMark/>
          </w:tcPr>
          <w:p w14:paraId="68A41EA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7B390166" w14:textId="6D25D42C"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žen </w:t>
            </w:r>
            <w:r w:rsidR="0053190F" w:rsidRPr="001C3EC8">
              <w:rPr>
                <w:rFonts w:eastAsia="Times New Roman"/>
                <w:b/>
                <w:bCs/>
                <w:color w:val="000000" w:themeColor="text1"/>
                <w:szCs w:val="24"/>
                <w:lang w:eastAsia="cs-CZ"/>
              </w:rPr>
              <w:t>v</w:t>
            </w:r>
            <w:r w:rsidR="0053190F">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c>
          <w:tcPr>
            <w:tcW w:w="2080" w:type="dxa"/>
            <w:gridSpan w:val="2"/>
            <w:tcBorders>
              <w:top w:val="double" w:sz="6" w:space="0" w:color="auto"/>
              <w:left w:val="nil"/>
              <w:bottom w:val="nil"/>
              <w:right w:val="nil"/>
            </w:tcBorders>
            <w:shd w:val="clear" w:color="auto" w:fill="auto"/>
            <w:noWrap/>
            <w:vAlign w:val="center"/>
            <w:hideMark/>
          </w:tcPr>
          <w:p w14:paraId="54F7953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Místopředsedové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39258102" w14:textId="13BC513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žen </w:t>
            </w:r>
            <w:r w:rsidR="0053190F" w:rsidRPr="001C3EC8">
              <w:rPr>
                <w:rFonts w:eastAsia="Times New Roman"/>
                <w:b/>
                <w:bCs/>
                <w:color w:val="000000" w:themeColor="text1"/>
                <w:szCs w:val="24"/>
                <w:lang w:eastAsia="cs-CZ"/>
              </w:rPr>
              <w:t>v</w:t>
            </w:r>
            <w:r w:rsidR="0053190F">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5856AFC2"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2CA1ECDD"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851" w:type="dxa"/>
            <w:tcBorders>
              <w:top w:val="nil"/>
              <w:left w:val="nil"/>
              <w:bottom w:val="double" w:sz="6" w:space="0" w:color="auto"/>
              <w:right w:val="nil"/>
            </w:tcBorders>
            <w:shd w:val="clear" w:color="auto" w:fill="auto"/>
            <w:noWrap/>
            <w:vAlign w:val="center"/>
            <w:hideMark/>
          </w:tcPr>
          <w:p w14:paraId="5B089FE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Žen</w:t>
            </w:r>
          </w:p>
        </w:tc>
        <w:tc>
          <w:tcPr>
            <w:tcW w:w="1229" w:type="dxa"/>
            <w:tcBorders>
              <w:top w:val="nil"/>
              <w:left w:val="nil"/>
              <w:bottom w:val="double" w:sz="6" w:space="0" w:color="auto"/>
              <w:right w:val="nil"/>
            </w:tcBorders>
            <w:shd w:val="clear" w:color="auto" w:fill="auto"/>
            <w:noWrap/>
            <w:vAlign w:val="center"/>
            <w:hideMark/>
          </w:tcPr>
          <w:p w14:paraId="74EAE43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7241EB84"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851" w:type="dxa"/>
            <w:tcBorders>
              <w:top w:val="nil"/>
              <w:left w:val="nil"/>
              <w:bottom w:val="double" w:sz="6" w:space="0" w:color="auto"/>
              <w:right w:val="nil"/>
            </w:tcBorders>
            <w:shd w:val="clear" w:color="auto" w:fill="auto"/>
            <w:noWrap/>
            <w:vAlign w:val="center"/>
            <w:hideMark/>
          </w:tcPr>
          <w:p w14:paraId="65F5298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Žen</w:t>
            </w:r>
          </w:p>
        </w:tc>
        <w:tc>
          <w:tcPr>
            <w:tcW w:w="1229" w:type="dxa"/>
            <w:tcBorders>
              <w:top w:val="nil"/>
              <w:left w:val="nil"/>
              <w:bottom w:val="double" w:sz="6" w:space="0" w:color="auto"/>
              <w:right w:val="nil"/>
            </w:tcBorders>
            <w:shd w:val="clear" w:color="auto" w:fill="auto"/>
            <w:noWrap/>
            <w:vAlign w:val="center"/>
            <w:hideMark/>
          </w:tcPr>
          <w:p w14:paraId="0947F72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28E0EFA7"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0814774B" w14:textId="77777777" w:rsidTr="00E077F3">
        <w:trPr>
          <w:trHeight w:val="330"/>
        </w:trPr>
        <w:tc>
          <w:tcPr>
            <w:tcW w:w="2220" w:type="dxa"/>
            <w:tcBorders>
              <w:top w:val="single" w:sz="4" w:space="0" w:color="auto"/>
              <w:left w:val="nil"/>
              <w:bottom w:val="single" w:sz="4" w:space="0" w:color="auto"/>
              <w:right w:val="nil"/>
            </w:tcBorders>
            <w:shd w:val="clear" w:color="auto" w:fill="auto"/>
            <w:noWrap/>
            <w:vAlign w:val="bottom"/>
            <w:hideMark/>
          </w:tcPr>
          <w:p w14:paraId="10A19A5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51" w:type="dxa"/>
            <w:tcBorders>
              <w:top w:val="single" w:sz="4" w:space="0" w:color="auto"/>
              <w:left w:val="nil"/>
              <w:bottom w:val="single" w:sz="4" w:space="0" w:color="auto"/>
              <w:right w:val="nil"/>
            </w:tcBorders>
            <w:shd w:val="clear" w:color="auto" w:fill="auto"/>
            <w:noWrap/>
            <w:vAlign w:val="bottom"/>
            <w:hideMark/>
          </w:tcPr>
          <w:p w14:paraId="22ABC9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229" w:type="dxa"/>
            <w:tcBorders>
              <w:top w:val="single" w:sz="4" w:space="0" w:color="auto"/>
              <w:left w:val="nil"/>
              <w:bottom w:val="single" w:sz="4" w:space="0" w:color="auto"/>
              <w:right w:val="nil"/>
            </w:tcBorders>
            <w:shd w:val="clear" w:color="auto" w:fill="auto"/>
            <w:noWrap/>
            <w:vAlign w:val="bottom"/>
            <w:hideMark/>
          </w:tcPr>
          <w:p w14:paraId="335AA30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040" w:type="dxa"/>
            <w:tcBorders>
              <w:top w:val="single" w:sz="4" w:space="0" w:color="auto"/>
              <w:left w:val="nil"/>
              <w:bottom w:val="single" w:sz="4" w:space="0" w:color="auto"/>
              <w:right w:val="nil"/>
            </w:tcBorders>
            <w:shd w:val="clear" w:color="auto" w:fill="auto"/>
            <w:noWrap/>
            <w:vAlign w:val="bottom"/>
            <w:hideMark/>
          </w:tcPr>
          <w:p w14:paraId="372C19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40,00</w:t>
            </w:r>
          </w:p>
        </w:tc>
        <w:tc>
          <w:tcPr>
            <w:tcW w:w="851" w:type="dxa"/>
            <w:tcBorders>
              <w:top w:val="single" w:sz="4" w:space="0" w:color="auto"/>
              <w:left w:val="nil"/>
              <w:bottom w:val="single" w:sz="4" w:space="0" w:color="auto"/>
              <w:right w:val="nil"/>
            </w:tcBorders>
            <w:shd w:val="clear" w:color="auto" w:fill="auto"/>
            <w:noWrap/>
            <w:vAlign w:val="bottom"/>
            <w:hideMark/>
          </w:tcPr>
          <w:p w14:paraId="31D68B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1229" w:type="dxa"/>
            <w:tcBorders>
              <w:top w:val="single" w:sz="4" w:space="0" w:color="auto"/>
              <w:left w:val="nil"/>
              <w:bottom w:val="single" w:sz="4" w:space="0" w:color="auto"/>
              <w:right w:val="nil"/>
            </w:tcBorders>
            <w:shd w:val="clear" w:color="auto" w:fill="auto"/>
            <w:noWrap/>
            <w:vAlign w:val="bottom"/>
            <w:hideMark/>
          </w:tcPr>
          <w:p w14:paraId="0EA0A8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040" w:type="dxa"/>
            <w:tcBorders>
              <w:top w:val="single" w:sz="4" w:space="0" w:color="auto"/>
              <w:left w:val="nil"/>
              <w:bottom w:val="single" w:sz="4" w:space="0" w:color="auto"/>
              <w:right w:val="nil"/>
            </w:tcBorders>
            <w:shd w:val="clear" w:color="auto" w:fill="auto"/>
            <w:noWrap/>
            <w:vAlign w:val="bottom"/>
            <w:hideMark/>
          </w:tcPr>
          <w:p w14:paraId="44623E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82,61</w:t>
            </w:r>
          </w:p>
        </w:tc>
      </w:tr>
      <w:tr w:rsidR="008430BD" w:rsidRPr="001C3EC8" w14:paraId="73C5E774"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4313B6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51" w:type="dxa"/>
            <w:tcBorders>
              <w:top w:val="nil"/>
              <w:left w:val="nil"/>
              <w:bottom w:val="single" w:sz="4" w:space="0" w:color="auto"/>
              <w:right w:val="nil"/>
            </w:tcBorders>
            <w:shd w:val="clear" w:color="auto" w:fill="auto"/>
            <w:noWrap/>
            <w:vAlign w:val="bottom"/>
            <w:hideMark/>
          </w:tcPr>
          <w:p w14:paraId="3FBFEE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1229" w:type="dxa"/>
            <w:tcBorders>
              <w:top w:val="nil"/>
              <w:left w:val="nil"/>
              <w:bottom w:val="single" w:sz="4" w:space="0" w:color="auto"/>
              <w:right w:val="nil"/>
            </w:tcBorders>
            <w:shd w:val="clear" w:color="auto" w:fill="auto"/>
            <w:noWrap/>
            <w:vAlign w:val="bottom"/>
            <w:hideMark/>
          </w:tcPr>
          <w:p w14:paraId="413AE9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0C1418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66,67</w:t>
            </w:r>
          </w:p>
        </w:tc>
        <w:tc>
          <w:tcPr>
            <w:tcW w:w="851" w:type="dxa"/>
            <w:tcBorders>
              <w:top w:val="nil"/>
              <w:left w:val="nil"/>
              <w:bottom w:val="single" w:sz="4" w:space="0" w:color="auto"/>
              <w:right w:val="nil"/>
            </w:tcBorders>
            <w:shd w:val="clear" w:color="auto" w:fill="auto"/>
            <w:noWrap/>
            <w:vAlign w:val="bottom"/>
            <w:hideMark/>
          </w:tcPr>
          <w:p w14:paraId="7A0043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1229" w:type="dxa"/>
            <w:tcBorders>
              <w:top w:val="nil"/>
              <w:left w:val="nil"/>
              <w:bottom w:val="single" w:sz="4" w:space="0" w:color="auto"/>
              <w:right w:val="nil"/>
            </w:tcBorders>
            <w:shd w:val="clear" w:color="auto" w:fill="auto"/>
            <w:noWrap/>
            <w:vAlign w:val="bottom"/>
            <w:hideMark/>
          </w:tcPr>
          <w:p w14:paraId="7737EA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37347DA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57,14</w:t>
            </w:r>
          </w:p>
        </w:tc>
      </w:tr>
      <w:tr w:rsidR="008430BD" w:rsidRPr="001C3EC8" w14:paraId="12736D51"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0A4D414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51" w:type="dxa"/>
            <w:tcBorders>
              <w:top w:val="nil"/>
              <w:left w:val="nil"/>
              <w:bottom w:val="single" w:sz="4" w:space="0" w:color="auto"/>
              <w:right w:val="nil"/>
            </w:tcBorders>
            <w:shd w:val="clear" w:color="auto" w:fill="auto"/>
            <w:noWrap/>
            <w:vAlign w:val="bottom"/>
            <w:hideMark/>
          </w:tcPr>
          <w:p w14:paraId="50CE2F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229" w:type="dxa"/>
            <w:tcBorders>
              <w:top w:val="nil"/>
              <w:left w:val="nil"/>
              <w:bottom w:val="single" w:sz="4" w:space="0" w:color="auto"/>
              <w:right w:val="nil"/>
            </w:tcBorders>
            <w:shd w:val="clear" w:color="auto" w:fill="auto"/>
            <w:noWrap/>
            <w:vAlign w:val="bottom"/>
            <w:hideMark/>
          </w:tcPr>
          <w:p w14:paraId="110566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1732E1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50,00</w:t>
            </w:r>
          </w:p>
        </w:tc>
        <w:tc>
          <w:tcPr>
            <w:tcW w:w="851" w:type="dxa"/>
            <w:tcBorders>
              <w:top w:val="nil"/>
              <w:left w:val="nil"/>
              <w:bottom w:val="single" w:sz="4" w:space="0" w:color="auto"/>
              <w:right w:val="nil"/>
            </w:tcBorders>
            <w:shd w:val="clear" w:color="auto" w:fill="auto"/>
            <w:noWrap/>
            <w:vAlign w:val="bottom"/>
            <w:hideMark/>
          </w:tcPr>
          <w:p w14:paraId="160009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1229" w:type="dxa"/>
            <w:tcBorders>
              <w:top w:val="nil"/>
              <w:left w:val="nil"/>
              <w:bottom w:val="single" w:sz="4" w:space="0" w:color="auto"/>
              <w:right w:val="nil"/>
            </w:tcBorders>
            <w:shd w:val="clear" w:color="auto" w:fill="auto"/>
            <w:noWrap/>
            <w:vAlign w:val="bottom"/>
            <w:hideMark/>
          </w:tcPr>
          <w:p w14:paraId="1A7ACA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73AEC2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50,00</w:t>
            </w:r>
          </w:p>
        </w:tc>
      </w:tr>
      <w:tr w:rsidR="008430BD" w:rsidRPr="001C3EC8" w14:paraId="4440E0BE"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71357D3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51" w:type="dxa"/>
            <w:tcBorders>
              <w:top w:val="nil"/>
              <w:left w:val="nil"/>
              <w:bottom w:val="single" w:sz="4" w:space="0" w:color="auto"/>
              <w:right w:val="nil"/>
            </w:tcBorders>
            <w:shd w:val="clear" w:color="auto" w:fill="auto"/>
            <w:noWrap/>
            <w:vAlign w:val="bottom"/>
            <w:hideMark/>
          </w:tcPr>
          <w:p w14:paraId="2C126B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229" w:type="dxa"/>
            <w:tcBorders>
              <w:top w:val="nil"/>
              <w:left w:val="nil"/>
              <w:bottom w:val="single" w:sz="4" w:space="0" w:color="auto"/>
              <w:right w:val="nil"/>
            </w:tcBorders>
            <w:shd w:val="clear" w:color="auto" w:fill="auto"/>
            <w:noWrap/>
            <w:vAlign w:val="bottom"/>
            <w:hideMark/>
          </w:tcPr>
          <w:p w14:paraId="59B594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2619A7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44,44</w:t>
            </w:r>
          </w:p>
        </w:tc>
        <w:tc>
          <w:tcPr>
            <w:tcW w:w="851" w:type="dxa"/>
            <w:tcBorders>
              <w:top w:val="nil"/>
              <w:left w:val="nil"/>
              <w:bottom w:val="single" w:sz="4" w:space="0" w:color="auto"/>
              <w:right w:val="nil"/>
            </w:tcBorders>
            <w:shd w:val="clear" w:color="auto" w:fill="auto"/>
            <w:noWrap/>
            <w:vAlign w:val="bottom"/>
            <w:hideMark/>
          </w:tcPr>
          <w:p w14:paraId="41305AF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771EB7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c>
          <w:tcPr>
            <w:tcW w:w="1040" w:type="dxa"/>
            <w:tcBorders>
              <w:top w:val="nil"/>
              <w:left w:val="nil"/>
              <w:bottom w:val="single" w:sz="4" w:space="0" w:color="auto"/>
              <w:right w:val="nil"/>
            </w:tcBorders>
            <w:shd w:val="clear" w:color="auto" w:fill="auto"/>
            <w:noWrap/>
            <w:vAlign w:val="bottom"/>
            <w:hideMark/>
          </w:tcPr>
          <w:p w14:paraId="706741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50,00</w:t>
            </w:r>
          </w:p>
        </w:tc>
      </w:tr>
      <w:tr w:rsidR="008430BD" w:rsidRPr="001C3EC8" w14:paraId="29F1AC95"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07FAB4A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51" w:type="dxa"/>
            <w:tcBorders>
              <w:top w:val="nil"/>
              <w:left w:val="nil"/>
              <w:bottom w:val="single" w:sz="4" w:space="0" w:color="auto"/>
              <w:right w:val="nil"/>
            </w:tcBorders>
            <w:shd w:val="clear" w:color="auto" w:fill="auto"/>
            <w:noWrap/>
            <w:vAlign w:val="bottom"/>
            <w:hideMark/>
          </w:tcPr>
          <w:p w14:paraId="37F196D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4A3512C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711DE6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60,00</w:t>
            </w:r>
          </w:p>
        </w:tc>
        <w:tc>
          <w:tcPr>
            <w:tcW w:w="851" w:type="dxa"/>
            <w:tcBorders>
              <w:top w:val="nil"/>
              <w:left w:val="nil"/>
              <w:bottom w:val="single" w:sz="4" w:space="0" w:color="auto"/>
              <w:right w:val="nil"/>
            </w:tcBorders>
            <w:shd w:val="clear" w:color="auto" w:fill="auto"/>
            <w:noWrap/>
            <w:vAlign w:val="bottom"/>
            <w:hideMark/>
          </w:tcPr>
          <w:p w14:paraId="232B70F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p>
        </w:tc>
        <w:tc>
          <w:tcPr>
            <w:tcW w:w="1229" w:type="dxa"/>
            <w:tcBorders>
              <w:top w:val="nil"/>
              <w:left w:val="nil"/>
              <w:bottom w:val="single" w:sz="4" w:space="0" w:color="auto"/>
              <w:right w:val="nil"/>
            </w:tcBorders>
            <w:shd w:val="clear" w:color="auto" w:fill="auto"/>
            <w:noWrap/>
            <w:vAlign w:val="bottom"/>
            <w:hideMark/>
          </w:tcPr>
          <w:p w14:paraId="549A1D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3767F3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60,00</w:t>
            </w:r>
          </w:p>
        </w:tc>
      </w:tr>
      <w:tr w:rsidR="008430BD" w:rsidRPr="001C3EC8" w14:paraId="3ECB7D8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377694C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51" w:type="dxa"/>
            <w:tcBorders>
              <w:top w:val="nil"/>
              <w:left w:val="nil"/>
              <w:bottom w:val="single" w:sz="4" w:space="0" w:color="auto"/>
              <w:right w:val="nil"/>
            </w:tcBorders>
            <w:shd w:val="clear" w:color="auto" w:fill="auto"/>
            <w:noWrap/>
            <w:vAlign w:val="bottom"/>
            <w:hideMark/>
          </w:tcPr>
          <w:p w14:paraId="5B35E5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3DAD09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3253A4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54,55</w:t>
            </w:r>
          </w:p>
        </w:tc>
        <w:tc>
          <w:tcPr>
            <w:tcW w:w="851" w:type="dxa"/>
            <w:tcBorders>
              <w:top w:val="nil"/>
              <w:left w:val="nil"/>
              <w:bottom w:val="single" w:sz="4" w:space="0" w:color="auto"/>
              <w:right w:val="nil"/>
            </w:tcBorders>
            <w:shd w:val="clear" w:color="auto" w:fill="auto"/>
            <w:noWrap/>
            <w:vAlign w:val="bottom"/>
            <w:hideMark/>
          </w:tcPr>
          <w:p w14:paraId="4DC9C4B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229" w:type="dxa"/>
            <w:tcBorders>
              <w:top w:val="nil"/>
              <w:left w:val="nil"/>
              <w:bottom w:val="single" w:sz="4" w:space="0" w:color="auto"/>
              <w:right w:val="nil"/>
            </w:tcBorders>
            <w:shd w:val="clear" w:color="auto" w:fill="auto"/>
            <w:noWrap/>
            <w:vAlign w:val="bottom"/>
            <w:hideMark/>
          </w:tcPr>
          <w:p w14:paraId="508D79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5E6AB5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57,14</w:t>
            </w:r>
          </w:p>
        </w:tc>
      </w:tr>
      <w:tr w:rsidR="008430BD" w:rsidRPr="001C3EC8" w14:paraId="1F03805B"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F9AE09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51" w:type="dxa"/>
            <w:tcBorders>
              <w:top w:val="nil"/>
              <w:left w:val="nil"/>
              <w:bottom w:val="single" w:sz="4" w:space="0" w:color="auto"/>
              <w:right w:val="nil"/>
            </w:tcBorders>
            <w:shd w:val="clear" w:color="auto" w:fill="auto"/>
            <w:noWrap/>
            <w:vAlign w:val="bottom"/>
            <w:hideMark/>
          </w:tcPr>
          <w:p w14:paraId="13A788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1D2204D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3D1FA7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42,86</w:t>
            </w:r>
          </w:p>
        </w:tc>
        <w:tc>
          <w:tcPr>
            <w:tcW w:w="851" w:type="dxa"/>
            <w:tcBorders>
              <w:top w:val="nil"/>
              <w:left w:val="nil"/>
              <w:bottom w:val="single" w:sz="4" w:space="0" w:color="auto"/>
              <w:right w:val="nil"/>
            </w:tcBorders>
            <w:shd w:val="clear" w:color="auto" w:fill="auto"/>
            <w:noWrap/>
            <w:vAlign w:val="bottom"/>
            <w:hideMark/>
          </w:tcPr>
          <w:p w14:paraId="026626B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1229" w:type="dxa"/>
            <w:tcBorders>
              <w:top w:val="nil"/>
              <w:left w:val="nil"/>
              <w:bottom w:val="single" w:sz="4" w:space="0" w:color="auto"/>
              <w:right w:val="nil"/>
            </w:tcBorders>
            <w:shd w:val="clear" w:color="auto" w:fill="auto"/>
            <w:noWrap/>
            <w:vAlign w:val="bottom"/>
            <w:hideMark/>
          </w:tcPr>
          <w:p w14:paraId="23E6E2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p>
        </w:tc>
        <w:tc>
          <w:tcPr>
            <w:tcW w:w="1040" w:type="dxa"/>
            <w:tcBorders>
              <w:top w:val="nil"/>
              <w:left w:val="nil"/>
              <w:bottom w:val="single" w:sz="4" w:space="0" w:color="auto"/>
              <w:right w:val="nil"/>
            </w:tcBorders>
            <w:shd w:val="clear" w:color="auto" w:fill="auto"/>
            <w:noWrap/>
            <w:vAlign w:val="bottom"/>
            <w:hideMark/>
          </w:tcPr>
          <w:p w14:paraId="6B906F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35,71</w:t>
            </w:r>
          </w:p>
        </w:tc>
      </w:tr>
      <w:tr w:rsidR="008430BD" w:rsidRPr="001C3EC8" w14:paraId="7420EB3C"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645FEE3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51" w:type="dxa"/>
            <w:tcBorders>
              <w:top w:val="nil"/>
              <w:left w:val="nil"/>
              <w:bottom w:val="nil"/>
              <w:right w:val="nil"/>
            </w:tcBorders>
            <w:shd w:val="clear" w:color="auto" w:fill="auto"/>
            <w:noWrap/>
            <w:vAlign w:val="bottom"/>
            <w:hideMark/>
          </w:tcPr>
          <w:p w14:paraId="4F426E9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1229" w:type="dxa"/>
            <w:tcBorders>
              <w:top w:val="nil"/>
              <w:left w:val="nil"/>
              <w:bottom w:val="nil"/>
              <w:right w:val="nil"/>
            </w:tcBorders>
            <w:shd w:val="clear" w:color="auto" w:fill="auto"/>
            <w:noWrap/>
            <w:vAlign w:val="bottom"/>
            <w:hideMark/>
          </w:tcPr>
          <w:p w14:paraId="4298D8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c>
          <w:tcPr>
            <w:tcW w:w="1040" w:type="dxa"/>
            <w:tcBorders>
              <w:top w:val="nil"/>
              <w:left w:val="nil"/>
              <w:bottom w:val="nil"/>
              <w:right w:val="nil"/>
            </w:tcBorders>
            <w:shd w:val="clear" w:color="auto" w:fill="auto"/>
            <w:noWrap/>
            <w:vAlign w:val="bottom"/>
            <w:hideMark/>
          </w:tcPr>
          <w:p w14:paraId="7CC5745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36,36</w:t>
            </w:r>
          </w:p>
        </w:tc>
        <w:tc>
          <w:tcPr>
            <w:tcW w:w="851" w:type="dxa"/>
            <w:tcBorders>
              <w:top w:val="nil"/>
              <w:left w:val="nil"/>
              <w:bottom w:val="nil"/>
              <w:right w:val="nil"/>
            </w:tcBorders>
            <w:shd w:val="clear" w:color="auto" w:fill="auto"/>
            <w:noWrap/>
            <w:vAlign w:val="bottom"/>
            <w:hideMark/>
          </w:tcPr>
          <w:p w14:paraId="3E0D6C2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1229" w:type="dxa"/>
            <w:tcBorders>
              <w:top w:val="nil"/>
              <w:left w:val="nil"/>
              <w:bottom w:val="nil"/>
              <w:right w:val="nil"/>
            </w:tcBorders>
            <w:shd w:val="clear" w:color="auto" w:fill="auto"/>
            <w:noWrap/>
            <w:vAlign w:val="bottom"/>
            <w:hideMark/>
          </w:tcPr>
          <w:p w14:paraId="23FAC45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1040" w:type="dxa"/>
            <w:tcBorders>
              <w:top w:val="nil"/>
              <w:left w:val="nil"/>
              <w:bottom w:val="nil"/>
              <w:right w:val="nil"/>
            </w:tcBorders>
            <w:shd w:val="clear" w:color="auto" w:fill="auto"/>
            <w:noWrap/>
            <w:vAlign w:val="bottom"/>
            <w:hideMark/>
          </w:tcPr>
          <w:p w14:paraId="664B5C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60,00</w:t>
            </w:r>
          </w:p>
        </w:tc>
      </w:tr>
      <w:tr w:rsidR="008430BD" w:rsidRPr="001C3EC8" w14:paraId="4CF01862"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2DED40E7"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51" w:type="dxa"/>
            <w:tcBorders>
              <w:top w:val="double" w:sz="6" w:space="0" w:color="auto"/>
              <w:left w:val="nil"/>
              <w:bottom w:val="double" w:sz="6" w:space="0" w:color="auto"/>
              <w:right w:val="nil"/>
            </w:tcBorders>
            <w:shd w:val="clear" w:color="auto" w:fill="auto"/>
            <w:noWrap/>
            <w:vAlign w:val="bottom"/>
            <w:hideMark/>
          </w:tcPr>
          <w:p w14:paraId="01DFAB2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42</w:t>
            </w:r>
          </w:p>
        </w:tc>
        <w:tc>
          <w:tcPr>
            <w:tcW w:w="1229" w:type="dxa"/>
            <w:tcBorders>
              <w:top w:val="double" w:sz="6" w:space="0" w:color="auto"/>
              <w:left w:val="nil"/>
              <w:bottom w:val="double" w:sz="6" w:space="0" w:color="auto"/>
              <w:right w:val="nil"/>
            </w:tcBorders>
            <w:shd w:val="clear" w:color="auto" w:fill="auto"/>
            <w:noWrap/>
            <w:vAlign w:val="bottom"/>
            <w:hideMark/>
          </w:tcPr>
          <w:p w14:paraId="7CB674D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43</w:t>
            </w:r>
          </w:p>
        </w:tc>
        <w:tc>
          <w:tcPr>
            <w:tcW w:w="1040" w:type="dxa"/>
            <w:tcBorders>
              <w:top w:val="double" w:sz="6" w:space="0" w:color="auto"/>
              <w:left w:val="nil"/>
              <w:bottom w:val="double" w:sz="6" w:space="0" w:color="auto"/>
              <w:right w:val="nil"/>
            </w:tcBorders>
            <w:shd w:val="clear" w:color="auto" w:fill="auto"/>
            <w:noWrap/>
            <w:vAlign w:val="bottom"/>
            <w:hideMark/>
          </w:tcPr>
          <w:p w14:paraId="7EAE909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49,41</w:t>
            </w:r>
          </w:p>
        </w:tc>
        <w:tc>
          <w:tcPr>
            <w:tcW w:w="851" w:type="dxa"/>
            <w:tcBorders>
              <w:top w:val="double" w:sz="6" w:space="0" w:color="auto"/>
              <w:left w:val="nil"/>
              <w:bottom w:val="double" w:sz="6" w:space="0" w:color="auto"/>
              <w:right w:val="nil"/>
            </w:tcBorders>
            <w:shd w:val="clear" w:color="auto" w:fill="auto"/>
            <w:noWrap/>
            <w:vAlign w:val="bottom"/>
            <w:hideMark/>
          </w:tcPr>
          <w:p w14:paraId="09ECD75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67</w:t>
            </w:r>
          </w:p>
        </w:tc>
        <w:tc>
          <w:tcPr>
            <w:tcW w:w="1229" w:type="dxa"/>
            <w:tcBorders>
              <w:top w:val="double" w:sz="6" w:space="0" w:color="auto"/>
              <w:left w:val="nil"/>
              <w:bottom w:val="double" w:sz="6" w:space="0" w:color="auto"/>
              <w:right w:val="nil"/>
            </w:tcBorders>
            <w:shd w:val="clear" w:color="auto" w:fill="auto"/>
            <w:noWrap/>
            <w:vAlign w:val="bottom"/>
            <w:hideMark/>
          </w:tcPr>
          <w:p w14:paraId="5E0D847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46</w:t>
            </w:r>
          </w:p>
        </w:tc>
        <w:tc>
          <w:tcPr>
            <w:tcW w:w="1040" w:type="dxa"/>
            <w:tcBorders>
              <w:top w:val="double" w:sz="6" w:space="0" w:color="auto"/>
              <w:left w:val="nil"/>
              <w:bottom w:val="double" w:sz="6" w:space="0" w:color="auto"/>
              <w:right w:val="nil"/>
            </w:tcBorders>
            <w:shd w:val="clear" w:color="auto" w:fill="auto"/>
            <w:noWrap/>
            <w:vAlign w:val="bottom"/>
            <w:hideMark/>
          </w:tcPr>
          <w:p w14:paraId="479F7FA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59,29</w:t>
            </w:r>
          </w:p>
        </w:tc>
      </w:tr>
    </w:tbl>
    <w:p w14:paraId="31E439B9" w14:textId="77777777" w:rsidR="008430BD" w:rsidRPr="001C3EC8" w:rsidRDefault="008430BD" w:rsidP="008430BD">
      <w:pPr>
        <w:pStyle w:val="OdstavecASR"/>
        <w:rPr>
          <w:color w:val="000000" w:themeColor="text1"/>
        </w:rPr>
      </w:pPr>
    </w:p>
    <w:p w14:paraId="1B874B0C" w14:textId="4D25ED10" w:rsidR="008430BD" w:rsidRPr="001C3EC8" w:rsidRDefault="008430BD" w:rsidP="008430BD">
      <w:pPr>
        <w:pStyle w:val="OdstavecASR"/>
        <w:rPr>
          <w:color w:val="000000" w:themeColor="text1"/>
          <w:highlight w:val="yellow"/>
        </w:rPr>
      </w:pPr>
      <w:r w:rsidRPr="001C3EC8">
        <w:rPr>
          <w:color w:val="000000" w:themeColor="text1"/>
        </w:rPr>
        <w:t xml:space="preserve">Na vysvětlenou je třeba uvést, že součet počtu předsedů </w:t>
      </w:r>
      <w:r w:rsidR="0053190F" w:rsidRPr="001C3EC8">
        <w:rPr>
          <w:color w:val="000000" w:themeColor="text1"/>
        </w:rPr>
        <w:t>a</w:t>
      </w:r>
      <w:r w:rsidR="0053190F">
        <w:rPr>
          <w:color w:val="000000" w:themeColor="text1"/>
        </w:rPr>
        <w:t> </w:t>
      </w:r>
      <w:r w:rsidRPr="001C3EC8">
        <w:rPr>
          <w:color w:val="000000" w:themeColor="text1"/>
        </w:rPr>
        <w:t xml:space="preserve">předsedkyň není roven počtu okresních soudů (86), protože ne všude je funkce předsedy obsazená. </w:t>
      </w:r>
      <w:r w:rsidR="0053190F" w:rsidRPr="001C3EC8">
        <w:rPr>
          <w:color w:val="000000" w:themeColor="text1"/>
        </w:rPr>
        <w:t>Z</w:t>
      </w:r>
      <w:r w:rsidR="0053190F">
        <w:rPr>
          <w:color w:val="000000" w:themeColor="text1"/>
        </w:rPr>
        <w:t> </w:t>
      </w:r>
      <w:r w:rsidRPr="001C3EC8">
        <w:rPr>
          <w:color w:val="000000" w:themeColor="text1"/>
        </w:rPr>
        <w:t xml:space="preserve">tabulky můžeme vyčíst, že počet žen a mužů na místech předsedů </w:t>
      </w:r>
      <w:r w:rsidR="001B5E6A" w:rsidRPr="001C3EC8">
        <w:rPr>
          <w:color w:val="000000" w:themeColor="text1"/>
        </w:rPr>
        <w:t>a</w:t>
      </w:r>
      <w:r w:rsidR="001B5E6A">
        <w:rPr>
          <w:color w:val="000000" w:themeColor="text1"/>
        </w:rPr>
        <w:t> </w:t>
      </w:r>
      <w:r w:rsidRPr="001C3EC8">
        <w:rPr>
          <w:color w:val="000000" w:themeColor="text1"/>
        </w:rPr>
        <w:t xml:space="preserve">místopředsedů je mnohem vyrovnanější, než je tomu u celkového </w:t>
      </w:r>
      <w:r w:rsidRPr="001C3EC8">
        <w:rPr>
          <w:color w:val="000000" w:themeColor="text1"/>
        </w:rPr>
        <w:lastRenderedPageBreak/>
        <w:t xml:space="preserve">počtu soudců. V roce 2018 ženy představovaly přesně polovinu předsedů. V roce 2019 </w:t>
      </w:r>
      <w:r w:rsidR="001B5E6A" w:rsidRPr="001C3EC8">
        <w:rPr>
          <w:color w:val="000000" w:themeColor="text1"/>
        </w:rPr>
        <w:t>a</w:t>
      </w:r>
      <w:r w:rsidR="001B5E6A">
        <w:rPr>
          <w:color w:val="000000" w:themeColor="text1"/>
        </w:rPr>
        <w:t> </w:t>
      </w:r>
      <w:r w:rsidRPr="001C3EC8">
        <w:rPr>
          <w:color w:val="000000" w:themeColor="text1"/>
        </w:rPr>
        <w:t xml:space="preserve">2020 to je </w:t>
      </w:r>
      <w:r w:rsidR="001B5E6A" w:rsidRPr="001C3EC8">
        <w:rPr>
          <w:color w:val="000000" w:themeColor="text1"/>
        </w:rPr>
        <w:t>o</w:t>
      </w:r>
      <w:r w:rsidR="001B5E6A">
        <w:rPr>
          <w:color w:val="000000" w:themeColor="text1"/>
        </w:rPr>
        <w:t> </w:t>
      </w:r>
      <w:r w:rsidRPr="001C3EC8">
        <w:rPr>
          <w:color w:val="000000" w:themeColor="text1"/>
        </w:rPr>
        <w:t xml:space="preserve">něco méně. Místopředsedkyň je více než místopředsedů soudů. V jednotlivých krajích oproti roku 2019 došlo </w:t>
      </w:r>
      <w:r w:rsidR="001B5E6A" w:rsidRPr="001C3EC8">
        <w:rPr>
          <w:color w:val="000000" w:themeColor="text1"/>
        </w:rPr>
        <w:t>k</w:t>
      </w:r>
      <w:r w:rsidR="001B5E6A">
        <w:rPr>
          <w:color w:val="000000" w:themeColor="text1"/>
        </w:rPr>
        <w:t> </w:t>
      </w:r>
      <w:r w:rsidRPr="001C3EC8">
        <w:rPr>
          <w:color w:val="000000" w:themeColor="text1"/>
        </w:rPr>
        <w:t xml:space="preserve">poměrně výrazným procentuálním změnám. Vzhledem k malému počtu předsedů </w:t>
      </w:r>
      <w:r w:rsidR="001B5E6A" w:rsidRPr="001C3EC8">
        <w:rPr>
          <w:color w:val="000000" w:themeColor="text1"/>
        </w:rPr>
        <w:t>a</w:t>
      </w:r>
      <w:r w:rsidR="001B5E6A">
        <w:rPr>
          <w:color w:val="000000" w:themeColor="text1"/>
        </w:rPr>
        <w:t> </w:t>
      </w:r>
      <w:r w:rsidRPr="001C3EC8">
        <w:rPr>
          <w:color w:val="000000" w:themeColor="text1"/>
        </w:rPr>
        <w:t>místopředsedů je to ovšem logické. V Praze je nyní velmi vysoký podíl místopředsedkyň – 83 %.</w:t>
      </w:r>
    </w:p>
    <w:p w14:paraId="3056C0DC" w14:textId="77777777" w:rsidR="008430BD" w:rsidRPr="001C3EC8" w:rsidRDefault="008430BD" w:rsidP="008430BD">
      <w:pPr>
        <w:pStyle w:val="OdstavecASR"/>
        <w:rPr>
          <w:color w:val="000000" w:themeColor="text1"/>
        </w:rPr>
      </w:pPr>
      <w:r w:rsidRPr="001C3EC8">
        <w:rPr>
          <w:color w:val="000000" w:themeColor="text1"/>
        </w:rPr>
        <w:t>Dalším sledovaným ukazatelem je věková struktura soudců. Na grafu níže vidíme její vývoj v letech 2008 až 2020. V tabulce pak jsou průřezová data okresních soudů po krajích za rok 2020.</w:t>
      </w:r>
    </w:p>
    <w:p w14:paraId="0B3185ED" w14:textId="729F2943" w:rsidR="008430BD" w:rsidRPr="001C3EC8" w:rsidRDefault="008430BD" w:rsidP="008430BD">
      <w:pPr>
        <w:pStyle w:val="Podnadpis"/>
        <w:rPr>
          <w:color w:val="000000" w:themeColor="text1"/>
        </w:rPr>
      </w:pPr>
      <w:bookmarkStart w:id="52" w:name="_Toc11135066"/>
      <w:bookmarkStart w:id="53" w:name="_Toc43841385"/>
      <w:bookmarkStart w:id="54" w:name="_Toc75952185"/>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5</w:t>
      </w:r>
      <w:r w:rsidRPr="001C3EC8">
        <w:rPr>
          <w:noProof/>
          <w:color w:val="000000" w:themeColor="text1"/>
        </w:rPr>
        <w:fldChar w:fldCharType="end"/>
      </w:r>
      <w:r w:rsidRPr="001C3EC8">
        <w:rPr>
          <w:color w:val="000000" w:themeColor="text1"/>
        </w:rPr>
        <w:t>: OS – věková struktura soudců v letech 2008–20</w:t>
      </w:r>
      <w:bookmarkEnd w:id="52"/>
      <w:bookmarkEnd w:id="53"/>
      <w:r w:rsidRPr="001C3EC8">
        <w:rPr>
          <w:color w:val="000000" w:themeColor="text1"/>
        </w:rPr>
        <w:t>20</w:t>
      </w:r>
      <w:bookmarkEnd w:id="54"/>
    </w:p>
    <w:p w14:paraId="05EB8BF3"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256C4809" wp14:editId="461456B0">
            <wp:extent cx="5112385" cy="374523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23DD8181" w14:textId="57DEE695" w:rsidR="00B07E76" w:rsidRDefault="008430BD" w:rsidP="008430BD">
      <w:pPr>
        <w:pStyle w:val="OdstavecASR"/>
        <w:rPr>
          <w:color w:val="000000" w:themeColor="text1"/>
        </w:rPr>
      </w:pPr>
      <w:r w:rsidRPr="001C3EC8">
        <w:rPr>
          <w:color w:val="000000" w:themeColor="text1"/>
        </w:rPr>
        <w:t xml:space="preserve">Z grafu je patrný pokračující trend z minulých let, tedy že soudci okresních soudů v ČR v průměru zestárli. Především soudci z věkové kategorie 30 až 40 let se postupně přesunuli do věkové kategorie 41 až 50 let, přičemž po jednorázovém masívním porevolučním doplnění okresních soudů v roce 1992 již nejsou okresní (ale ani krajské) soudy </w:t>
      </w:r>
      <w:r w:rsidR="00882534" w:rsidRPr="001C3EC8">
        <w:rPr>
          <w:color w:val="000000" w:themeColor="text1"/>
        </w:rPr>
        <w:t xml:space="preserve">ve stejné míře </w:t>
      </w:r>
      <w:r w:rsidRPr="001C3EC8">
        <w:rPr>
          <w:color w:val="000000" w:themeColor="text1"/>
        </w:rPr>
        <w:t xml:space="preserve">doplňovány novými mladými soudci / soudkyněmi. Pro srovnání: v roce 2020 bylo </w:t>
      </w:r>
      <w:r w:rsidR="001B5E6A" w:rsidRPr="001C3EC8">
        <w:rPr>
          <w:color w:val="000000" w:themeColor="text1"/>
        </w:rPr>
        <w:t>u</w:t>
      </w:r>
      <w:r w:rsidR="001B5E6A">
        <w:rPr>
          <w:color w:val="000000" w:themeColor="text1"/>
        </w:rPr>
        <w:t> </w:t>
      </w:r>
      <w:r w:rsidRPr="001C3EC8">
        <w:rPr>
          <w:color w:val="000000" w:themeColor="text1"/>
        </w:rPr>
        <w:t>OS 462</w:t>
      </w:r>
      <w:r w:rsidR="001B5E6A">
        <w:rPr>
          <w:color w:val="000000" w:themeColor="text1"/>
        </w:rPr>
        <w:t> </w:t>
      </w:r>
      <w:r w:rsidRPr="001C3EC8">
        <w:rPr>
          <w:color w:val="000000" w:themeColor="text1"/>
        </w:rPr>
        <w:t>soudců/soudkyň v kategorii 30 až 40</w:t>
      </w:r>
      <w:r w:rsidR="001B5E6A">
        <w:rPr>
          <w:color w:val="000000" w:themeColor="text1"/>
        </w:rPr>
        <w:t> </w:t>
      </w:r>
      <w:r w:rsidRPr="001C3EC8">
        <w:rPr>
          <w:color w:val="000000" w:themeColor="text1"/>
        </w:rPr>
        <w:t>let vs. 913 v roce 2008, což znamená pokles na polovinu (</w:t>
      </w:r>
      <w:r w:rsidR="001B5E6A" w:rsidRPr="001C3EC8">
        <w:rPr>
          <w:color w:val="000000" w:themeColor="text1"/>
        </w:rPr>
        <w:t>a</w:t>
      </w:r>
      <w:r w:rsidR="001B5E6A">
        <w:rPr>
          <w:color w:val="000000" w:themeColor="text1"/>
        </w:rPr>
        <w:t> </w:t>
      </w:r>
      <w:r w:rsidRPr="001C3EC8">
        <w:rPr>
          <w:color w:val="000000" w:themeColor="text1"/>
        </w:rPr>
        <w:t xml:space="preserve">obdobně </w:t>
      </w:r>
      <w:r w:rsidR="001B5E6A" w:rsidRPr="001C3EC8">
        <w:rPr>
          <w:color w:val="000000" w:themeColor="text1"/>
        </w:rPr>
        <w:t>i</w:t>
      </w:r>
      <w:r w:rsidR="001B5E6A">
        <w:rPr>
          <w:color w:val="000000" w:themeColor="text1"/>
        </w:rPr>
        <w:t> </w:t>
      </w:r>
      <w:r w:rsidR="001B5E6A" w:rsidRPr="001C3EC8">
        <w:rPr>
          <w:color w:val="000000" w:themeColor="text1"/>
        </w:rPr>
        <w:t>u</w:t>
      </w:r>
      <w:r w:rsidR="001B5E6A">
        <w:rPr>
          <w:color w:val="000000" w:themeColor="text1"/>
        </w:rPr>
        <w:t> </w:t>
      </w:r>
      <w:r w:rsidRPr="001C3EC8">
        <w:rPr>
          <w:color w:val="000000" w:themeColor="text1"/>
        </w:rPr>
        <w:t>KS).</w:t>
      </w:r>
    </w:p>
    <w:p w14:paraId="07B7CF51" w14:textId="2FEA6747" w:rsidR="008430BD" w:rsidRPr="001C3EC8" w:rsidRDefault="008430BD" w:rsidP="008430BD">
      <w:pPr>
        <w:rPr>
          <w:rStyle w:val="OdstavecASRChar"/>
          <w:color w:val="000000" w:themeColor="text1"/>
        </w:rPr>
      </w:pPr>
      <w:r w:rsidRPr="001C3EC8">
        <w:rPr>
          <w:color w:val="000000" w:themeColor="text1"/>
        </w:rPr>
        <w:t xml:space="preserve">To dokazuje </w:t>
      </w:r>
      <w:r w:rsidR="001B5E6A" w:rsidRPr="001C3EC8">
        <w:rPr>
          <w:color w:val="000000" w:themeColor="text1"/>
        </w:rPr>
        <w:t>i</w:t>
      </w:r>
      <w:r w:rsidR="001B5E6A">
        <w:rPr>
          <w:color w:val="000000" w:themeColor="text1"/>
        </w:rPr>
        <w:t> </w:t>
      </w:r>
      <w:r w:rsidR="00882534" w:rsidRPr="001C3EC8">
        <w:rPr>
          <w:color w:val="000000" w:themeColor="text1"/>
        </w:rPr>
        <w:t>procentní</w:t>
      </w:r>
      <w:r w:rsidRPr="001C3EC8">
        <w:rPr>
          <w:color w:val="000000" w:themeColor="text1"/>
        </w:rPr>
        <w:t xml:space="preserve"> podíl mladých soudců / soudkyň</w:t>
      </w:r>
      <w:r w:rsidR="00882534" w:rsidRPr="001C3EC8">
        <w:rPr>
          <w:color w:val="000000" w:themeColor="text1"/>
        </w:rPr>
        <w:t>:</w:t>
      </w:r>
      <w:r w:rsidRPr="001C3EC8">
        <w:rPr>
          <w:color w:val="000000" w:themeColor="text1"/>
        </w:rPr>
        <w:t xml:space="preserve"> v roce 2007 byl podíl soudců ve věku 30 až 40 let 49 %, v roce 2018 byl tento podíl již pouze necelých 26 %. Naopak podíl soudců ve věku 41 až 50 let byl v roce 2007 25 % a přibližně 42 % v roce 2018. Příčin tohoto posunu je zřejmě několik:</w:t>
      </w:r>
    </w:p>
    <w:p w14:paraId="31991BE3" w14:textId="77777777" w:rsidR="008430BD" w:rsidRPr="001C3EC8" w:rsidRDefault="008430BD" w:rsidP="008430BD">
      <w:pPr>
        <w:pStyle w:val="Odstavecseseznamem"/>
        <w:numPr>
          <w:ilvl w:val="0"/>
          <w:numId w:val="13"/>
        </w:numPr>
        <w:rPr>
          <w:color w:val="000000" w:themeColor="text1"/>
        </w:rPr>
      </w:pPr>
      <w:r w:rsidRPr="001C3EC8">
        <w:rPr>
          <w:color w:val="000000" w:themeColor="text1"/>
        </w:rPr>
        <w:t>Ve sledovaném období je již celkový počet soudců velmi stabilní. Až do roku 2006 se ale počet soudců rychle zvyšoval, počet nově jmenovaných soudců za rok byl tedy výrazně vyšší než v posledních letech. K okresním soudům byli přitom většinou jmenováni mladí soudci. Právě tato rozsáhlá generace soudců se ve sledovaném období postupně přesouvá do vyšší věkové skupiny.</w:t>
      </w:r>
    </w:p>
    <w:p w14:paraId="59CFA335" w14:textId="77777777" w:rsidR="008430BD" w:rsidRPr="001C3EC8" w:rsidRDefault="008430BD" w:rsidP="008430BD">
      <w:pPr>
        <w:pStyle w:val="Odstavecseseznamem"/>
        <w:numPr>
          <w:ilvl w:val="0"/>
          <w:numId w:val="13"/>
        </w:numPr>
        <w:rPr>
          <w:color w:val="000000" w:themeColor="text1"/>
        </w:rPr>
      </w:pPr>
      <w:r w:rsidRPr="001C3EC8">
        <w:rPr>
          <w:color w:val="000000" w:themeColor="text1"/>
        </w:rPr>
        <w:lastRenderedPageBreak/>
        <w:t>Malou roli mohlo po určitou dobu hrát také to, že v roce 2003 byl stanoven minimální věk pro jmenování soudcem 30 let.</w:t>
      </w:r>
    </w:p>
    <w:p w14:paraId="0DB5046B" w14:textId="77777777" w:rsidR="008430BD" w:rsidRPr="001C3EC8" w:rsidRDefault="008430BD" w:rsidP="008430BD">
      <w:pPr>
        <w:pStyle w:val="Odstavecseseznamem"/>
        <w:numPr>
          <w:ilvl w:val="0"/>
          <w:numId w:val="13"/>
        </w:numPr>
        <w:rPr>
          <w:color w:val="000000" w:themeColor="text1"/>
        </w:rPr>
      </w:pPr>
      <w:r w:rsidRPr="001C3EC8">
        <w:rPr>
          <w:color w:val="000000" w:themeColor="text1"/>
        </w:rPr>
        <w:t>V průběhu let docházelo ke změnám a zpřísňování podmínek pro jmenování soudcem a ke zpřesnění administrativně technického postupu. V důsledku těchto změn se zvyšuje průměrný věk, ve kterém je soudce jmenován.</w:t>
      </w:r>
    </w:p>
    <w:p w14:paraId="74774061" w14:textId="77777777" w:rsidR="008430BD" w:rsidRPr="001C3EC8" w:rsidRDefault="008430BD" w:rsidP="008430BD">
      <w:pPr>
        <w:rPr>
          <w:color w:val="000000" w:themeColor="text1"/>
        </w:rPr>
      </w:pPr>
      <w:r w:rsidRPr="001C3EC8">
        <w:rPr>
          <w:color w:val="000000" w:themeColor="text1"/>
        </w:rPr>
        <w:t>Toto „stárnutí“ soudcovské populace se víceméně zastavilo až v roce 2019.</w:t>
      </w:r>
    </w:p>
    <w:p w14:paraId="1DEDBC55" w14:textId="5A04C3EE" w:rsidR="008430BD" w:rsidRPr="001C3EC8" w:rsidRDefault="008430BD" w:rsidP="008430BD">
      <w:pPr>
        <w:pStyle w:val="OdstavecASR"/>
        <w:rPr>
          <w:color w:val="000000" w:themeColor="text1"/>
        </w:rPr>
      </w:pPr>
      <w:r w:rsidRPr="001C3EC8">
        <w:rPr>
          <w:color w:val="000000" w:themeColor="text1"/>
        </w:rPr>
        <w:t xml:space="preserve">V další tabulce vidíme, že věkové složení soudců se liší i mezi jednotlivými kraji. Zaujme například Severočeský kraj s velmi vysokým podílem soudců mezi 30 a 40 lety. To může souviset s posilováním soudů v Severočeském kraji v posledních letech nově jmenovanými mladými soudci. V roce 2019 ho nicméně „přeskočil“ kraj Středočeský. Naopak v průměru starší jsou soudci v Západočeském kraji, kde je téměř šestina soudců ve věku mezi 61 a 70 lety. Celkově nejstarší soudci zřejmě </w:t>
      </w:r>
      <w:r w:rsidR="005A1F05" w:rsidRPr="001C3EC8">
        <w:rPr>
          <w:color w:val="000000" w:themeColor="text1"/>
        </w:rPr>
        <w:t>jsou</w:t>
      </w:r>
      <w:r w:rsidRPr="001C3EC8">
        <w:rPr>
          <w:color w:val="000000" w:themeColor="text1"/>
        </w:rPr>
        <w:t xml:space="preserve"> v Jihočeském kraji, kde je 15</w:t>
      </w:r>
      <w:r w:rsidR="001B5E6A">
        <w:rPr>
          <w:color w:val="000000" w:themeColor="text1"/>
        </w:rPr>
        <w:t> </w:t>
      </w:r>
      <w:r w:rsidRPr="001C3EC8">
        <w:rPr>
          <w:color w:val="000000" w:themeColor="text1"/>
        </w:rPr>
        <w:t>% soudců starší než 61</w:t>
      </w:r>
      <w:r w:rsidR="001B5E6A">
        <w:rPr>
          <w:color w:val="000000" w:themeColor="text1"/>
        </w:rPr>
        <w:t> </w:t>
      </w:r>
      <w:r w:rsidRPr="001C3EC8">
        <w:rPr>
          <w:color w:val="000000" w:themeColor="text1"/>
        </w:rPr>
        <w:t xml:space="preserve">let </w:t>
      </w:r>
      <w:r w:rsidR="001B5E6A" w:rsidRPr="001C3EC8">
        <w:rPr>
          <w:color w:val="000000" w:themeColor="text1"/>
        </w:rPr>
        <w:t>a</w:t>
      </w:r>
      <w:r w:rsidR="001B5E6A">
        <w:rPr>
          <w:color w:val="000000" w:themeColor="text1"/>
        </w:rPr>
        <w:t> </w:t>
      </w:r>
      <w:r w:rsidRPr="001C3EC8">
        <w:rPr>
          <w:color w:val="000000" w:themeColor="text1"/>
        </w:rPr>
        <w:t>26</w:t>
      </w:r>
      <w:r w:rsidR="001B5E6A">
        <w:rPr>
          <w:color w:val="000000" w:themeColor="text1"/>
        </w:rPr>
        <w:t> </w:t>
      </w:r>
      <w:r w:rsidRPr="001C3EC8">
        <w:rPr>
          <w:color w:val="000000" w:themeColor="text1"/>
        </w:rPr>
        <w:t xml:space="preserve">% soudců ve věku mezi 51 </w:t>
      </w:r>
      <w:r w:rsidR="001B5E6A" w:rsidRPr="001C3EC8">
        <w:rPr>
          <w:color w:val="000000" w:themeColor="text1"/>
        </w:rPr>
        <w:t>a</w:t>
      </w:r>
      <w:r w:rsidR="001B5E6A">
        <w:rPr>
          <w:color w:val="000000" w:themeColor="text1"/>
        </w:rPr>
        <w:t> </w:t>
      </w:r>
      <w:r w:rsidRPr="001C3EC8">
        <w:rPr>
          <w:color w:val="000000" w:themeColor="text1"/>
        </w:rPr>
        <w:t>60</w:t>
      </w:r>
      <w:r w:rsidR="001B5E6A">
        <w:rPr>
          <w:color w:val="000000" w:themeColor="text1"/>
        </w:rPr>
        <w:t> </w:t>
      </w:r>
      <w:r w:rsidRPr="001C3EC8">
        <w:rPr>
          <w:color w:val="000000" w:themeColor="text1"/>
        </w:rPr>
        <w:t>lety.</w:t>
      </w:r>
    </w:p>
    <w:p w14:paraId="445EBC5B" w14:textId="77777777" w:rsidR="008430BD" w:rsidRPr="001C3EC8" w:rsidRDefault="008430BD" w:rsidP="008430BD">
      <w:pPr>
        <w:pStyle w:val="OdstavecASR"/>
        <w:rPr>
          <w:color w:val="000000" w:themeColor="text1"/>
        </w:rPr>
      </w:pPr>
      <w:r w:rsidRPr="001C3EC8">
        <w:rPr>
          <w:color w:val="000000" w:themeColor="text1"/>
        </w:rPr>
        <w:t>V souvislosti s věkem soudců je třeba ještě poznamenat, že vliv na věkovou strukturu má také překládání soudců ke krajským soudům. K tomuto přeložení dochází nejčastěji kolem čtyřicátého až čtyřicátého pátého roku věku. Přeložení dříve než v 35 a později než v 50 letech jsou vzácná.</w:t>
      </w:r>
    </w:p>
    <w:p w14:paraId="016CC0BC" w14:textId="084E1BAF" w:rsidR="008430BD" w:rsidRPr="001C3EC8" w:rsidRDefault="008430BD" w:rsidP="008430BD">
      <w:pPr>
        <w:pStyle w:val="Podnadpis"/>
        <w:rPr>
          <w:color w:val="000000" w:themeColor="text1"/>
        </w:rPr>
      </w:pPr>
      <w:bookmarkStart w:id="55" w:name="_Toc515871438"/>
      <w:bookmarkStart w:id="56" w:name="_Toc11133206"/>
      <w:bookmarkStart w:id="57" w:name="_Toc43931177"/>
      <w:bookmarkStart w:id="58" w:name="_Toc75952307"/>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w:t>
      </w:r>
      <w:r w:rsidRPr="001C3EC8">
        <w:rPr>
          <w:noProof/>
          <w:color w:val="000000" w:themeColor="text1"/>
        </w:rPr>
        <w:fldChar w:fldCharType="end"/>
      </w:r>
      <w:r w:rsidRPr="001C3EC8">
        <w:rPr>
          <w:color w:val="000000" w:themeColor="text1"/>
        </w:rPr>
        <w:t>: OS – věková struktura soudců dle krajů</w:t>
      </w:r>
      <w:bookmarkEnd w:id="55"/>
      <w:bookmarkEnd w:id="56"/>
      <w:bookmarkEnd w:id="57"/>
      <w:bookmarkEnd w:id="58"/>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8430BD" w:rsidRPr="001C3EC8" w14:paraId="5054BD74"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42A9F5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14:paraId="322F016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Podíl na celkovém počtu soudců dle věku</w:t>
            </w:r>
          </w:p>
        </w:tc>
      </w:tr>
      <w:tr w:rsidR="008430BD" w:rsidRPr="001C3EC8" w14:paraId="46B7C4CB"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5DF4F576"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1979A66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6AF1A4E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534FB91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347D51C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61 až 70 let</w:t>
            </w:r>
          </w:p>
        </w:tc>
      </w:tr>
      <w:tr w:rsidR="008430BD" w:rsidRPr="001C3EC8" w14:paraId="797DBE6D"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30576B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53A906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17,57</w:t>
            </w:r>
          </w:p>
        </w:tc>
        <w:tc>
          <w:tcPr>
            <w:tcW w:w="1355" w:type="dxa"/>
            <w:tcBorders>
              <w:top w:val="single" w:sz="4" w:space="0" w:color="auto"/>
              <w:left w:val="nil"/>
              <w:bottom w:val="single" w:sz="4" w:space="0" w:color="auto"/>
              <w:right w:val="nil"/>
            </w:tcBorders>
            <w:shd w:val="clear" w:color="auto" w:fill="auto"/>
            <w:noWrap/>
            <w:vAlign w:val="bottom"/>
            <w:hideMark/>
          </w:tcPr>
          <w:p w14:paraId="165B09C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43,24</w:t>
            </w:r>
          </w:p>
        </w:tc>
        <w:tc>
          <w:tcPr>
            <w:tcW w:w="1355" w:type="dxa"/>
            <w:tcBorders>
              <w:top w:val="single" w:sz="4" w:space="0" w:color="auto"/>
              <w:left w:val="nil"/>
              <w:bottom w:val="single" w:sz="4" w:space="0" w:color="auto"/>
              <w:right w:val="nil"/>
            </w:tcBorders>
            <w:shd w:val="clear" w:color="auto" w:fill="auto"/>
            <w:noWrap/>
            <w:vAlign w:val="bottom"/>
            <w:hideMark/>
          </w:tcPr>
          <w:p w14:paraId="3D93E3D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26,69</w:t>
            </w:r>
          </w:p>
        </w:tc>
        <w:tc>
          <w:tcPr>
            <w:tcW w:w="1355" w:type="dxa"/>
            <w:tcBorders>
              <w:top w:val="single" w:sz="4" w:space="0" w:color="auto"/>
              <w:left w:val="nil"/>
              <w:bottom w:val="single" w:sz="4" w:space="0" w:color="auto"/>
              <w:right w:val="nil"/>
            </w:tcBorders>
            <w:shd w:val="clear" w:color="auto" w:fill="auto"/>
            <w:noWrap/>
            <w:vAlign w:val="bottom"/>
            <w:hideMark/>
          </w:tcPr>
          <w:p w14:paraId="6D97F4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12,50</w:t>
            </w:r>
          </w:p>
        </w:tc>
      </w:tr>
      <w:tr w:rsidR="008430BD" w:rsidRPr="001C3EC8" w14:paraId="5BBB6D5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7FF420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4694C5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36,74</w:t>
            </w:r>
          </w:p>
        </w:tc>
        <w:tc>
          <w:tcPr>
            <w:tcW w:w="1355" w:type="dxa"/>
            <w:tcBorders>
              <w:top w:val="nil"/>
              <w:left w:val="nil"/>
              <w:bottom w:val="single" w:sz="4" w:space="0" w:color="auto"/>
              <w:right w:val="nil"/>
            </w:tcBorders>
            <w:shd w:val="clear" w:color="auto" w:fill="auto"/>
            <w:noWrap/>
            <w:vAlign w:val="bottom"/>
            <w:hideMark/>
          </w:tcPr>
          <w:p w14:paraId="54718F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33,95</w:t>
            </w:r>
          </w:p>
        </w:tc>
        <w:tc>
          <w:tcPr>
            <w:tcW w:w="1355" w:type="dxa"/>
            <w:tcBorders>
              <w:top w:val="nil"/>
              <w:left w:val="nil"/>
              <w:bottom w:val="single" w:sz="4" w:space="0" w:color="auto"/>
              <w:right w:val="nil"/>
            </w:tcBorders>
            <w:shd w:val="clear" w:color="auto" w:fill="auto"/>
            <w:noWrap/>
            <w:vAlign w:val="bottom"/>
            <w:hideMark/>
          </w:tcPr>
          <w:p w14:paraId="2393D2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19,07</w:t>
            </w:r>
          </w:p>
        </w:tc>
        <w:tc>
          <w:tcPr>
            <w:tcW w:w="1355" w:type="dxa"/>
            <w:tcBorders>
              <w:top w:val="nil"/>
              <w:left w:val="nil"/>
              <w:bottom w:val="single" w:sz="4" w:space="0" w:color="auto"/>
              <w:right w:val="nil"/>
            </w:tcBorders>
            <w:shd w:val="clear" w:color="auto" w:fill="auto"/>
            <w:noWrap/>
            <w:vAlign w:val="bottom"/>
            <w:hideMark/>
          </w:tcPr>
          <w:p w14:paraId="7908A5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10,23</w:t>
            </w:r>
          </w:p>
        </w:tc>
      </w:tr>
      <w:tr w:rsidR="008430BD" w:rsidRPr="001C3EC8" w14:paraId="2DDED5D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05E9D1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08BE3AB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17,00</w:t>
            </w:r>
          </w:p>
        </w:tc>
        <w:tc>
          <w:tcPr>
            <w:tcW w:w="1355" w:type="dxa"/>
            <w:tcBorders>
              <w:top w:val="nil"/>
              <w:left w:val="nil"/>
              <w:bottom w:val="single" w:sz="4" w:space="0" w:color="auto"/>
              <w:right w:val="nil"/>
            </w:tcBorders>
            <w:shd w:val="clear" w:color="auto" w:fill="auto"/>
            <w:noWrap/>
            <w:vAlign w:val="bottom"/>
            <w:hideMark/>
          </w:tcPr>
          <w:p w14:paraId="04DEC4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42,00</w:t>
            </w:r>
          </w:p>
        </w:tc>
        <w:tc>
          <w:tcPr>
            <w:tcW w:w="1355" w:type="dxa"/>
            <w:tcBorders>
              <w:top w:val="nil"/>
              <w:left w:val="nil"/>
              <w:bottom w:val="single" w:sz="4" w:space="0" w:color="auto"/>
              <w:right w:val="nil"/>
            </w:tcBorders>
            <w:shd w:val="clear" w:color="auto" w:fill="auto"/>
            <w:noWrap/>
            <w:vAlign w:val="bottom"/>
            <w:hideMark/>
          </w:tcPr>
          <w:p w14:paraId="712D52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26,00</w:t>
            </w:r>
          </w:p>
        </w:tc>
        <w:tc>
          <w:tcPr>
            <w:tcW w:w="1355" w:type="dxa"/>
            <w:tcBorders>
              <w:top w:val="nil"/>
              <w:left w:val="nil"/>
              <w:bottom w:val="single" w:sz="4" w:space="0" w:color="auto"/>
              <w:right w:val="nil"/>
            </w:tcBorders>
            <w:shd w:val="clear" w:color="auto" w:fill="auto"/>
            <w:noWrap/>
            <w:vAlign w:val="bottom"/>
            <w:hideMark/>
          </w:tcPr>
          <w:p w14:paraId="72B892A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15,00</w:t>
            </w:r>
          </w:p>
        </w:tc>
      </w:tr>
      <w:tr w:rsidR="008430BD" w:rsidRPr="001C3EC8" w14:paraId="48B2A73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8BDF2A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0A135CF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14,56</w:t>
            </w:r>
          </w:p>
        </w:tc>
        <w:tc>
          <w:tcPr>
            <w:tcW w:w="1355" w:type="dxa"/>
            <w:tcBorders>
              <w:top w:val="nil"/>
              <w:left w:val="nil"/>
              <w:bottom w:val="single" w:sz="4" w:space="0" w:color="auto"/>
              <w:right w:val="nil"/>
            </w:tcBorders>
            <w:shd w:val="clear" w:color="auto" w:fill="auto"/>
            <w:noWrap/>
            <w:vAlign w:val="bottom"/>
            <w:hideMark/>
          </w:tcPr>
          <w:p w14:paraId="23E352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54,43</w:t>
            </w:r>
          </w:p>
        </w:tc>
        <w:tc>
          <w:tcPr>
            <w:tcW w:w="1355" w:type="dxa"/>
            <w:tcBorders>
              <w:top w:val="nil"/>
              <w:left w:val="nil"/>
              <w:bottom w:val="single" w:sz="4" w:space="0" w:color="auto"/>
              <w:right w:val="nil"/>
            </w:tcBorders>
            <w:shd w:val="clear" w:color="auto" w:fill="auto"/>
            <w:noWrap/>
            <w:vAlign w:val="bottom"/>
            <w:hideMark/>
          </w:tcPr>
          <w:p w14:paraId="62D02F3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15,82</w:t>
            </w:r>
          </w:p>
        </w:tc>
        <w:tc>
          <w:tcPr>
            <w:tcW w:w="1355" w:type="dxa"/>
            <w:tcBorders>
              <w:top w:val="nil"/>
              <w:left w:val="nil"/>
              <w:bottom w:val="single" w:sz="4" w:space="0" w:color="auto"/>
              <w:right w:val="nil"/>
            </w:tcBorders>
            <w:shd w:val="clear" w:color="auto" w:fill="auto"/>
            <w:noWrap/>
            <w:vAlign w:val="bottom"/>
            <w:hideMark/>
          </w:tcPr>
          <w:p w14:paraId="67AF3C8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15,19</w:t>
            </w:r>
          </w:p>
        </w:tc>
      </w:tr>
      <w:tr w:rsidR="008430BD" w:rsidRPr="001C3EC8" w14:paraId="5CE2772A"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8C5D97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2933DC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28,62</w:t>
            </w:r>
          </w:p>
        </w:tc>
        <w:tc>
          <w:tcPr>
            <w:tcW w:w="1355" w:type="dxa"/>
            <w:tcBorders>
              <w:top w:val="nil"/>
              <w:left w:val="nil"/>
              <w:bottom w:val="single" w:sz="4" w:space="0" w:color="auto"/>
              <w:right w:val="nil"/>
            </w:tcBorders>
            <w:shd w:val="clear" w:color="auto" w:fill="auto"/>
            <w:noWrap/>
            <w:vAlign w:val="bottom"/>
            <w:hideMark/>
          </w:tcPr>
          <w:p w14:paraId="45AE78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38,41</w:t>
            </w:r>
          </w:p>
        </w:tc>
        <w:tc>
          <w:tcPr>
            <w:tcW w:w="1355" w:type="dxa"/>
            <w:tcBorders>
              <w:top w:val="nil"/>
              <w:left w:val="nil"/>
              <w:bottom w:val="single" w:sz="4" w:space="0" w:color="auto"/>
              <w:right w:val="nil"/>
            </w:tcBorders>
            <w:shd w:val="clear" w:color="auto" w:fill="auto"/>
            <w:noWrap/>
            <w:vAlign w:val="bottom"/>
            <w:hideMark/>
          </w:tcPr>
          <w:p w14:paraId="515AB6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23,19</w:t>
            </w:r>
          </w:p>
        </w:tc>
        <w:tc>
          <w:tcPr>
            <w:tcW w:w="1355" w:type="dxa"/>
            <w:tcBorders>
              <w:top w:val="nil"/>
              <w:left w:val="nil"/>
              <w:bottom w:val="single" w:sz="4" w:space="0" w:color="auto"/>
              <w:right w:val="nil"/>
            </w:tcBorders>
            <w:shd w:val="clear" w:color="auto" w:fill="auto"/>
            <w:noWrap/>
            <w:vAlign w:val="bottom"/>
            <w:hideMark/>
          </w:tcPr>
          <w:p w14:paraId="2028EB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9,78</w:t>
            </w:r>
          </w:p>
        </w:tc>
      </w:tr>
      <w:tr w:rsidR="008430BD" w:rsidRPr="001C3EC8" w14:paraId="4B567FFF"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7025D6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30C5F5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21,51</w:t>
            </w:r>
          </w:p>
        </w:tc>
        <w:tc>
          <w:tcPr>
            <w:tcW w:w="1355" w:type="dxa"/>
            <w:tcBorders>
              <w:top w:val="nil"/>
              <w:left w:val="nil"/>
              <w:bottom w:val="single" w:sz="4" w:space="0" w:color="auto"/>
              <w:right w:val="nil"/>
            </w:tcBorders>
            <w:shd w:val="clear" w:color="auto" w:fill="auto"/>
            <w:noWrap/>
            <w:vAlign w:val="bottom"/>
            <w:hideMark/>
          </w:tcPr>
          <w:p w14:paraId="3564919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37,21</w:t>
            </w:r>
          </w:p>
        </w:tc>
        <w:tc>
          <w:tcPr>
            <w:tcW w:w="1355" w:type="dxa"/>
            <w:tcBorders>
              <w:top w:val="nil"/>
              <w:left w:val="nil"/>
              <w:bottom w:val="single" w:sz="4" w:space="0" w:color="auto"/>
              <w:right w:val="nil"/>
            </w:tcBorders>
            <w:shd w:val="clear" w:color="auto" w:fill="auto"/>
            <w:noWrap/>
            <w:vAlign w:val="bottom"/>
            <w:hideMark/>
          </w:tcPr>
          <w:p w14:paraId="6E321C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28,49</w:t>
            </w:r>
          </w:p>
        </w:tc>
        <w:tc>
          <w:tcPr>
            <w:tcW w:w="1355" w:type="dxa"/>
            <w:tcBorders>
              <w:top w:val="nil"/>
              <w:left w:val="nil"/>
              <w:bottom w:val="single" w:sz="4" w:space="0" w:color="auto"/>
              <w:right w:val="nil"/>
            </w:tcBorders>
            <w:shd w:val="clear" w:color="auto" w:fill="auto"/>
            <w:noWrap/>
            <w:vAlign w:val="bottom"/>
            <w:hideMark/>
          </w:tcPr>
          <w:p w14:paraId="137D5C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12,79</w:t>
            </w:r>
          </w:p>
        </w:tc>
      </w:tr>
      <w:tr w:rsidR="008430BD" w:rsidRPr="001C3EC8" w14:paraId="34F8EBA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07943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572864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22,11</w:t>
            </w:r>
          </w:p>
        </w:tc>
        <w:tc>
          <w:tcPr>
            <w:tcW w:w="1355" w:type="dxa"/>
            <w:tcBorders>
              <w:top w:val="nil"/>
              <w:left w:val="nil"/>
              <w:bottom w:val="single" w:sz="4" w:space="0" w:color="auto"/>
              <w:right w:val="nil"/>
            </w:tcBorders>
            <w:shd w:val="clear" w:color="auto" w:fill="auto"/>
            <w:noWrap/>
            <w:vAlign w:val="bottom"/>
            <w:hideMark/>
          </w:tcPr>
          <w:p w14:paraId="43B4CB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41,40</w:t>
            </w:r>
          </w:p>
        </w:tc>
        <w:tc>
          <w:tcPr>
            <w:tcW w:w="1355" w:type="dxa"/>
            <w:tcBorders>
              <w:top w:val="nil"/>
              <w:left w:val="nil"/>
              <w:bottom w:val="single" w:sz="4" w:space="0" w:color="auto"/>
              <w:right w:val="nil"/>
            </w:tcBorders>
            <w:shd w:val="clear" w:color="auto" w:fill="auto"/>
            <w:noWrap/>
            <w:vAlign w:val="bottom"/>
            <w:hideMark/>
          </w:tcPr>
          <w:p w14:paraId="0A0088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23,86</w:t>
            </w:r>
          </w:p>
        </w:tc>
        <w:tc>
          <w:tcPr>
            <w:tcW w:w="1355" w:type="dxa"/>
            <w:tcBorders>
              <w:top w:val="nil"/>
              <w:left w:val="nil"/>
              <w:bottom w:val="single" w:sz="4" w:space="0" w:color="auto"/>
              <w:right w:val="nil"/>
            </w:tcBorders>
            <w:shd w:val="clear" w:color="auto" w:fill="auto"/>
            <w:noWrap/>
            <w:vAlign w:val="bottom"/>
            <w:hideMark/>
          </w:tcPr>
          <w:p w14:paraId="5193FA5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12,63</w:t>
            </w:r>
          </w:p>
        </w:tc>
      </w:tr>
      <w:tr w:rsidR="008430BD" w:rsidRPr="001C3EC8" w14:paraId="2B3DDFD5"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4C7510A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420DA0B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21,15</w:t>
            </w:r>
          </w:p>
        </w:tc>
        <w:tc>
          <w:tcPr>
            <w:tcW w:w="1355" w:type="dxa"/>
            <w:tcBorders>
              <w:top w:val="nil"/>
              <w:left w:val="nil"/>
              <w:bottom w:val="double" w:sz="6" w:space="0" w:color="auto"/>
              <w:right w:val="nil"/>
            </w:tcBorders>
            <w:shd w:val="clear" w:color="auto" w:fill="auto"/>
            <w:noWrap/>
            <w:vAlign w:val="bottom"/>
            <w:hideMark/>
          </w:tcPr>
          <w:p w14:paraId="1FDBDE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42,63</w:t>
            </w:r>
          </w:p>
        </w:tc>
        <w:tc>
          <w:tcPr>
            <w:tcW w:w="1355" w:type="dxa"/>
            <w:tcBorders>
              <w:top w:val="nil"/>
              <w:left w:val="nil"/>
              <w:bottom w:val="double" w:sz="6" w:space="0" w:color="auto"/>
              <w:right w:val="nil"/>
            </w:tcBorders>
            <w:shd w:val="clear" w:color="auto" w:fill="auto"/>
            <w:noWrap/>
            <w:vAlign w:val="bottom"/>
            <w:hideMark/>
          </w:tcPr>
          <w:p w14:paraId="50EB3A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25,32</w:t>
            </w:r>
          </w:p>
        </w:tc>
        <w:tc>
          <w:tcPr>
            <w:tcW w:w="1355" w:type="dxa"/>
            <w:tcBorders>
              <w:top w:val="nil"/>
              <w:left w:val="nil"/>
              <w:bottom w:val="double" w:sz="6" w:space="0" w:color="auto"/>
              <w:right w:val="nil"/>
            </w:tcBorders>
            <w:shd w:val="clear" w:color="auto" w:fill="auto"/>
            <w:noWrap/>
            <w:vAlign w:val="bottom"/>
            <w:hideMark/>
          </w:tcPr>
          <w:p w14:paraId="6B2CA8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10,90</w:t>
            </w:r>
          </w:p>
        </w:tc>
      </w:tr>
      <w:tr w:rsidR="008430BD" w:rsidRPr="001C3EC8" w14:paraId="700602C0"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7FC0BB7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1FE5340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22,93</w:t>
            </w:r>
          </w:p>
        </w:tc>
        <w:tc>
          <w:tcPr>
            <w:tcW w:w="1355" w:type="dxa"/>
            <w:tcBorders>
              <w:top w:val="nil"/>
              <w:left w:val="nil"/>
              <w:bottom w:val="double" w:sz="6" w:space="0" w:color="auto"/>
              <w:right w:val="nil"/>
            </w:tcBorders>
            <w:shd w:val="clear" w:color="auto" w:fill="auto"/>
            <w:noWrap/>
            <w:vAlign w:val="bottom"/>
            <w:hideMark/>
          </w:tcPr>
          <w:p w14:paraId="3708C76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41,35</w:t>
            </w:r>
          </w:p>
        </w:tc>
        <w:tc>
          <w:tcPr>
            <w:tcW w:w="1355" w:type="dxa"/>
            <w:tcBorders>
              <w:top w:val="nil"/>
              <w:left w:val="nil"/>
              <w:bottom w:val="double" w:sz="6" w:space="0" w:color="auto"/>
              <w:right w:val="nil"/>
            </w:tcBorders>
            <w:shd w:val="clear" w:color="auto" w:fill="auto"/>
            <w:noWrap/>
            <w:vAlign w:val="bottom"/>
            <w:hideMark/>
          </w:tcPr>
          <w:p w14:paraId="66D7A23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23,76</w:t>
            </w:r>
          </w:p>
        </w:tc>
        <w:tc>
          <w:tcPr>
            <w:tcW w:w="1355" w:type="dxa"/>
            <w:tcBorders>
              <w:top w:val="nil"/>
              <w:left w:val="nil"/>
              <w:bottom w:val="double" w:sz="6" w:space="0" w:color="auto"/>
              <w:right w:val="nil"/>
            </w:tcBorders>
            <w:shd w:val="clear" w:color="auto" w:fill="auto"/>
            <w:noWrap/>
            <w:vAlign w:val="bottom"/>
            <w:hideMark/>
          </w:tcPr>
          <w:p w14:paraId="797747A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11,96</w:t>
            </w:r>
          </w:p>
        </w:tc>
      </w:tr>
    </w:tbl>
    <w:p w14:paraId="31A47B75" w14:textId="77777777" w:rsidR="008430BD" w:rsidRPr="001C3EC8" w:rsidRDefault="008430BD" w:rsidP="008430BD">
      <w:pPr>
        <w:pStyle w:val="OdstavecASR"/>
        <w:rPr>
          <w:color w:val="000000" w:themeColor="text1"/>
        </w:rPr>
      </w:pPr>
    </w:p>
    <w:p w14:paraId="0E210D26" w14:textId="1D289A86" w:rsidR="008430BD" w:rsidRPr="001C3EC8" w:rsidRDefault="008430BD" w:rsidP="008430BD">
      <w:pPr>
        <w:pStyle w:val="OdstavecASR"/>
        <w:rPr>
          <w:color w:val="000000" w:themeColor="text1"/>
        </w:rPr>
      </w:pPr>
      <w:r w:rsidRPr="001C3EC8">
        <w:rPr>
          <w:color w:val="000000" w:themeColor="text1"/>
        </w:rPr>
        <w:t xml:space="preserve">Posledním ukazatelem, na který se v této části zaměříme, bude srovnání plánovaného a evidenčního počtu soudců v jednotlivých krajích za posledních </w:t>
      </w:r>
      <w:r w:rsidR="001B5E6A" w:rsidRPr="001C3EC8">
        <w:rPr>
          <w:color w:val="000000" w:themeColor="text1"/>
        </w:rPr>
        <w:t>6</w:t>
      </w:r>
      <w:r w:rsidR="001B5E6A">
        <w:rPr>
          <w:color w:val="000000" w:themeColor="text1"/>
        </w:rPr>
        <w:t> </w:t>
      </w:r>
      <w:r w:rsidRPr="001C3EC8">
        <w:rPr>
          <w:color w:val="000000" w:themeColor="text1"/>
        </w:rPr>
        <w:t xml:space="preserve">let. Tento ukazatel může pomoci identifikovat, zda je v nějakých krajích dlouhodobý rozdíl mezi evidenčním </w:t>
      </w:r>
      <w:r w:rsidR="001B5E6A" w:rsidRPr="001C3EC8">
        <w:rPr>
          <w:color w:val="000000" w:themeColor="text1"/>
        </w:rPr>
        <w:t>a</w:t>
      </w:r>
      <w:r w:rsidR="001B5E6A">
        <w:rPr>
          <w:color w:val="000000" w:themeColor="text1"/>
        </w:rPr>
        <w:t> </w:t>
      </w:r>
      <w:r w:rsidRPr="001C3EC8">
        <w:rPr>
          <w:color w:val="000000" w:themeColor="text1"/>
        </w:rPr>
        <w:t xml:space="preserve">plánovaným počtem soudců. Průměry </w:t>
      </w:r>
      <w:r w:rsidR="00D76EFC" w:rsidRPr="001C3EC8">
        <w:rPr>
          <w:color w:val="000000" w:themeColor="text1"/>
        </w:rPr>
        <w:t xml:space="preserve">za celé období </w:t>
      </w:r>
      <w:r w:rsidRPr="001C3EC8">
        <w:rPr>
          <w:color w:val="000000" w:themeColor="text1"/>
        </w:rPr>
        <w:t>najdeme v následující tabulce:</w:t>
      </w:r>
    </w:p>
    <w:p w14:paraId="50FF7B7B" w14:textId="77777777" w:rsidR="00D76EFC" w:rsidRPr="001C3EC8" w:rsidRDefault="00D76EFC">
      <w:pPr>
        <w:spacing w:after="160" w:line="259" w:lineRule="auto"/>
        <w:jc w:val="left"/>
        <w:rPr>
          <w:rFonts w:eastAsia="Times New Roman"/>
          <w:b/>
          <w:iCs/>
          <w:color w:val="000000" w:themeColor="text1"/>
          <w:spacing w:val="15"/>
          <w:szCs w:val="24"/>
        </w:rPr>
      </w:pPr>
      <w:r w:rsidRPr="001C3EC8">
        <w:rPr>
          <w:color w:val="000000" w:themeColor="text1"/>
        </w:rPr>
        <w:br w:type="page"/>
      </w:r>
    </w:p>
    <w:p w14:paraId="250235E3" w14:textId="4919EAA8" w:rsidR="008430BD" w:rsidRPr="001C3EC8" w:rsidRDefault="008430BD" w:rsidP="008430BD">
      <w:pPr>
        <w:pStyle w:val="Podnadpis"/>
        <w:rPr>
          <w:color w:val="000000" w:themeColor="text1"/>
        </w:rPr>
      </w:pPr>
      <w:bookmarkStart w:id="59" w:name="_Toc75952308"/>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5</w:t>
      </w:r>
      <w:r w:rsidRPr="001C3EC8">
        <w:rPr>
          <w:noProof/>
          <w:color w:val="000000" w:themeColor="text1"/>
        </w:rPr>
        <w:fldChar w:fldCharType="end"/>
      </w:r>
      <w:r w:rsidRPr="001C3EC8">
        <w:rPr>
          <w:color w:val="000000" w:themeColor="text1"/>
        </w:rPr>
        <w:t xml:space="preserve">: OS – srovnání evidenčního </w:t>
      </w:r>
      <w:r w:rsidR="001B5E6A" w:rsidRPr="001C3EC8">
        <w:rPr>
          <w:color w:val="000000" w:themeColor="text1"/>
        </w:rPr>
        <w:t>a</w:t>
      </w:r>
      <w:r w:rsidR="001B5E6A">
        <w:rPr>
          <w:color w:val="000000" w:themeColor="text1"/>
        </w:rPr>
        <w:t> </w:t>
      </w:r>
      <w:r w:rsidRPr="001C3EC8">
        <w:rPr>
          <w:color w:val="000000" w:themeColor="text1"/>
        </w:rPr>
        <w:t xml:space="preserve">plánovaného počtu soudců za </w:t>
      </w:r>
      <w:r w:rsidR="001B5E6A" w:rsidRPr="001C3EC8">
        <w:rPr>
          <w:color w:val="000000" w:themeColor="text1"/>
        </w:rPr>
        <w:t>6</w:t>
      </w:r>
      <w:r w:rsidR="001B5E6A">
        <w:rPr>
          <w:color w:val="000000" w:themeColor="text1"/>
        </w:rPr>
        <w:t> </w:t>
      </w:r>
      <w:r w:rsidRPr="001C3EC8">
        <w:rPr>
          <w:color w:val="000000" w:themeColor="text1"/>
        </w:rPr>
        <w:t>let</w:t>
      </w:r>
      <w:bookmarkEnd w:id="59"/>
    </w:p>
    <w:tbl>
      <w:tblPr>
        <w:tblW w:w="7920" w:type="dxa"/>
        <w:tblCellMar>
          <w:left w:w="70" w:type="dxa"/>
          <w:right w:w="70" w:type="dxa"/>
        </w:tblCellMar>
        <w:tblLook w:val="04A0" w:firstRow="1" w:lastRow="0" w:firstColumn="1" w:lastColumn="0" w:noHBand="0" w:noVBand="1"/>
      </w:tblPr>
      <w:tblGrid>
        <w:gridCol w:w="2220"/>
        <w:gridCol w:w="1502"/>
        <w:gridCol w:w="1738"/>
        <w:gridCol w:w="2460"/>
      </w:tblGrid>
      <w:tr w:rsidR="008430BD" w:rsidRPr="001C3EC8" w14:paraId="062700B7"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60D9F91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bottom"/>
            <w:hideMark/>
          </w:tcPr>
          <w:p w14:paraId="2535C6F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Průměrný počet soudců</w:t>
            </w:r>
          </w:p>
        </w:tc>
        <w:tc>
          <w:tcPr>
            <w:tcW w:w="2460" w:type="dxa"/>
            <w:vMerge w:val="restart"/>
            <w:tcBorders>
              <w:top w:val="double" w:sz="6" w:space="0" w:color="auto"/>
              <w:left w:val="nil"/>
              <w:bottom w:val="double" w:sz="6" w:space="0" w:color="000000"/>
              <w:right w:val="nil"/>
            </w:tcBorders>
            <w:shd w:val="clear" w:color="auto" w:fill="auto"/>
            <w:vAlign w:val="center"/>
            <w:hideMark/>
          </w:tcPr>
          <w:p w14:paraId="1B1EC2E1" w14:textId="5DE50B2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Nadstav/podstav </w:t>
            </w:r>
            <w:r w:rsidR="001B5E6A" w:rsidRPr="001C3EC8">
              <w:rPr>
                <w:rFonts w:eastAsia="Times New Roman"/>
                <w:b/>
                <w:bCs/>
                <w:color w:val="000000" w:themeColor="text1"/>
                <w:szCs w:val="24"/>
                <w:lang w:eastAsia="cs-CZ"/>
              </w:rPr>
              <w:t>v</w:t>
            </w:r>
            <w:r w:rsidR="001B5E6A">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2CAE7796"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21533131"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502" w:type="dxa"/>
            <w:tcBorders>
              <w:top w:val="nil"/>
              <w:left w:val="nil"/>
              <w:bottom w:val="double" w:sz="6" w:space="0" w:color="auto"/>
              <w:right w:val="nil"/>
            </w:tcBorders>
            <w:shd w:val="clear" w:color="auto" w:fill="auto"/>
            <w:noWrap/>
            <w:vAlign w:val="bottom"/>
            <w:hideMark/>
          </w:tcPr>
          <w:p w14:paraId="0F92EDE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w:t>
            </w:r>
          </w:p>
        </w:tc>
        <w:tc>
          <w:tcPr>
            <w:tcW w:w="1738" w:type="dxa"/>
            <w:tcBorders>
              <w:top w:val="nil"/>
              <w:left w:val="nil"/>
              <w:bottom w:val="double" w:sz="6" w:space="0" w:color="auto"/>
              <w:right w:val="nil"/>
            </w:tcBorders>
            <w:shd w:val="clear" w:color="auto" w:fill="auto"/>
            <w:noWrap/>
            <w:vAlign w:val="bottom"/>
            <w:hideMark/>
          </w:tcPr>
          <w:p w14:paraId="12BEA81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Plánovaný</w:t>
            </w:r>
          </w:p>
        </w:tc>
        <w:tc>
          <w:tcPr>
            <w:tcW w:w="2460" w:type="dxa"/>
            <w:vMerge/>
            <w:tcBorders>
              <w:top w:val="double" w:sz="6" w:space="0" w:color="auto"/>
              <w:left w:val="nil"/>
              <w:bottom w:val="double" w:sz="6" w:space="0" w:color="000000"/>
              <w:right w:val="nil"/>
            </w:tcBorders>
            <w:vAlign w:val="center"/>
            <w:hideMark/>
          </w:tcPr>
          <w:p w14:paraId="37435206"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6A6F1CA6" w14:textId="77777777" w:rsidTr="00E077F3">
        <w:trPr>
          <w:trHeight w:val="330"/>
        </w:trPr>
        <w:tc>
          <w:tcPr>
            <w:tcW w:w="2220" w:type="dxa"/>
            <w:tcBorders>
              <w:top w:val="nil"/>
              <w:left w:val="nil"/>
              <w:bottom w:val="single" w:sz="4" w:space="0" w:color="auto"/>
              <w:right w:val="nil"/>
            </w:tcBorders>
            <w:shd w:val="clear" w:color="auto" w:fill="auto"/>
            <w:noWrap/>
            <w:vAlign w:val="bottom"/>
            <w:hideMark/>
          </w:tcPr>
          <w:p w14:paraId="3C2E934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502" w:type="dxa"/>
            <w:tcBorders>
              <w:top w:val="nil"/>
              <w:left w:val="nil"/>
              <w:bottom w:val="single" w:sz="4" w:space="0" w:color="auto"/>
              <w:right w:val="nil"/>
            </w:tcBorders>
            <w:shd w:val="clear" w:color="auto" w:fill="auto"/>
            <w:noWrap/>
            <w:vAlign w:val="bottom"/>
            <w:hideMark/>
          </w:tcPr>
          <w:p w14:paraId="61D5DA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314,8</w:t>
            </w:r>
          </w:p>
        </w:tc>
        <w:tc>
          <w:tcPr>
            <w:tcW w:w="1738" w:type="dxa"/>
            <w:tcBorders>
              <w:top w:val="nil"/>
              <w:left w:val="nil"/>
              <w:bottom w:val="single" w:sz="4" w:space="0" w:color="auto"/>
              <w:right w:val="nil"/>
            </w:tcBorders>
            <w:shd w:val="clear" w:color="auto" w:fill="auto"/>
            <w:noWrap/>
            <w:vAlign w:val="bottom"/>
            <w:hideMark/>
          </w:tcPr>
          <w:p w14:paraId="6433C3D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286,5</w:t>
            </w:r>
          </w:p>
        </w:tc>
        <w:tc>
          <w:tcPr>
            <w:tcW w:w="2460" w:type="dxa"/>
            <w:tcBorders>
              <w:top w:val="nil"/>
              <w:left w:val="nil"/>
              <w:bottom w:val="single" w:sz="4" w:space="0" w:color="auto"/>
              <w:right w:val="nil"/>
            </w:tcBorders>
            <w:shd w:val="clear" w:color="auto" w:fill="auto"/>
            <w:noWrap/>
            <w:vAlign w:val="bottom"/>
            <w:hideMark/>
          </w:tcPr>
          <w:p w14:paraId="30EC0B0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9,89</w:t>
            </w:r>
          </w:p>
        </w:tc>
      </w:tr>
      <w:tr w:rsidR="008430BD" w:rsidRPr="001C3EC8" w14:paraId="37DD1E61"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43AAECB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502" w:type="dxa"/>
            <w:tcBorders>
              <w:top w:val="nil"/>
              <w:left w:val="nil"/>
              <w:bottom w:val="single" w:sz="4" w:space="0" w:color="auto"/>
              <w:right w:val="nil"/>
            </w:tcBorders>
            <w:shd w:val="clear" w:color="auto" w:fill="auto"/>
            <w:noWrap/>
            <w:vAlign w:val="bottom"/>
            <w:hideMark/>
          </w:tcPr>
          <w:p w14:paraId="0F48DFB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199,8</w:t>
            </w:r>
          </w:p>
        </w:tc>
        <w:tc>
          <w:tcPr>
            <w:tcW w:w="1738" w:type="dxa"/>
            <w:tcBorders>
              <w:top w:val="nil"/>
              <w:left w:val="nil"/>
              <w:bottom w:val="single" w:sz="4" w:space="0" w:color="auto"/>
              <w:right w:val="nil"/>
            </w:tcBorders>
            <w:shd w:val="clear" w:color="auto" w:fill="auto"/>
            <w:noWrap/>
            <w:vAlign w:val="bottom"/>
            <w:hideMark/>
          </w:tcPr>
          <w:p w14:paraId="79BBF7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203,2</w:t>
            </w:r>
          </w:p>
        </w:tc>
        <w:tc>
          <w:tcPr>
            <w:tcW w:w="2460" w:type="dxa"/>
            <w:tcBorders>
              <w:top w:val="nil"/>
              <w:left w:val="nil"/>
              <w:bottom w:val="single" w:sz="4" w:space="0" w:color="auto"/>
              <w:right w:val="nil"/>
            </w:tcBorders>
            <w:shd w:val="clear" w:color="auto" w:fill="auto"/>
            <w:noWrap/>
            <w:vAlign w:val="bottom"/>
            <w:hideMark/>
          </w:tcPr>
          <w:p w14:paraId="3B0B342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w:t>
            </w:r>
          </w:p>
        </w:tc>
      </w:tr>
      <w:tr w:rsidR="008430BD" w:rsidRPr="001C3EC8" w14:paraId="411BF6A7"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38E3310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502" w:type="dxa"/>
            <w:tcBorders>
              <w:top w:val="nil"/>
              <w:left w:val="nil"/>
              <w:bottom w:val="single" w:sz="4" w:space="0" w:color="auto"/>
              <w:right w:val="nil"/>
            </w:tcBorders>
            <w:shd w:val="clear" w:color="auto" w:fill="auto"/>
            <w:noWrap/>
            <w:vAlign w:val="bottom"/>
            <w:hideMark/>
          </w:tcPr>
          <w:p w14:paraId="7EDC9F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103,8</w:t>
            </w:r>
          </w:p>
        </w:tc>
        <w:tc>
          <w:tcPr>
            <w:tcW w:w="1738" w:type="dxa"/>
            <w:tcBorders>
              <w:top w:val="nil"/>
              <w:left w:val="nil"/>
              <w:bottom w:val="single" w:sz="4" w:space="0" w:color="auto"/>
              <w:right w:val="nil"/>
            </w:tcBorders>
            <w:shd w:val="clear" w:color="auto" w:fill="auto"/>
            <w:noWrap/>
            <w:vAlign w:val="bottom"/>
            <w:hideMark/>
          </w:tcPr>
          <w:p w14:paraId="70DDEA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102,0</w:t>
            </w:r>
          </w:p>
        </w:tc>
        <w:tc>
          <w:tcPr>
            <w:tcW w:w="2460" w:type="dxa"/>
            <w:tcBorders>
              <w:top w:val="nil"/>
              <w:left w:val="nil"/>
              <w:bottom w:val="single" w:sz="4" w:space="0" w:color="auto"/>
              <w:right w:val="nil"/>
            </w:tcBorders>
            <w:shd w:val="clear" w:color="auto" w:fill="auto"/>
            <w:noWrap/>
            <w:vAlign w:val="bottom"/>
            <w:hideMark/>
          </w:tcPr>
          <w:p w14:paraId="0C80B7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1,80</w:t>
            </w:r>
          </w:p>
        </w:tc>
      </w:tr>
      <w:tr w:rsidR="008430BD" w:rsidRPr="001C3EC8" w14:paraId="2123C1BE"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68D2476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502" w:type="dxa"/>
            <w:tcBorders>
              <w:top w:val="nil"/>
              <w:left w:val="nil"/>
              <w:bottom w:val="single" w:sz="4" w:space="0" w:color="auto"/>
              <w:right w:val="nil"/>
            </w:tcBorders>
            <w:shd w:val="clear" w:color="auto" w:fill="auto"/>
            <w:noWrap/>
            <w:vAlign w:val="bottom"/>
            <w:hideMark/>
          </w:tcPr>
          <w:p w14:paraId="660AE3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161,3</w:t>
            </w:r>
          </w:p>
        </w:tc>
        <w:tc>
          <w:tcPr>
            <w:tcW w:w="1738" w:type="dxa"/>
            <w:tcBorders>
              <w:top w:val="nil"/>
              <w:left w:val="nil"/>
              <w:bottom w:val="single" w:sz="4" w:space="0" w:color="auto"/>
              <w:right w:val="nil"/>
            </w:tcBorders>
            <w:shd w:val="clear" w:color="auto" w:fill="auto"/>
            <w:noWrap/>
            <w:vAlign w:val="bottom"/>
            <w:hideMark/>
          </w:tcPr>
          <w:p w14:paraId="4AC6D3E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161,0</w:t>
            </w:r>
          </w:p>
        </w:tc>
        <w:tc>
          <w:tcPr>
            <w:tcW w:w="2460" w:type="dxa"/>
            <w:tcBorders>
              <w:top w:val="nil"/>
              <w:left w:val="nil"/>
              <w:bottom w:val="single" w:sz="4" w:space="0" w:color="auto"/>
              <w:right w:val="nil"/>
            </w:tcBorders>
            <w:shd w:val="clear" w:color="auto" w:fill="auto"/>
            <w:noWrap/>
            <w:vAlign w:val="bottom"/>
            <w:hideMark/>
          </w:tcPr>
          <w:p w14:paraId="48BD4C4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0,21</w:t>
            </w:r>
          </w:p>
        </w:tc>
      </w:tr>
      <w:tr w:rsidR="008430BD" w:rsidRPr="001C3EC8" w14:paraId="60262DBA"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73CC653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502" w:type="dxa"/>
            <w:tcBorders>
              <w:top w:val="nil"/>
              <w:left w:val="nil"/>
              <w:bottom w:val="single" w:sz="4" w:space="0" w:color="auto"/>
              <w:right w:val="nil"/>
            </w:tcBorders>
            <w:shd w:val="clear" w:color="auto" w:fill="auto"/>
            <w:noWrap/>
            <w:vAlign w:val="bottom"/>
            <w:hideMark/>
          </w:tcPr>
          <w:p w14:paraId="0354155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275,8</w:t>
            </w:r>
          </w:p>
        </w:tc>
        <w:tc>
          <w:tcPr>
            <w:tcW w:w="1738" w:type="dxa"/>
            <w:tcBorders>
              <w:top w:val="nil"/>
              <w:left w:val="nil"/>
              <w:bottom w:val="single" w:sz="4" w:space="0" w:color="auto"/>
              <w:right w:val="nil"/>
            </w:tcBorders>
            <w:shd w:val="clear" w:color="auto" w:fill="auto"/>
            <w:noWrap/>
            <w:vAlign w:val="bottom"/>
            <w:hideMark/>
          </w:tcPr>
          <w:p w14:paraId="4BC2CDE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264,2</w:t>
            </w:r>
          </w:p>
        </w:tc>
        <w:tc>
          <w:tcPr>
            <w:tcW w:w="2460" w:type="dxa"/>
            <w:tcBorders>
              <w:top w:val="nil"/>
              <w:left w:val="nil"/>
              <w:bottom w:val="single" w:sz="4" w:space="0" w:color="auto"/>
              <w:right w:val="nil"/>
            </w:tcBorders>
            <w:shd w:val="clear" w:color="auto" w:fill="auto"/>
            <w:noWrap/>
            <w:vAlign w:val="bottom"/>
            <w:hideMark/>
          </w:tcPr>
          <w:p w14:paraId="0B6296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4,42</w:t>
            </w:r>
          </w:p>
        </w:tc>
      </w:tr>
      <w:tr w:rsidR="008430BD" w:rsidRPr="001C3EC8" w14:paraId="7351FC5A"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33B52C3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502" w:type="dxa"/>
            <w:tcBorders>
              <w:top w:val="nil"/>
              <w:left w:val="nil"/>
              <w:bottom w:val="single" w:sz="4" w:space="0" w:color="auto"/>
              <w:right w:val="nil"/>
            </w:tcBorders>
            <w:shd w:val="clear" w:color="auto" w:fill="auto"/>
            <w:noWrap/>
            <w:vAlign w:val="bottom"/>
            <w:hideMark/>
          </w:tcPr>
          <w:p w14:paraId="486CEB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168,8</w:t>
            </w:r>
          </w:p>
        </w:tc>
        <w:tc>
          <w:tcPr>
            <w:tcW w:w="1738" w:type="dxa"/>
            <w:tcBorders>
              <w:top w:val="nil"/>
              <w:left w:val="nil"/>
              <w:bottom w:val="single" w:sz="4" w:space="0" w:color="auto"/>
              <w:right w:val="nil"/>
            </w:tcBorders>
            <w:shd w:val="clear" w:color="auto" w:fill="auto"/>
            <w:noWrap/>
            <w:vAlign w:val="bottom"/>
            <w:hideMark/>
          </w:tcPr>
          <w:p w14:paraId="158CD0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168,3</w:t>
            </w:r>
          </w:p>
        </w:tc>
        <w:tc>
          <w:tcPr>
            <w:tcW w:w="2460" w:type="dxa"/>
            <w:tcBorders>
              <w:top w:val="nil"/>
              <w:left w:val="nil"/>
              <w:bottom w:val="single" w:sz="4" w:space="0" w:color="auto"/>
              <w:right w:val="nil"/>
            </w:tcBorders>
            <w:shd w:val="clear" w:color="auto" w:fill="auto"/>
            <w:noWrap/>
            <w:vAlign w:val="bottom"/>
            <w:hideMark/>
          </w:tcPr>
          <w:p w14:paraId="562F65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0,30</w:t>
            </w:r>
          </w:p>
        </w:tc>
      </w:tr>
      <w:tr w:rsidR="008430BD" w:rsidRPr="001C3EC8" w14:paraId="20B2CDA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B4B040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502" w:type="dxa"/>
            <w:tcBorders>
              <w:top w:val="nil"/>
              <w:left w:val="nil"/>
              <w:bottom w:val="single" w:sz="4" w:space="0" w:color="auto"/>
              <w:right w:val="nil"/>
            </w:tcBorders>
            <w:shd w:val="clear" w:color="auto" w:fill="auto"/>
            <w:noWrap/>
            <w:vAlign w:val="bottom"/>
            <w:hideMark/>
          </w:tcPr>
          <w:p w14:paraId="77E659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287,0</w:t>
            </w:r>
          </w:p>
        </w:tc>
        <w:tc>
          <w:tcPr>
            <w:tcW w:w="1738" w:type="dxa"/>
            <w:tcBorders>
              <w:top w:val="nil"/>
              <w:left w:val="nil"/>
              <w:bottom w:val="single" w:sz="4" w:space="0" w:color="auto"/>
              <w:right w:val="nil"/>
            </w:tcBorders>
            <w:shd w:val="clear" w:color="auto" w:fill="auto"/>
            <w:noWrap/>
            <w:vAlign w:val="bottom"/>
            <w:hideMark/>
          </w:tcPr>
          <w:p w14:paraId="5B0F344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279,2</w:t>
            </w:r>
          </w:p>
        </w:tc>
        <w:tc>
          <w:tcPr>
            <w:tcW w:w="2460" w:type="dxa"/>
            <w:tcBorders>
              <w:top w:val="nil"/>
              <w:left w:val="nil"/>
              <w:bottom w:val="single" w:sz="4" w:space="0" w:color="auto"/>
              <w:right w:val="nil"/>
            </w:tcBorders>
            <w:shd w:val="clear" w:color="auto" w:fill="auto"/>
            <w:noWrap/>
            <w:vAlign w:val="bottom"/>
            <w:hideMark/>
          </w:tcPr>
          <w:p w14:paraId="71568ED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2,81</w:t>
            </w:r>
          </w:p>
        </w:tc>
      </w:tr>
      <w:tr w:rsidR="008430BD" w:rsidRPr="001C3EC8" w14:paraId="3CC24CB9"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06879FB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502" w:type="dxa"/>
            <w:tcBorders>
              <w:top w:val="nil"/>
              <w:left w:val="nil"/>
              <w:bottom w:val="double" w:sz="6" w:space="0" w:color="auto"/>
              <w:right w:val="nil"/>
            </w:tcBorders>
            <w:shd w:val="clear" w:color="auto" w:fill="auto"/>
            <w:noWrap/>
            <w:vAlign w:val="bottom"/>
            <w:hideMark/>
          </w:tcPr>
          <w:p w14:paraId="1C05E2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321,0</w:t>
            </w:r>
          </w:p>
        </w:tc>
        <w:tc>
          <w:tcPr>
            <w:tcW w:w="1738" w:type="dxa"/>
            <w:tcBorders>
              <w:top w:val="nil"/>
              <w:left w:val="nil"/>
              <w:bottom w:val="double" w:sz="6" w:space="0" w:color="auto"/>
              <w:right w:val="nil"/>
            </w:tcBorders>
            <w:shd w:val="clear" w:color="auto" w:fill="auto"/>
            <w:noWrap/>
            <w:vAlign w:val="bottom"/>
            <w:hideMark/>
          </w:tcPr>
          <w:p w14:paraId="28D3FD1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314,5</w:t>
            </w:r>
          </w:p>
        </w:tc>
        <w:tc>
          <w:tcPr>
            <w:tcW w:w="2460" w:type="dxa"/>
            <w:tcBorders>
              <w:top w:val="nil"/>
              <w:left w:val="nil"/>
              <w:bottom w:val="double" w:sz="6" w:space="0" w:color="auto"/>
              <w:right w:val="nil"/>
            </w:tcBorders>
            <w:shd w:val="clear" w:color="auto" w:fill="auto"/>
            <w:noWrap/>
            <w:vAlign w:val="bottom"/>
            <w:hideMark/>
          </w:tcPr>
          <w:p w14:paraId="67A194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2,07</w:t>
            </w:r>
          </w:p>
        </w:tc>
      </w:tr>
      <w:tr w:rsidR="008430BD" w:rsidRPr="001C3EC8" w14:paraId="5EA05E22"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05062263"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502" w:type="dxa"/>
            <w:tcBorders>
              <w:top w:val="nil"/>
              <w:left w:val="nil"/>
              <w:bottom w:val="double" w:sz="6" w:space="0" w:color="auto"/>
              <w:right w:val="nil"/>
            </w:tcBorders>
            <w:shd w:val="clear" w:color="auto" w:fill="auto"/>
            <w:noWrap/>
            <w:vAlign w:val="bottom"/>
            <w:hideMark/>
          </w:tcPr>
          <w:p w14:paraId="5761E6E3" w14:textId="7A19D3D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CB73FC">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832,5</w:t>
            </w:r>
          </w:p>
        </w:tc>
        <w:tc>
          <w:tcPr>
            <w:tcW w:w="1738" w:type="dxa"/>
            <w:tcBorders>
              <w:top w:val="nil"/>
              <w:left w:val="nil"/>
              <w:bottom w:val="double" w:sz="6" w:space="0" w:color="auto"/>
              <w:right w:val="nil"/>
            </w:tcBorders>
            <w:shd w:val="clear" w:color="auto" w:fill="auto"/>
            <w:noWrap/>
            <w:vAlign w:val="bottom"/>
            <w:hideMark/>
          </w:tcPr>
          <w:p w14:paraId="61E371C6" w14:textId="52C2B18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CB73FC">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778,8</w:t>
            </w:r>
          </w:p>
        </w:tc>
        <w:tc>
          <w:tcPr>
            <w:tcW w:w="2460" w:type="dxa"/>
            <w:tcBorders>
              <w:top w:val="nil"/>
              <w:left w:val="nil"/>
              <w:bottom w:val="double" w:sz="6" w:space="0" w:color="auto"/>
              <w:right w:val="nil"/>
            </w:tcBorders>
            <w:shd w:val="clear" w:color="auto" w:fill="auto"/>
            <w:noWrap/>
            <w:vAlign w:val="bottom"/>
            <w:hideMark/>
          </w:tcPr>
          <w:p w14:paraId="6D90949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3,02</w:t>
            </w:r>
          </w:p>
        </w:tc>
      </w:tr>
    </w:tbl>
    <w:p w14:paraId="49482813" w14:textId="52D8C37D" w:rsidR="008430BD" w:rsidRPr="001C3EC8" w:rsidRDefault="008430BD" w:rsidP="008430BD">
      <w:pPr>
        <w:pStyle w:val="OdstavecASR"/>
        <w:rPr>
          <w:color w:val="000000" w:themeColor="text1"/>
        </w:rPr>
      </w:pPr>
      <w:r w:rsidRPr="001C3EC8">
        <w:rPr>
          <w:color w:val="000000" w:themeColor="text1"/>
        </w:rPr>
        <w:t xml:space="preserve">V tabulce vidíme, že dlouhodobě jsou okresní soudy v „plusu“ oproti plánovanému počtu. To </w:t>
      </w:r>
      <w:r w:rsidR="00E74BB3" w:rsidRPr="001C3EC8">
        <w:rPr>
          <w:color w:val="000000" w:themeColor="text1"/>
        </w:rPr>
        <w:t>lze</w:t>
      </w:r>
      <w:r w:rsidRPr="001C3EC8">
        <w:rPr>
          <w:color w:val="000000" w:themeColor="text1"/>
        </w:rPr>
        <w:t xml:space="preserve"> koneckonců vidět </w:t>
      </w:r>
      <w:r w:rsidR="001B5E6A" w:rsidRPr="001C3EC8">
        <w:rPr>
          <w:color w:val="000000" w:themeColor="text1"/>
        </w:rPr>
        <w:t>i</w:t>
      </w:r>
      <w:r w:rsidR="001B5E6A">
        <w:rPr>
          <w:color w:val="000000" w:themeColor="text1"/>
        </w:rPr>
        <w:t> </w:t>
      </w:r>
      <w:r w:rsidRPr="001C3EC8">
        <w:rPr>
          <w:color w:val="000000" w:themeColor="text1"/>
        </w:rPr>
        <w:t xml:space="preserve">na grafu výše. Zdaleka nejvíce </w:t>
      </w:r>
      <w:r w:rsidR="005A1F05" w:rsidRPr="001C3EC8">
        <w:rPr>
          <w:color w:val="000000" w:themeColor="text1"/>
        </w:rPr>
        <w:t>to platí pro</w:t>
      </w:r>
      <w:r w:rsidRPr="001C3EC8">
        <w:rPr>
          <w:color w:val="000000" w:themeColor="text1"/>
        </w:rPr>
        <w:t xml:space="preserve"> obvodní soudy v Praze, což vyplývá z faktu, že tyto soudy mají specifickou agendu, </w:t>
      </w:r>
      <w:r w:rsidR="001B5E6A" w:rsidRPr="001C3EC8">
        <w:rPr>
          <w:color w:val="000000" w:themeColor="text1"/>
        </w:rPr>
        <w:t>a</w:t>
      </w:r>
      <w:r w:rsidR="001B5E6A">
        <w:rPr>
          <w:color w:val="000000" w:themeColor="text1"/>
        </w:rPr>
        <w:t> </w:t>
      </w:r>
      <w:r w:rsidRPr="001C3EC8">
        <w:rPr>
          <w:color w:val="000000" w:themeColor="text1"/>
        </w:rPr>
        <w:t xml:space="preserve">obecná měřítka tak dle systemizační komise ve vztahu k nim zcela neodráží realitu. Dlouhodobě mají vyšší počet evidenčních soudců Severočeský kraj, Jihomoravský kraj </w:t>
      </w:r>
      <w:r w:rsidR="001B5E6A" w:rsidRPr="001C3EC8">
        <w:rPr>
          <w:color w:val="000000" w:themeColor="text1"/>
        </w:rPr>
        <w:t>a</w:t>
      </w:r>
      <w:r w:rsidR="001B5E6A">
        <w:rPr>
          <w:color w:val="000000" w:themeColor="text1"/>
        </w:rPr>
        <w:t> </w:t>
      </w:r>
      <w:r w:rsidRPr="001C3EC8">
        <w:rPr>
          <w:color w:val="000000" w:themeColor="text1"/>
        </w:rPr>
        <w:t>Severomoravský kraj</w:t>
      </w:r>
      <w:r w:rsidR="005A1F05" w:rsidRPr="001C3EC8">
        <w:rPr>
          <w:color w:val="000000" w:themeColor="text1"/>
        </w:rPr>
        <w:t>, byť r</w:t>
      </w:r>
      <w:r w:rsidRPr="001C3EC8">
        <w:rPr>
          <w:color w:val="000000" w:themeColor="text1"/>
        </w:rPr>
        <w:t xml:space="preserve">ozdíl není velký. Zde se odráží posilování vybraných soudů v těchto krajích z důvodu velkého počtu nevyřízených věcí </w:t>
      </w:r>
      <w:r w:rsidR="001B5E6A" w:rsidRPr="001C3EC8">
        <w:rPr>
          <w:color w:val="000000" w:themeColor="text1"/>
        </w:rPr>
        <w:t>a</w:t>
      </w:r>
      <w:r w:rsidR="001B5E6A">
        <w:rPr>
          <w:color w:val="000000" w:themeColor="text1"/>
        </w:rPr>
        <w:t> </w:t>
      </w:r>
      <w:r w:rsidRPr="001C3EC8">
        <w:rPr>
          <w:color w:val="000000" w:themeColor="text1"/>
        </w:rPr>
        <w:t>vysokých délek řízení. Na závěr je třeba upozornit, že v systemizaci (v plánovaném počtu soudců) nejsou promítnuty všechny faktory (například počet nevyřízených věcí nebo počet věcí přerušených</w:t>
      </w:r>
      <w:r w:rsidRPr="001C3EC8">
        <w:rPr>
          <w:rStyle w:val="Znakapoznpodarou"/>
          <w:color w:val="000000" w:themeColor="text1"/>
        </w:rPr>
        <w:footnoteReference w:id="4"/>
      </w:r>
      <w:r w:rsidRPr="001C3EC8">
        <w:rPr>
          <w:color w:val="000000" w:themeColor="text1"/>
        </w:rPr>
        <w:t>).</w:t>
      </w:r>
    </w:p>
    <w:p w14:paraId="7036460E" w14:textId="51654C2E" w:rsidR="008430BD" w:rsidRPr="001C3EC8" w:rsidRDefault="008430BD" w:rsidP="008430BD">
      <w:pPr>
        <w:pStyle w:val="Nadpis3"/>
        <w:numPr>
          <w:ilvl w:val="2"/>
          <w:numId w:val="1"/>
        </w:numPr>
        <w:rPr>
          <w:color w:val="000000" w:themeColor="text1"/>
        </w:rPr>
      </w:pPr>
      <w:bookmarkStart w:id="60" w:name="_Ref3374388"/>
      <w:bookmarkStart w:id="61" w:name="_Ref10813793"/>
      <w:bookmarkStart w:id="62" w:name="_Toc75952054"/>
      <w:r w:rsidRPr="001C3EC8">
        <w:rPr>
          <w:color w:val="000000" w:themeColor="text1"/>
        </w:rPr>
        <w:t>Zaměstnanci ve výkonu</w:t>
      </w:r>
      <w:bookmarkEnd w:id="60"/>
      <w:r w:rsidRPr="001C3EC8">
        <w:rPr>
          <w:color w:val="000000" w:themeColor="text1"/>
        </w:rPr>
        <w:t xml:space="preserve"> </w:t>
      </w:r>
      <w:r w:rsidR="001B5E6A" w:rsidRPr="001C3EC8">
        <w:rPr>
          <w:color w:val="000000" w:themeColor="text1"/>
        </w:rPr>
        <w:t>a</w:t>
      </w:r>
      <w:r w:rsidR="001B5E6A">
        <w:rPr>
          <w:color w:val="000000" w:themeColor="text1"/>
        </w:rPr>
        <w:t> </w:t>
      </w:r>
      <w:r w:rsidRPr="001C3EC8">
        <w:rPr>
          <w:color w:val="000000" w:themeColor="text1"/>
        </w:rPr>
        <w:t>ve správě</w:t>
      </w:r>
      <w:bookmarkEnd w:id="61"/>
      <w:bookmarkEnd w:id="62"/>
    </w:p>
    <w:p w14:paraId="6D2A692A" w14:textId="12F89F14" w:rsidR="008430BD" w:rsidRPr="001C3EC8" w:rsidRDefault="008430BD" w:rsidP="008430BD">
      <w:pPr>
        <w:pStyle w:val="OdstavecASR"/>
        <w:rPr>
          <w:color w:val="000000" w:themeColor="text1"/>
        </w:rPr>
      </w:pPr>
      <w:r w:rsidRPr="001C3EC8">
        <w:rPr>
          <w:color w:val="000000" w:themeColor="text1"/>
        </w:rPr>
        <w:t>Vzhledem k většímu počtu kategorií zaměstnanců ve výkonu uvádíme pro zachování přehlednosti v tabulce níže pouze jejich počty k 1. 1. 2020, a to po krajích a pouze pro vybrané kategorie.</w:t>
      </w:r>
    </w:p>
    <w:p w14:paraId="0F11679F" w14:textId="497B3302" w:rsidR="008430BD" w:rsidRPr="001C3EC8" w:rsidRDefault="008430BD" w:rsidP="008430BD">
      <w:pPr>
        <w:pStyle w:val="Podnadpis"/>
        <w:rPr>
          <w:color w:val="000000" w:themeColor="text1"/>
        </w:rPr>
      </w:pPr>
      <w:bookmarkStart w:id="63" w:name="_Toc515871439"/>
      <w:bookmarkStart w:id="64" w:name="_Toc11133207"/>
      <w:bookmarkStart w:id="65" w:name="_Toc43931179"/>
      <w:bookmarkStart w:id="66" w:name="_Toc7595230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w:t>
      </w:r>
      <w:r w:rsidRPr="001C3EC8">
        <w:rPr>
          <w:noProof/>
          <w:color w:val="000000" w:themeColor="text1"/>
        </w:rPr>
        <w:fldChar w:fldCharType="end"/>
      </w:r>
      <w:r w:rsidRPr="001C3EC8">
        <w:rPr>
          <w:color w:val="000000" w:themeColor="text1"/>
        </w:rPr>
        <w:t>: OS – evidenční počet zaměstnanců ve výkonu dle krajů</w:t>
      </w:r>
      <w:bookmarkEnd w:id="63"/>
      <w:bookmarkEnd w:id="64"/>
      <w:bookmarkEnd w:id="65"/>
      <w:bookmarkEnd w:id="66"/>
    </w:p>
    <w:tbl>
      <w:tblPr>
        <w:tblW w:w="8720" w:type="dxa"/>
        <w:tblCellMar>
          <w:left w:w="70" w:type="dxa"/>
          <w:right w:w="70" w:type="dxa"/>
        </w:tblCellMar>
        <w:tblLook w:val="04A0" w:firstRow="1" w:lastRow="0" w:firstColumn="1" w:lastColumn="0" w:noHBand="0" w:noVBand="1"/>
      </w:tblPr>
      <w:tblGrid>
        <w:gridCol w:w="2080"/>
        <w:gridCol w:w="848"/>
        <w:gridCol w:w="570"/>
        <w:gridCol w:w="630"/>
        <w:gridCol w:w="630"/>
        <w:gridCol w:w="616"/>
        <w:gridCol w:w="793"/>
        <w:gridCol w:w="630"/>
        <w:gridCol w:w="536"/>
        <w:gridCol w:w="1387"/>
      </w:tblGrid>
      <w:tr w:rsidR="008430BD" w:rsidRPr="001C3EC8" w14:paraId="63BC0FDE" w14:textId="77777777" w:rsidTr="00E077F3">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29C0FFE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6640" w:type="dxa"/>
            <w:gridSpan w:val="9"/>
            <w:tcBorders>
              <w:top w:val="double" w:sz="6" w:space="0" w:color="auto"/>
              <w:left w:val="nil"/>
              <w:bottom w:val="nil"/>
              <w:right w:val="nil"/>
            </w:tcBorders>
            <w:shd w:val="clear" w:color="auto" w:fill="auto"/>
            <w:noWrap/>
            <w:vAlign w:val="bottom"/>
            <w:hideMark/>
          </w:tcPr>
          <w:p w14:paraId="6C25084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osob</w:t>
            </w:r>
          </w:p>
        </w:tc>
      </w:tr>
      <w:tr w:rsidR="008430BD" w:rsidRPr="001C3EC8" w14:paraId="7068B682" w14:textId="77777777" w:rsidTr="00E077F3">
        <w:trPr>
          <w:trHeight w:val="330"/>
        </w:trPr>
        <w:tc>
          <w:tcPr>
            <w:tcW w:w="2080" w:type="dxa"/>
            <w:vMerge/>
            <w:tcBorders>
              <w:top w:val="double" w:sz="6" w:space="0" w:color="auto"/>
              <w:left w:val="nil"/>
              <w:bottom w:val="double" w:sz="6" w:space="0" w:color="000000"/>
              <w:right w:val="nil"/>
            </w:tcBorders>
            <w:vAlign w:val="center"/>
            <w:hideMark/>
          </w:tcPr>
          <w:p w14:paraId="40B9A3C5"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848" w:type="dxa"/>
            <w:tcBorders>
              <w:top w:val="nil"/>
              <w:left w:val="nil"/>
              <w:bottom w:val="double" w:sz="6" w:space="0" w:color="auto"/>
              <w:right w:val="nil"/>
            </w:tcBorders>
            <w:shd w:val="clear" w:color="auto" w:fill="auto"/>
            <w:noWrap/>
            <w:vAlign w:val="bottom"/>
            <w:hideMark/>
          </w:tcPr>
          <w:p w14:paraId="2CCC9A8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VSÚ</w:t>
            </w:r>
          </w:p>
        </w:tc>
        <w:tc>
          <w:tcPr>
            <w:tcW w:w="570" w:type="dxa"/>
            <w:tcBorders>
              <w:top w:val="nil"/>
              <w:left w:val="nil"/>
              <w:bottom w:val="double" w:sz="6" w:space="0" w:color="auto"/>
              <w:right w:val="nil"/>
            </w:tcBorders>
            <w:shd w:val="clear" w:color="auto" w:fill="auto"/>
            <w:noWrap/>
            <w:vAlign w:val="bottom"/>
            <w:hideMark/>
          </w:tcPr>
          <w:p w14:paraId="4050FE5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ST</w:t>
            </w:r>
          </w:p>
        </w:tc>
        <w:tc>
          <w:tcPr>
            <w:tcW w:w="630" w:type="dxa"/>
            <w:tcBorders>
              <w:top w:val="nil"/>
              <w:left w:val="nil"/>
              <w:bottom w:val="double" w:sz="6" w:space="0" w:color="auto"/>
              <w:right w:val="nil"/>
            </w:tcBorders>
            <w:shd w:val="clear" w:color="auto" w:fill="auto"/>
            <w:noWrap/>
            <w:vAlign w:val="bottom"/>
            <w:hideMark/>
          </w:tcPr>
          <w:p w14:paraId="7E3A2C8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A</w:t>
            </w:r>
          </w:p>
        </w:tc>
        <w:tc>
          <w:tcPr>
            <w:tcW w:w="630" w:type="dxa"/>
            <w:tcBorders>
              <w:top w:val="nil"/>
              <w:left w:val="nil"/>
              <w:bottom w:val="double" w:sz="6" w:space="0" w:color="auto"/>
              <w:right w:val="nil"/>
            </w:tcBorders>
            <w:shd w:val="clear" w:color="auto" w:fill="auto"/>
            <w:noWrap/>
            <w:vAlign w:val="bottom"/>
            <w:hideMark/>
          </w:tcPr>
          <w:p w14:paraId="18CAA6C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VK</w:t>
            </w:r>
          </w:p>
        </w:tc>
        <w:tc>
          <w:tcPr>
            <w:tcW w:w="616" w:type="dxa"/>
            <w:tcBorders>
              <w:top w:val="nil"/>
              <w:left w:val="nil"/>
              <w:bottom w:val="double" w:sz="6" w:space="0" w:color="auto"/>
              <w:right w:val="nil"/>
            </w:tcBorders>
            <w:shd w:val="clear" w:color="auto" w:fill="auto"/>
            <w:noWrap/>
            <w:vAlign w:val="bottom"/>
            <w:hideMark/>
          </w:tcPr>
          <w:p w14:paraId="316D36F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PÚ</w:t>
            </w:r>
          </w:p>
        </w:tc>
        <w:tc>
          <w:tcPr>
            <w:tcW w:w="793" w:type="dxa"/>
            <w:tcBorders>
              <w:top w:val="nil"/>
              <w:left w:val="nil"/>
              <w:bottom w:val="double" w:sz="6" w:space="0" w:color="auto"/>
              <w:right w:val="nil"/>
            </w:tcBorders>
            <w:shd w:val="clear" w:color="auto" w:fill="auto"/>
            <w:noWrap/>
            <w:vAlign w:val="bottom"/>
            <w:hideMark/>
          </w:tcPr>
          <w:p w14:paraId="45E2D30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Z</w:t>
            </w:r>
          </w:p>
        </w:tc>
        <w:tc>
          <w:tcPr>
            <w:tcW w:w="630" w:type="dxa"/>
            <w:tcBorders>
              <w:top w:val="nil"/>
              <w:left w:val="nil"/>
              <w:bottom w:val="double" w:sz="6" w:space="0" w:color="auto"/>
              <w:right w:val="nil"/>
            </w:tcBorders>
            <w:shd w:val="clear" w:color="auto" w:fill="auto"/>
            <w:noWrap/>
            <w:vAlign w:val="bottom"/>
            <w:hideMark/>
          </w:tcPr>
          <w:p w14:paraId="29C5EAC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RV</w:t>
            </w:r>
          </w:p>
        </w:tc>
        <w:tc>
          <w:tcPr>
            <w:tcW w:w="536" w:type="dxa"/>
            <w:tcBorders>
              <w:top w:val="nil"/>
              <w:left w:val="nil"/>
              <w:bottom w:val="double" w:sz="6" w:space="0" w:color="auto"/>
              <w:right w:val="nil"/>
            </w:tcBorders>
            <w:shd w:val="clear" w:color="auto" w:fill="auto"/>
            <w:noWrap/>
            <w:vAlign w:val="bottom"/>
            <w:hideMark/>
          </w:tcPr>
          <w:p w14:paraId="28CD12E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SV</w:t>
            </w:r>
          </w:p>
        </w:tc>
        <w:tc>
          <w:tcPr>
            <w:tcW w:w="1387" w:type="dxa"/>
            <w:tcBorders>
              <w:top w:val="nil"/>
              <w:left w:val="nil"/>
              <w:bottom w:val="double" w:sz="6" w:space="0" w:color="auto"/>
              <w:right w:val="nil"/>
            </w:tcBorders>
            <w:shd w:val="clear" w:color="auto" w:fill="auto"/>
            <w:noWrap/>
            <w:vAlign w:val="bottom"/>
            <w:hideMark/>
          </w:tcPr>
          <w:p w14:paraId="5E5B521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Celkem</w:t>
            </w:r>
          </w:p>
        </w:tc>
      </w:tr>
      <w:tr w:rsidR="008430BD" w:rsidRPr="001C3EC8" w14:paraId="453F28CB" w14:textId="77777777" w:rsidTr="00E077F3">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7C2E92F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48" w:type="dxa"/>
            <w:tcBorders>
              <w:top w:val="single" w:sz="4" w:space="0" w:color="auto"/>
              <w:left w:val="nil"/>
              <w:bottom w:val="single" w:sz="4" w:space="0" w:color="auto"/>
              <w:right w:val="nil"/>
            </w:tcBorders>
            <w:shd w:val="clear" w:color="auto" w:fill="auto"/>
            <w:noWrap/>
            <w:vAlign w:val="bottom"/>
            <w:hideMark/>
          </w:tcPr>
          <w:p w14:paraId="21C9ADD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w:t>
            </w:r>
          </w:p>
        </w:tc>
        <w:tc>
          <w:tcPr>
            <w:tcW w:w="570" w:type="dxa"/>
            <w:tcBorders>
              <w:top w:val="single" w:sz="4" w:space="0" w:color="auto"/>
              <w:left w:val="nil"/>
              <w:bottom w:val="single" w:sz="4" w:space="0" w:color="auto"/>
              <w:right w:val="nil"/>
            </w:tcBorders>
            <w:shd w:val="clear" w:color="auto" w:fill="auto"/>
            <w:noWrap/>
            <w:vAlign w:val="bottom"/>
            <w:hideMark/>
          </w:tcPr>
          <w:p w14:paraId="511E879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w:t>
            </w:r>
          </w:p>
        </w:tc>
        <w:tc>
          <w:tcPr>
            <w:tcW w:w="630" w:type="dxa"/>
            <w:tcBorders>
              <w:top w:val="single" w:sz="4" w:space="0" w:color="auto"/>
              <w:left w:val="nil"/>
              <w:bottom w:val="single" w:sz="4" w:space="0" w:color="auto"/>
              <w:right w:val="nil"/>
            </w:tcBorders>
            <w:shd w:val="clear" w:color="auto" w:fill="auto"/>
            <w:noWrap/>
            <w:vAlign w:val="bottom"/>
            <w:hideMark/>
          </w:tcPr>
          <w:p w14:paraId="1B4483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149</w:t>
            </w:r>
          </w:p>
        </w:tc>
        <w:tc>
          <w:tcPr>
            <w:tcW w:w="630" w:type="dxa"/>
            <w:tcBorders>
              <w:top w:val="single" w:sz="4" w:space="0" w:color="auto"/>
              <w:left w:val="nil"/>
              <w:bottom w:val="single" w:sz="4" w:space="0" w:color="auto"/>
              <w:right w:val="nil"/>
            </w:tcBorders>
            <w:shd w:val="clear" w:color="auto" w:fill="auto"/>
            <w:noWrap/>
            <w:vAlign w:val="bottom"/>
            <w:hideMark/>
          </w:tcPr>
          <w:p w14:paraId="2E6533D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183</w:t>
            </w:r>
          </w:p>
        </w:tc>
        <w:tc>
          <w:tcPr>
            <w:tcW w:w="616" w:type="dxa"/>
            <w:tcBorders>
              <w:top w:val="single" w:sz="4" w:space="0" w:color="auto"/>
              <w:left w:val="nil"/>
              <w:bottom w:val="single" w:sz="4" w:space="0" w:color="auto"/>
              <w:right w:val="nil"/>
            </w:tcBorders>
            <w:shd w:val="clear" w:color="auto" w:fill="auto"/>
            <w:noWrap/>
            <w:vAlign w:val="bottom"/>
            <w:hideMark/>
          </w:tcPr>
          <w:p w14:paraId="7B8375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w:t>
            </w:r>
          </w:p>
        </w:tc>
        <w:tc>
          <w:tcPr>
            <w:tcW w:w="793" w:type="dxa"/>
            <w:tcBorders>
              <w:top w:val="single" w:sz="4" w:space="0" w:color="auto"/>
              <w:left w:val="nil"/>
              <w:bottom w:val="single" w:sz="4" w:space="0" w:color="auto"/>
              <w:right w:val="nil"/>
            </w:tcBorders>
            <w:shd w:val="clear" w:color="auto" w:fill="auto"/>
            <w:noWrap/>
            <w:vAlign w:val="bottom"/>
            <w:hideMark/>
          </w:tcPr>
          <w:p w14:paraId="7D3DF0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w:t>
            </w:r>
          </w:p>
        </w:tc>
        <w:tc>
          <w:tcPr>
            <w:tcW w:w="630" w:type="dxa"/>
            <w:tcBorders>
              <w:top w:val="single" w:sz="4" w:space="0" w:color="auto"/>
              <w:left w:val="nil"/>
              <w:bottom w:val="single" w:sz="4" w:space="0" w:color="auto"/>
              <w:right w:val="nil"/>
            </w:tcBorders>
            <w:shd w:val="clear" w:color="auto" w:fill="auto"/>
            <w:noWrap/>
            <w:vAlign w:val="bottom"/>
            <w:hideMark/>
          </w:tcPr>
          <w:p w14:paraId="4C52A1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w:t>
            </w:r>
          </w:p>
        </w:tc>
        <w:tc>
          <w:tcPr>
            <w:tcW w:w="536" w:type="dxa"/>
            <w:tcBorders>
              <w:top w:val="single" w:sz="4" w:space="0" w:color="auto"/>
              <w:left w:val="nil"/>
              <w:bottom w:val="single" w:sz="4" w:space="0" w:color="auto"/>
              <w:right w:val="nil"/>
            </w:tcBorders>
            <w:shd w:val="clear" w:color="auto" w:fill="auto"/>
            <w:noWrap/>
            <w:vAlign w:val="bottom"/>
            <w:hideMark/>
          </w:tcPr>
          <w:p w14:paraId="18FE2D0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1387" w:type="dxa"/>
            <w:tcBorders>
              <w:top w:val="single" w:sz="4" w:space="0" w:color="auto"/>
              <w:left w:val="nil"/>
              <w:bottom w:val="single" w:sz="4" w:space="0" w:color="auto"/>
              <w:right w:val="nil"/>
            </w:tcBorders>
            <w:shd w:val="clear" w:color="auto" w:fill="auto"/>
            <w:noWrap/>
            <w:vAlign w:val="bottom"/>
            <w:hideMark/>
          </w:tcPr>
          <w:p w14:paraId="6A11BAF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705</w:t>
            </w:r>
          </w:p>
        </w:tc>
      </w:tr>
      <w:tr w:rsidR="008430BD" w:rsidRPr="001C3EC8" w14:paraId="37D6E1BE"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230CC60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48" w:type="dxa"/>
            <w:tcBorders>
              <w:top w:val="nil"/>
              <w:left w:val="nil"/>
              <w:bottom w:val="single" w:sz="4" w:space="0" w:color="auto"/>
              <w:right w:val="nil"/>
            </w:tcBorders>
            <w:shd w:val="clear" w:color="auto" w:fill="auto"/>
            <w:noWrap/>
            <w:vAlign w:val="bottom"/>
            <w:hideMark/>
          </w:tcPr>
          <w:p w14:paraId="3C1572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w:t>
            </w:r>
          </w:p>
        </w:tc>
        <w:tc>
          <w:tcPr>
            <w:tcW w:w="570" w:type="dxa"/>
            <w:tcBorders>
              <w:top w:val="nil"/>
              <w:left w:val="nil"/>
              <w:bottom w:val="single" w:sz="4" w:space="0" w:color="auto"/>
              <w:right w:val="nil"/>
            </w:tcBorders>
            <w:shd w:val="clear" w:color="auto" w:fill="auto"/>
            <w:noWrap/>
            <w:vAlign w:val="bottom"/>
            <w:hideMark/>
          </w:tcPr>
          <w:p w14:paraId="1DCBEE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w:t>
            </w:r>
          </w:p>
        </w:tc>
        <w:tc>
          <w:tcPr>
            <w:tcW w:w="630" w:type="dxa"/>
            <w:tcBorders>
              <w:top w:val="nil"/>
              <w:left w:val="nil"/>
              <w:bottom w:val="single" w:sz="4" w:space="0" w:color="auto"/>
              <w:right w:val="nil"/>
            </w:tcBorders>
            <w:shd w:val="clear" w:color="auto" w:fill="auto"/>
            <w:noWrap/>
            <w:vAlign w:val="bottom"/>
            <w:hideMark/>
          </w:tcPr>
          <w:p w14:paraId="3390CB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w:t>
            </w:r>
          </w:p>
        </w:tc>
        <w:tc>
          <w:tcPr>
            <w:tcW w:w="630" w:type="dxa"/>
            <w:tcBorders>
              <w:top w:val="nil"/>
              <w:left w:val="nil"/>
              <w:bottom w:val="single" w:sz="4" w:space="0" w:color="auto"/>
              <w:right w:val="nil"/>
            </w:tcBorders>
            <w:shd w:val="clear" w:color="auto" w:fill="auto"/>
            <w:noWrap/>
            <w:vAlign w:val="bottom"/>
            <w:hideMark/>
          </w:tcPr>
          <w:p w14:paraId="54CA87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w:t>
            </w:r>
          </w:p>
        </w:tc>
        <w:tc>
          <w:tcPr>
            <w:tcW w:w="616" w:type="dxa"/>
            <w:tcBorders>
              <w:top w:val="nil"/>
              <w:left w:val="nil"/>
              <w:bottom w:val="single" w:sz="4" w:space="0" w:color="auto"/>
              <w:right w:val="nil"/>
            </w:tcBorders>
            <w:shd w:val="clear" w:color="auto" w:fill="auto"/>
            <w:noWrap/>
            <w:vAlign w:val="bottom"/>
            <w:hideMark/>
          </w:tcPr>
          <w:p w14:paraId="78CC0B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w:t>
            </w:r>
          </w:p>
        </w:tc>
        <w:tc>
          <w:tcPr>
            <w:tcW w:w="793" w:type="dxa"/>
            <w:tcBorders>
              <w:top w:val="nil"/>
              <w:left w:val="nil"/>
              <w:bottom w:val="single" w:sz="4" w:space="0" w:color="auto"/>
              <w:right w:val="nil"/>
            </w:tcBorders>
            <w:shd w:val="clear" w:color="auto" w:fill="auto"/>
            <w:noWrap/>
            <w:vAlign w:val="bottom"/>
            <w:hideMark/>
          </w:tcPr>
          <w:p w14:paraId="46DB2C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c>
          <w:tcPr>
            <w:tcW w:w="630" w:type="dxa"/>
            <w:tcBorders>
              <w:top w:val="nil"/>
              <w:left w:val="nil"/>
              <w:bottom w:val="single" w:sz="4" w:space="0" w:color="auto"/>
              <w:right w:val="nil"/>
            </w:tcBorders>
            <w:shd w:val="clear" w:color="auto" w:fill="auto"/>
            <w:noWrap/>
            <w:vAlign w:val="bottom"/>
            <w:hideMark/>
          </w:tcPr>
          <w:p w14:paraId="613F1B7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536" w:type="dxa"/>
            <w:tcBorders>
              <w:top w:val="nil"/>
              <w:left w:val="nil"/>
              <w:bottom w:val="single" w:sz="4" w:space="0" w:color="auto"/>
              <w:right w:val="nil"/>
            </w:tcBorders>
            <w:shd w:val="clear" w:color="auto" w:fill="auto"/>
            <w:noWrap/>
            <w:vAlign w:val="bottom"/>
            <w:hideMark/>
          </w:tcPr>
          <w:p w14:paraId="4D0DF6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w:t>
            </w:r>
          </w:p>
        </w:tc>
        <w:tc>
          <w:tcPr>
            <w:tcW w:w="1387" w:type="dxa"/>
            <w:tcBorders>
              <w:top w:val="nil"/>
              <w:left w:val="nil"/>
              <w:bottom w:val="single" w:sz="4" w:space="0" w:color="auto"/>
              <w:right w:val="nil"/>
            </w:tcBorders>
            <w:shd w:val="clear" w:color="auto" w:fill="auto"/>
            <w:noWrap/>
            <w:vAlign w:val="bottom"/>
            <w:hideMark/>
          </w:tcPr>
          <w:p w14:paraId="2BAA1AE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455</w:t>
            </w:r>
          </w:p>
        </w:tc>
      </w:tr>
      <w:tr w:rsidR="008430BD" w:rsidRPr="001C3EC8" w14:paraId="659FD25D"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499EF6F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48" w:type="dxa"/>
            <w:tcBorders>
              <w:top w:val="nil"/>
              <w:left w:val="nil"/>
              <w:bottom w:val="single" w:sz="4" w:space="0" w:color="auto"/>
              <w:right w:val="nil"/>
            </w:tcBorders>
            <w:shd w:val="clear" w:color="auto" w:fill="auto"/>
            <w:noWrap/>
            <w:vAlign w:val="bottom"/>
            <w:hideMark/>
          </w:tcPr>
          <w:p w14:paraId="72760D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570" w:type="dxa"/>
            <w:tcBorders>
              <w:top w:val="nil"/>
              <w:left w:val="nil"/>
              <w:bottom w:val="single" w:sz="4" w:space="0" w:color="auto"/>
              <w:right w:val="nil"/>
            </w:tcBorders>
            <w:shd w:val="clear" w:color="auto" w:fill="auto"/>
            <w:noWrap/>
            <w:vAlign w:val="bottom"/>
            <w:hideMark/>
          </w:tcPr>
          <w:p w14:paraId="35FFD6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630" w:type="dxa"/>
            <w:tcBorders>
              <w:top w:val="nil"/>
              <w:left w:val="nil"/>
              <w:bottom w:val="single" w:sz="4" w:space="0" w:color="auto"/>
              <w:right w:val="nil"/>
            </w:tcBorders>
            <w:shd w:val="clear" w:color="auto" w:fill="auto"/>
            <w:noWrap/>
            <w:vAlign w:val="bottom"/>
            <w:hideMark/>
          </w:tcPr>
          <w:p w14:paraId="32DC2F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w:t>
            </w:r>
          </w:p>
        </w:tc>
        <w:tc>
          <w:tcPr>
            <w:tcW w:w="630" w:type="dxa"/>
            <w:tcBorders>
              <w:top w:val="nil"/>
              <w:left w:val="nil"/>
              <w:bottom w:val="single" w:sz="4" w:space="0" w:color="auto"/>
              <w:right w:val="nil"/>
            </w:tcBorders>
            <w:shd w:val="clear" w:color="auto" w:fill="auto"/>
            <w:noWrap/>
            <w:vAlign w:val="bottom"/>
            <w:hideMark/>
          </w:tcPr>
          <w:p w14:paraId="441DBE7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73</w:t>
            </w:r>
          </w:p>
        </w:tc>
        <w:tc>
          <w:tcPr>
            <w:tcW w:w="616" w:type="dxa"/>
            <w:tcBorders>
              <w:top w:val="nil"/>
              <w:left w:val="nil"/>
              <w:bottom w:val="single" w:sz="4" w:space="0" w:color="auto"/>
              <w:right w:val="nil"/>
            </w:tcBorders>
            <w:shd w:val="clear" w:color="auto" w:fill="auto"/>
            <w:noWrap/>
            <w:vAlign w:val="bottom"/>
            <w:hideMark/>
          </w:tcPr>
          <w:p w14:paraId="4421958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w:t>
            </w:r>
          </w:p>
        </w:tc>
        <w:tc>
          <w:tcPr>
            <w:tcW w:w="793" w:type="dxa"/>
            <w:tcBorders>
              <w:top w:val="nil"/>
              <w:left w:val="nil"/>
              <w:bottom w:val="single" w:sz="4" w:space="0" w:color="auto"/>
              <w:right w:val="nil"/>
            </w:tcBorders>
            <w:shd w:val="clear" w:color="auto" w:fill="auto"/>
            <w:noWrap/>
            <w:vAlign w:val="bottom"/>
            <w:hideMark/>
          </w:tcPr>
          <w:p w14:paraId="577341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w:t>
            </w:r>
          </w:p>
        </w:tc>
        <w:tc>
          <w:tcPr>
            <w:tcW w:w="630" w:type="dxa"/>
            <w:tcBorders>
              <w:top w:val="nil"/>
              <w:left w:val="nil"/>
              <w:bottom w:val="single" w:sz="4" w:space="0" w:color="auto"/>
              <w:right w:val="nil"/>
            </w:tcBorders>
            <w:shd w:val="clear" w:color="auto" w:fill="auto"/>
            <w:noWrap/>
            <w:vAlign w:val="bottom"/>
            <w:hideMark/>
          </w:tcPr>
          <w:p w14:paraId="7BAE42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536" w:type="dxa"/>
            <w:tcBorders>
              <w:top w:val="nil"/>
              <w:left w:val="nil"/>
              <w:bottom w:val="single" w:sz="4" w:space="0" w:color="auto"/>
              <w:right w:val="nil"/>
            </w:tcBorders>
            <w:shd w:val="clear" w:color="auto" w:fill="auto"/>
            <w:noWrap/>
            <w:vAlign w:val="bottom"/>
            <w:hideMark/>
          </w:tcPr>
          <w:p w14:paraId="6737747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w:t>
            </w:r>
          </w:p>
        </w:tc>
        <w:tc>
          <w:tcPr>
            <w:tcW w:w="1387" w:type="dxa"/>
            <w:tcBorders>
              <w:top w:val="nil"/>
              <w:left w:val="nil"/>
              <w:bottom w:val="single" w:sz="4" w:space="0" w:color="auto"/>
              <w:right w:val="nil"/>
            </w:tcBorders>
            <w:shd w:val="clear" w:color="auto" w:fill="auto"/>
            <w:noWrap/>
            <w:vAlign w:val="bottom"/>
            <w:hideMark/>
          </w:tcPr>
          <w:p w14:paraId="557ADDE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289</w:t>
            </w:r>
          </w:p>
        </w:tc>
      </w:tr>
      <w:tr w:rsidR="008430BD" w:rsidRPr="001C3EC8" w14:paraId="211C6674"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3F5625C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48" w:type="dxa"/>
            <w:tcBorders>
              <w:top w:val="nil"/>
              <w:left w:val="nil"/>
              <w:bottom w:val="single" w:sz="4" w:space="0" w:color="auto"/>
              <w:right w:val="nil"/>
            </w:tcBorders>
            <w:shd w:val="clear" w:color="auto" w:fill="auto"/>
            <w:noWrap/>
            <w:vAlign w:val="bottom"/>
            <w:hideMark/>
          </w:tcPr>
          <w:p w14:paraId="66F3537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w:t>
            </w:r>
          </w:p>
        </w:tc>
        <w:tc>
          <w:tcPr>
            <w:tcW w:w="570" w:type="dxa"/>
            <w:tcBorders>
              <w:top w:val="nil"/>
              <w:left w:val="nil"/>
              <w:bottom w:val="single" w:sz="4" w:space="0" w:color="auto"/>
              <w:right w:val="nil"/>
            </w:tcBorders>
            <w:shd w:val="clear" w:color="auto" w:fill="auto"/>
            <w:noWrap/>
            <w:vAlign w:val="bottom"/>
            <w:hideMark/>
          </w:tcPr>
          <w:p w14:paraId="1FD72F0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630" w:type="dxa"/>
            <w:tcBorders>
              <w:top w:val="nil"/>
              <w:left w:val="nil"/>
              <w:bottom w:val="single" w:sz="4" w:space="0" w:color="auto"/>
              <w:right w:val="nil"/>
            </w:tcBorders>
            <w:shd w:val="clear" w:color="auto" w:fill="auto"/>
            <w:noWrap/>
            <w:vAlign w:val="bottom"/>
            <w:hideMark/>
          </w:tcPr>
          <w:p w14:paraId="1D346EC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p>
        </w:tc>
        <w:tc>
          <w:tcPr>
            <w:tcW w:w="630" w:type="dxa"/>
            <w:tcBorders>
              <w:top w:val="nil"/>
              <w:left w:val="nil"/>
              <w:bottom w:val="single" w:sz="4" w:space="0" w:color="auto"/>
              <w:right w:val="nil"/>
            </w:tcBorders>
            <w:shd w:val="clear" w:color="auto" w:fill="auto"/>
            <w:noWrap/>
            <w:vAlign w:val="bottom"/>
            <w:hideMark/>
          </w:tcPr>
          <w:p w14:paraId="7F8B4B9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w:t>
            </w:r>
          </w:p>
        </w:tc>
        <w:tc>
          <w:tcPr>
            <w:tcW w:w="616" w:type="dxa"/>
            <w:tcBorders>
              <w:top w:val="nil"/>
              <w:left w:val="nil"/>
              <w:bottom w:val="single" w:sz="4" w:space="0" w:color="auto"/>
              <w:right w:val="nil"/>
            </w:tcBorders>
            <w:shd w:val="clear" w:color="auto" w:fill="auto"/>
            <w:noWrap/>
            <w:vAlign w:val="bottom"/>
            <w:hideMark/>
          </w:tcPr>
          <w:p w14:paraId="1DE0DF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w:t>
            </w:r>
          </w:p>
        </w:tc>
        <w:tc>
          <w:tcPr>
            <w:tcW w:w="793" w:type="dxa"/>
            <w:tcBorders>
              <w:top w:val="nil"/>
              <w:left w:val="nil"/>
              <w:bottom w:val="single" w:sz="4" w:space="0" w:color="auto"/>
              <w:right w:val="nil"/>
            </w:tcBorders>
            <w:shd w:val="clear" w:color="auto" w:fill="auto"/>
            <w:noWrap/>
            <w:vAlign w:val="bottom"/>
            <w:hideMark/>
          </w:tcPr>
          <w:p w14:paraId="56EA98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w:t>
            </w:r>
          </w:p>
        </w:tc>
        <w:tc>
          <w:tcPr>
            <w:tcW w:w="630" w:type="dxa"/>
            <w:tcBorders>
              <w:top w:val="nil"/>
              <w:left w:val="nil"/>
              <w:bottom w:val="single" w:sz="4" w:space="0" w:color="auto"/>
              <w:right w:val="nil"/>
            </w:tcBorders>
            <w:shd w:val="clear" w:color="auto" w:fill="auto"/>
            <w:noWrap/>
            <w:vAlign w:val="bottom"/>
            <w:hideMark/>
          </w:tcPr>
          <w:p w14:paraId="00DFA0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w:t>
            </w:r>
          </w:p>
        </w:tc>
        <w:tc>
          <w:tcPr>
            <w:tcW w:w="536" w:type="dxa"/>
            <w:tcBorders>
              <w:top w:val="nil"/>
              <w:left w:val="nil"/>
              <w:bottom w:val="single" w:sz="4" w:space="0" w:color="auto"/>
              <w:right w:val="nil"/>
            </w:tcBorders>
            <w:shd w:val="clear" w:color="auto" w:fill="auto"/>
            <w:noWrap/>
            <w:vAlign w:val="bottom"/>
            <w:hideMark/>
          </w:tcPr>
          <w:p w14:paraId="1E2D572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387" w:type="dxa"/>
            <w:tcBorders>
              <w:top w:val="nil"/>
              <w:left w:val="nil"/>
              <w:bottom w:val="single" w:sz="4" w:space="0" w:color="auto"/>
              <w:right w:val="nil"/>
            </w:tcBorders>
            <w:shd w:val="clear" w:color="auto" w:fill="auto"/>
            <w:noWrap/>
            <w:vAlign w:val="bottom"/>
            <w:hideMark/>
          </w:tcPr>
          <w:p w14:paraId="4C7434D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397</w:t>
            </w:r>
          </w:p>
        </w:tc>
      </w:tr>
      <w:tr w:rsidR="008430BD" w:rsidRPr="001C3EC8" w14:paraId="1C9D3987"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5993247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48" w:type="dxa"/>
            <w:tcBorders>
              <w:top w:val="nil"/>
              <w:left w:val="nil"/>
              <w:bottom w:val="single" w:sz="4" w:space="0" w:color="auto"/>
              <w:right w:val="nil"/>
            </w:tcBorders>
            <w:shd w:val="clear" w:color="auto" w:fill="auto"/>
            <w:noWrap/>
            <w:vAlign w:val="bottom"/>
            <w:hideMark/>
          </w:tcPr>
          <w:p w14:paraId="7CE9D4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156</w:t>
            </w:r>
          </w:p>
        </w:tc>
        <w:tc>
          <w:tcPr>
            <w:tcW w:w="570" w:type="dxa"/>
            <w:tcBorders>
              <w:top w:val="nil"/>
              <w:left w:val="nil"/>
              <w:bottom w:val="single" w:sz="4" w:space="0" w:color="auto"/>
              <w:right w:val="nil"/>
            </w:tcBorders>
            <w:shd w:val="clear" w:color="auto" w:fill="auto"/>
            <w:noWrap/>
            <w:vAlign w:val="bottom"/>
            <w:hideMark/>
          </w:tcPr>
          <w:p w14:paraId="318FB6B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630" w:type="dxa"/>
            <w:tcBorders>
              <w:top w:val="nil"/>
              <w:left w:val="nil"/>
              <w:bottom w:val="single" w:sz="4" w:space="0" w:color="auto"/>
              <w:right w:val="nil"/>
            </w:tcBorders>
            <w:shd w:val="clear" w:color="auto" w:fill="auto"/>
            <w:noWrap/>
            <w:vAlign w:val="bottom"/>
            <w:hideMark/>
          </w:tcPr>
          <w:p w14:paraId="7161CF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w:t>
            </w:r>
          </w:p>
        </w:tc>
        <w:tc>
          <w:tcPr>
            <w:tcW w:w="630" w:type="dxa"/>
            <w:tcBorders>
              <w:top w:val="nil"/>
              <w:left w:val="nil"/>
              <w:bottom w:val="single" w:sz="4" w:space="0" w:color="auto"/>
              <w:right w:val="nil"/>
            </w:tcBorders>
            <w:shd w:val="clear" w:color="auto" w:fill="auto"/>
            <w:noWrap/>
            <w:vAlign w:val="bottom"/>
            <w:hideMark/>
          </w:tcPr>
          <w:p w14:paraId="507235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w:t>
            </w:r>
          </w:p>
        </w:tc>
        <w:tc>
          <w:tcPr>
            <w:tcW w:w="616" w:type="dxa"/>
            <w:tcBorders>
              <w:top w:val="nil"/>
              <w:left w:val="nil"/>
              <w:bottom w:val="single" w:sz="4" w:space="0" w:color="auto"/>
              <w:right w:val="nil"/>
            </w:tcBorders>
            <w:shd w:val="clear" w:color="auto" w:fill="auto"/>
            <w:noWrap/>
            <w:vAlign w:val="bottom"/>
            <w:hideMark/>
          </w:tcPr>
          <w:p w14:paraId="4884D66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w:t>
            </w:r>
          </w:p>
        </w:tc>
        <w:tc>
          <w:tcPr>
            <w:tcW w:w="793" w:type="dxa"/>
            <w:tcBorders>
              <w:top w:val="nil"/>
              <w:left w:val="nil"/>
              <w:bottom w:val="single" w:sz="4" w:space="0" w:color="auto"/>
              <w:right w:val="nil"/>
            </w:tcBorders>
            <w:shd w:val="clear" w:color="auto" w:fill="auto"/>
            <w:noWrap/>
            <w:vAlign w:val="bottom"/>
            <w:hideMark/>
          </w:tcPr>
          <w:p w14:paraId="2B21E41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630" w:type="dxa"/>
            <w:tcBorders>
              <w:top w:val="nil"/>
              <w:left w:val="nil"/>
              <w:bottom w:val="single" w:sz="4" w:space="0" w:color="auto"/>
              <w:right w:val="nil"/>
            </w:tcBorders>
            <w:shd w:val="clear" w:color="auto" w:fill="auto"/>
            <w:noWrap/>
            <w:vAlign w:val="bottom"/>
            <w:hideMark/>
          </w:tcPr>
          <w:p w14:paraId="4E391D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w:t>
            </w:r>
          </w:p>
        </w:tc>
        <w:tc>
          <w:tcPr>
            <w:tcW w:w="536" w:type="dxa"/>
            <w:tcBorders>
              <w:top w:val="nil"/>
              <w:left w:val="nil"/>
              <w:bottom w:val="single" w:sz="4" w:space="0" w:color="auto"/>
              <w:right w:val="nil"/>
            </w:tcBorders>
            <w:shd w:val="clear" w:color="auto" w:fill="auto"/>
            <w:noWrap/>
            <w:vAlign w:val="bottom"/>
            <w:hideMark/>
          </w:tcPr>
          <w:p w14:paraId="0025FA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1387" w:type="dxa"/>
            <w:tcBorders>
              <w:top w:val="nil"/>
              <w:left w:val="nil"/>
              <w:bottom w:val="single" w:sz="4" w:space="0" w:color="auto"/>
              <w:right w:val="nil"/>
            </w:tcBorders>
            <w:shd w:val="clear" w:color="auto" w:fill="auto"/>
            <w:noWrap/>
            <w:vAlign w:val="bottom"/>
            <w:hideMark/>
          </w:tcPr>
          <w:p w14:paraId="4C1A00C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642</w:t>
            </w:r>
          </w:p>
        </w:tc>
      </w:tr>
      <w:tr w:rsidR="008430BD" w:rsidRPr="001C3EC8" w14:paraId="1F7FE101"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56B4A05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48" w:type="dxa"/>
            <w:tcBorders>
              <w:top w:val="nil"/>
              <w:left w:val="nil"/>
              <w:bottom w:val="single" w:sz="4" w:space="0" w:color="auto"/>
              <w:right w:val="nil"/>
            </w:tcBorders>
            <w:shd w:val="clear" w:color="auto" w:fill="auto"/>
            <w:noWrap/>
            <w:vAlign w:val="bottom"/>
            <w:hideMark/>
          </w:tcPr>
          <w:p w14:paraId="6A793C6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w:t>
            </w:r>
          </w:p>
        </w:tc>
        <w:tc>
          <w:tcPr>
            <w:tcW w:w="570" w:type="dxa"/>
            <w:tcBorders>
              <w:top w:val="nil"/>
              <w:left w:val="nil"/>
              <w:bottom w:val="single" w:sz="4" w:space="0" w:color="auto"/>
              <w:right w:val="nil"/>
            </w:tcBorders>
            <w:shd w:val="clear" w:color="auto" w:fill="auto"/>
            <w:noWrap/>
            <w:vAlign w:val="bottom"/>
            <w:hideMark/>
          </w:tcPr>
          <w:p w14:paraId="480FC1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630" w:type="dxa"/>
            <w:tcBorders>
              <w:top w:val="nil"/>
              <w:left w:val="nil"/>
              <w:bottom w:val="single" w:sz="4" w:space="0" w:color="auto"/>
              <w:right w:val="nil"/>
            </w:tcBorders>
            <w:shd w:val="clear" w:color="auto" w:fill="auto"/>
            <w:noWrap/>
            <w:vAlign w:val="bottom"/>
            <w:hideMark/>
          </w:tcPr>
          <w:p w14:paraId="1F8E2CA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630" w:type="dxa"/>
            <w:tcBorders>
              <w:top w:val="nil"/>
              <w:left w:val="nil"/>
              <w:bottom w:val="single" w:sz="4" w:space="0" w:color="auto"/>
              <w:right w:val="nil"/>
            </w:tcBorders>
            <w:shd w:val="clear" w:color="auto" w:fill="auto"/>
            <w:noWrap/>
            <w:vAlign w:val="bottom"/>
            <w:hideMark/>
          </w:tcPr>
          <w:p w14:paraId="2C54FBC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w:t>
            </w:r>
          </w:p>
        </w:tc>
        <w:tc>
          <w:tcPr>
            <w:tcW w:w="616" w:type="dxa"/>
            <w:tcBorders>
              <w:top w:val="nil"/>
              <w:left w:val="nil"/>
              <w:bottom w:val="single" w:sz="4" w:space="0" w:color="auto"/>
              <w:right w:val="nil"/>
            </w:tcBorders>
            <w:shd w:val="clear" w:color="auto" w:fill="auto"/>
            <w:noWrap/>
            <w:vAlign w:val="bottom"/>
            <w:hideMark/>
          </w:tcPr>
          <w:p w14:paraId="534C09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c>
          <w:tcPr>
            <w:tcW w:w="793" w:type="dxa"/>
            <w:tcBorders>
              <w:top w:val="nil"/>
              <w:left w:val="nil"/>
              <w:bottom w:val="single" w:sz="4" w:space="0" w:color="auto"/>
              <w:right w:val="nil"/>
            </w:tcBorders>
            <w:shd w:val="clear" w:color="auto" w:fill="auto"/>
            <w:noWrap/>
            <w:vAlign w:val="bottom"/>
            <w:hideMark/>
          </w:tcPr>
          <w:p w14:paraId="270489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w:t>
            </w:r>
          </w:p>
        </w:tc>
        <w:tc>
          <w:tcPr>
            <w:tcW w:w="630" w:type="dxa"/>
            <w:tcBorders>
              <w:top w:val="nil"/>
              <w:left w:val="nil"/>
              <w:bottom w:val="single" w:sz="4" w:space="0" w:color="auto"/>
              <w:right w:val="nil"/>
            </w:tcBorders>
            <w:shd w:val="clear" w:color="auto" w:fill="auto"/>
            <w:noWrap/>
            <w:vAlign w:val="bottom"/>
            <w:hideMark/>
          </w:tcPr>
          <w:p w14:paraId="742543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w:t>
            </w:r>
          </w:p>
        </w:tc>
        <w:tc>
          <w:tcPr>
            <w:tcW w:w="536" w:type="dxa"/>
            <w:tcBorders>
              <w:top w:val="nil"/>
              <w:left w:val="nil"/>
              <w:bottom w:val="single" w:sz="4" w:space="0" w:color="auto"/>
              <w:right w:val="nil"/>
            </w:tcBorders>
            <w:shd w:val="clear" w:color="auto" w:fill="auto"/>
            <w:noWrap/>
            <w:vAlign w:val="bottom"/>
            <w:hideMark/>
          </w:tcPr>
          <w:p w14:paraId="549D1F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1387" w:type="dxa"/>
            <w:tcBorders>
              <w:top w:val="nil"/>
              <w:left w:val="nil"/>
              <w:bottom w:val="single" w:sz="4" w:space="0" w:color="auto"/>
              <w:right w:val="nil"/>
            </w:tcBorders>
            <w:shd w:val="clear" w:color="auto" w:fill="auto"/>
            <w:noWrap/>
            <w:vAlign w:val="bottom"/>
            <w:hideMark/>
          </w:tcPr>
          <w:p w14:paraId="2AD098B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408</w:t>
            </w:r>
          </w:p>
        </w:tc>
      </w:tr>
      <w:tr w:rsidR="008430BD" w:rsidRPr="001C3EC8" w14:paraId="0115ECED"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07E7972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48" w:type="dxa"/>
            <w:tcBorders>
              <w:top w:val="nil"/>
              <w:left w:val="nil"/>
              <w:bottom w:val="single" w:sz="4" w:space="0" w:color="auto"/>
              <w:right w:val="nil"/>
            </w:tcBorders>
            <w:shd w:val="clear" w:color="auto" w:fill="auto"/>
            <w:noWrap/>
            <w:vAlign w:val="bottom"/>
            <w:hideMark/>
          </w:tcPr>
          <w:p w14:paraId="5A9E074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170</w:t>
            </w:r>
          </w:p>
        </w:tc>
        <w:tc>
          <w:tcPr>
            <w:tcW w:w="570" w:type="dxa"/>
            <w:tcBorders>
              <w:top w:val="nil"/>
              <w:left w:val="nil"/>
              <w:bottom w:val="single" w:sz="4" w:space="0" w:color="auto"/>
              <w:right w:val="nil"/>
            </w:tcBorders>
            <w:shd w:val="clear" w:color="auto" w:fill="auto"/>
            <w:noWrap/>
            <w:vAlign w:val="bottom"/>
            <w:hideMark/>
          </w:tcPr>
          <w:p w14:paraId="7B895E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630" w:type="dxa"/>
            <w:tcBorders>
              <w:top w:val="nil"/>
              <w:left w:val="nil"/>
              <w:bottom w:val="single" w:sz="4" w:space="0" w:color="auto"/>
              <w:right w:val="nil"/>
            </w:tcBorders>
            <w:shd w:val="clear" w:color="auto" w:fill="auto"/>
            <w:noWrap/>
            <w:vAlign w:val="bottom"/>
            <w:hideMark/>
          </w:tcPr>
          <w:p w14:paraId="5FF166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w:t>
            </w:r>
          </w:p>
        </w:tc>
        <w:tc>
          <w:tcPr>
            <w:tcW w:w="630" w:type="dxa"/>
            <w:tcBorders>
              <w:top w:val="nil"/>
              <w:left w:val="nil"/>
              <w:bottom w:val="single" w:sz="4" w:space="0" w:color="auto"/>
              <w:right w:val="nil"/>
            </w:tcBorders>
            <w:shd w:val="clear" w:color="auto" w:fill="auto"/>
            <w:noWrap/>
            <w:vAlign w:val="bottom"/>
            <w:hideMark/>
          </w:tcPr>
          <w:p w14:paraId="4AFA52B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81</w:t>
            </w:r>
          </w:p>
        </w:tc>
        <w:tc>
          <w:tcPr>
            <w:tcW w:w="616" w:type="dxa"/>
            <w:tcBorders>
              <w:top w:val="nil"/>
              <w:left w:val="nil"/>
              <w:bottom w:val="single" w:sz="4" w:space="0" w:color="auto"/>
              <w:right w:val="nil"/>
            </w:tcBorders>
            <w:shd w:val="clear" w:color="auto" w:fill="auto"/>
            <w:noWrap/>
            <w:vAlign w:val="bottom"/>
            <w:hideMark/>
          </w:tcPr>
          <w:p w14:paraId="004389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w:t>
            </w:r>
          </w:p>
        </w:tc>
        <w:tc>
          <w:tcPr>
            <w:tcW w:w="793" w:type="dxa"/>
            <w:tcBorders>
              <w:top w:val="nil"/>
              <w:left w:val="nil"/>
              <w:bottom w:val="single" w:sz="4" w:space="0" w:color="auto"/>
              <w:right w:val="nil"/>
            </w:tcBorders>
            <w:shd w:val="clear" w:color="auto" w:fill="auto"/>
            <w:noWrap/>
            <w:vAlign w:val="bottom"/>
            <w:hideMark/>
          </w:tcPr>
          <w:p w14:paraId="3A0573D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184</w:t>
            </w:r>
          </w:p>
        </w:tc>
        <w:tc>
          <w:tcPr>
            <w:tcW w:w="630" w:type="dxa"/>
            <w:tcBorders>
              <w:top w:val="nil"/>
              <w:left w:val="nil"/>
              <w:bottom w:val="single" w:sz="4" w:space="0" w:color="auto"/>
              <w:right w:val="nil"/>
            </w:tcBorders>
            <w:shd w:val="clear" w:color="auto" w:fill="auto"/>
            <w:noWrap/>
            <w:vAlign w:val="bottom"/>
            <w:hideMark/>
          </w:tcPr>
          <w:p w14:paraId="7E3A99B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w:t>
            </w:r>
          </w:p>
        </w:tc>
        <w:tc>
          <w:tcPr>
            <w:tcW w:w="536" w:type="dxa"/>
            <w:tcBorders>
              <w:top w:val="nil"/>
              <w:left w:val="nil"/>
              <w:bottom w:val="single" w:sz="4" w:space="0" w:color="auto"/>
              <w:right w:val="nil"/>
            </w:tcBorders>
            <w:shd w:val="clear" w:color="auto" w:fill="auto"/>
            <w:noWrap/>
            <w:vAlign w:val="bottom"/>
            <w:hideMark/>
          </w:tcPr>
          <w:p w14:paraId="2928AF3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1387" w:type="dxa"/>
            <w:tcBorders>
              <w:top w:val="nil"/>
              <w:left w:val="nil"/>
              <w:bottom w:val="single" w:sz="4" w:space="0" w:color="auto"/>
              <w:right w:val="nil"/>
            </w:tcBorders>
            <w:shd w:val="clear" w:color="auto" w:fill="auto"/>
            <w:noWrap/>
            <w:vAlign w:val="bottom"/>
            <w:hideMark/>
          </w:tcPr>
          <w:p w14:paraId="18D6BCC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724</w:t>
            </w:r>
          </w:p>
        </w:tc>
      </w:tr>
      <w:tr w:rsidR="008430BD" w:rsidRPr="001C3EC8" w14:paraId="243EAD01" w14:textId="77777777" w:rsidTr="00E077F3">
        <w:trPr>
          <w:trHeight w:val="330"/>
        </w:trPr>
        <w:tc>
          <w:tcPr>
            <w:tcW w:w="2080" w:type="dxa"/>
            <w:tcBorders>
              <w:top w:val="nil"/>
              <w:left w:val="nil"/>
              <w:bottom w:val="double" w:sz="6" w:space="0" w:color="auto"/>
              <w:right w:val="nil"/>
            </w:tcBorders>
            <w:shd w:val="clear" w:color="auto" w:fill="auto"/>
            <w:noWrap/>
            <w:vAlign w:val="bottom"/>
            <w:hideMark/>
          </w:tcPr>
          <w:p w14:paraId="412EFB8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48" w:type="dxa"/>
            <w:tcBorders>
              <w:top w:val="nil"/>
              <w:left w:val="nil"/>
              <w:bottom w:val="double" w:sz="6" w:space="0" w:color="auto"/>
              <w:right w:val="nil"/>
            </w:tcBorders>
            <w:shd w:val="clear" w:color="auto" w:fill="auto"/>
            <w:noWrap/>
            <w:vAlign w:val="bottom"/>
            <w:hideMark/>
          </w:tcPr>
          <w:p w14:paraId="4273D25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192</w:t>
            </w:r>
          </w:p>
        </w:tc>
        <w:tc>
          <w:tcPr>
            <w:tcW w:w="570" w:type="dxa"/>
            <w:tcBorders>
              <w:top w:val="nil"/>
              <w:left w:val="nil"/>
              <w:bottom w:val="double" w:sz="6" w:space="0" w:color="auto"/>
              <w:right w:val="nil"/>
            </w:tcBorders>
            <w:shd w:val="clear" w:color="auto" w:fill="auto"/>
            <w:noWrap/>
            <w:vAlign w:val="bottom"/>
            <w:hideMark/>
          </w:tcPr>
          <w:p w14:paraId="705A36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p>
        </w:tc>
        <w:tc>
          <w:tcPr>
            <w:tcW w:w="630" w:type="dxa"/>
            <w:tcBorders>
              <w:top w:val="nil"/>
              <w:left w:val="nil"/>
              <w:bottom w:val="double" w:sz="6" w:space="0" w:color="auto"/>
              <w:right w:val="nil"/>
            </w:tcBorders>
            <w:shd w:val="clear" w:color="auto" w:fill="auto"/>
            <w:noWrap/>
            <w:vAlign w:val="bottom"/>
            <w:hideMark/>
          </w:tcPr>
          <w:p w14:paraId="4FDCD72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w:t>
            </w:r>
          </w:p>
        </w:tc>
        <w:tc>
          <w:tcPr>
            <w:tcW w:w="630" w:type="dxa"/>
            <w:tcBorders>
              <w:top w:val="nil"/>
              <w:left w:val="nil"/>
              <w:bottom w:val="double" w:sz="6" w:space="0" w:color="auto"/>
              <w:right w:val="nil"/>
            </w:tcBorders>
            <w:shd w:val="clear" w:color="auto" w:fill="auto"/>
            <w:noWrap/>
            <w:vAlign w:val="bottom"/>
            <w:hideMark/>
          </w:tcPr>
          <w:p w14:paraId="6637C52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w:t>
            </w:r>
          </w:p>
        </w:tc>
        <w:tc>
          <w:tcPr>
            <w:tcW w:w="616" w:type="dxa"/>
            <w:tcBorders>
              <w:top w:val="nil"/>
              <w:left w:val="nil"/>
              <w:bottom w:val="double" w:sz="6" w:space="0" w:color="auto"/>
              <w:right w:val="nil"/>
            </w:tcBorders>
            <w:shd w:val="clear" w:color="auto" w:fill="auto"/>
            <w:noWrap/>
            <w:vAlign w:val="bottom"/>
            <w:hideMark/>
          </w:tcPr>
          <w:p w14:paraId="0493EB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w:t>
            </w:r>
          </w:p>
        </w:tc>
        <w:tc>
          <w:tcPr>
            <w:tcW w:w="793" w:type="dxa"/>
            <w:tcBorders>
              <w:top w:val="nil"/>
              <w:left w:val="nil"/>
              <w:bottom w:val="double" w:sz="6" w:space="0" w:color="auto"/>
              <w:right w:val="nil"/>
            </w:tcBorders>
            <w:shd w:val="clear" w:color="auto" w:fill="auto"/>
            <w:noWrap/>
            <w:vAlign w:val="bottom"/>
            <w:hideMark/>
          </w:tcPr>
          <w:p w14:paraId="39ADF35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202</w:t>
            </w:r>
          </w:p>
        </w:tc>
        <w:tc>
          <w:tcPr>
            <w:tcW w:w="630" w:type="dxa"/>
            <w:tcBorders>
              <w:top w:val="nil"/>
              <w:left w:val="nil"/>
              <w:bottom w:val="double" w:sz="6" w:space="0" w:color="auto"/>
              <w:right w:val="nil"/>
            </w:tcBorders>
            <w:shd w:val="clear" w:color="auto" w:fill="auto"/>
            <w:noWrap/>
            <w:vAlign w:val="bottom"/>
            <w:hideMark/>
          </w:tcPr>
          <w:p w14:paraId="615C6C3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w:t>
            </w:r>
          </w:p>
        </w:tc>
        <w:tc>
          <w:tcPr>
            <w:tcW w:w="536" w:type="dxa"/>
            <w:tcBorders>
              <w:top w:val="nil"/>
              <w:left w:val="nil"/>
              <w:bottom w:val="double" w:sz="6" w:space="0" w:color="auto"/>
              <w:right w:val="nil"/>
            </w:tcBorders>
            <w:shd w:val="clear" w:color="auto" w:fill="auto"/>
            <w:noWrap/>
            <w:vAlign w:val="bottom"/>
            <w:hideMark/>
          </w:tcPr>
          <w:p w14:paraId="31AFD17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1387" w:type="dxa"/>
            <w:tcBorders>
              <w:top w:val="nil"/>
              <w:left w:val="nil"/>
              <w:bottom w:val="nil"/>
              <w:right w:val="nil"/>
            </w:tcBorders>
            <w:shd w:val="clear" w:color="auto" w:fill="auto"/>
            <w:noWrap/>
            <w:vAlign w:val="bottom"/>
            <w:hideMark/>
          </w:tcPr>
          <w:p w14:paraId="4102D1F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733</w:t>
            </w:r>
          </w:p>
        </w:tc>
      </w:tr>
      <w:tr w:rsidR="008430BD" w:rsidRPr="001C3EC8" w14:paraId="416EDDA5" w14:textId="77777777" w:rsidTr="00E077F3">
        <w:trPr>
          <w:trHeight w:val="345"/>
        </w:trPr>
        <w:tc>
          <w:tcPr>
            <w:tcW w:w="2080" w:type="dxa"/>
            <w:tcBorders>
              <w:top w:val="nil"/>
              <w:left w:val="nil"/>
              <w:bottom w:val="double" w:sz="6" w:space="0" w:color="auto"/>
              <w:right w:val="nil"/>
            </w:tcBorders>
            <w:shd w:val="clear" w:color="auto" w:fill="auto"/>
            <w:noWrap/>
            <w:vAlign w:val="bottom"/>
            <w:hideMark/>
          </w:tcPr>
          <w:p w14:paraId="137FCDE4"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48" w:type="dxa"/>
            <w:tcBorders>
              <w:top w:val="nil"/>
              <w:left w:val="nil"/>
              <w:bottom w:val="double" w:sz="6" w:space="0" w:color="auto"/>
              <w:right w:val="nil"/>
            </w:tcBorders>
            <w:shd w:val="clear" w:color="auto" w:fill="auto"/>
            <w:noWrap/>
            <w:vAlign w:val="bottom"/>
            <w:hideMark/>
          </w:tcPr>
          <w:p w14:paraId="290A6518" w14:textId="45609E5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007</w:t>
            </w:r>
          </w:p>
        </w:tc>
        <w:tc>
          <w:tcPr>
            <w:tcW w:w="570" w:type="dxa"/>
            <w:tcBorders>
              <w:top w:val="nil"/>
              <w:left w:val="nil"/>
              <w:bottom w:val="double" w:sz="6" w:space="0" w:color="auto"/>
              <w:right w:val="nil"/>
            </w:tcBorders>
            <w:shd w:val="clear" w:color="auto" w:fill="auto"/>
            <w:noWrap/>
            <w:vAlign w:val="bottom"/>
            <w:hideMark/>
          </w:tcPr>
          <w:p w14:paraId="0ED5053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131</w:t>
            </w:r>
          </w:p>
        </w:tc>
        <w:tc>
          <w:tcPr>
            <w:tcW w:w="630" w:type="dxa"/>
            <w:tcBorders>
              <w:top w:val="nil"/>
              <w:left w:val="nil"/>
              <w:bottom w:val="double" w:sz="6" w:space="0" w:color="auto"/>
              <w:right w:val="nil"/>
            </w:tcBorders>
            <w:shd w:val="clear" w:color="auto" w:fill="auto"/>
            <w:noWrap/>
            <w:vAlign w:val="bottom"/>
            <w:hideMark/>
          </w:tcPr>
          <w:p w14:paraId="1D35CB0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431</w:t>
            </w:r>
          </w:p>
        </w:tc>
        <w:tc>
          <w:tcPr>
            <w:tcW w:w="630" w:type="dxa"/>
            <w:tcBorders>
              <w:top w:val="nil"/>
              <w:left w:val="nil"/>
              <w:bottom w:val="double" w:sz="6" w:space="0" w:color="auto"/>
              <w:right w:val="nil"/>
            </w:tcBorders>
            <w:shd w:val="clear" w:color="auto" w:fill="auto"/>
            <w:noWrap/>
            <w:vAlign w:val="bottom"/>
            <w:hideMark/>
          </w:tcPr>
          <w:p w14:paraId="33B9856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781</w:t>
            </w:r>
          </w:p>
        </w:tc>
        <w:tc>
          <w:tcPr>
            <w:tcW w:w="616" w:type="dxa"/>
            <w:tcBorders>
              <w:top w:val="nil"/>
              <w:left w:val="nil"/>
              <w:bottom w:val="double" w:sz="6" w:space="0" w:color="auto"/>
              <w:right w:val="nil"/>
            </w:tcBorders>
            <w:shd w:val="clear" w:color="auto" w:fill="auto"/>
            <w:noWrap/>
            <w:vAlign w:val="bottom"/>
            <w:hideMark/>
          </w:tcPr>
          <w:p w14:paraId="6F40C34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417</w:t>
            </w:r>
          </w:p>
        </w:tc>
        <w:tc>
          <w:tcPr>
            <w:tcW w:w="793" w:type="dxa"/>
            <w:tcBorders>
              <w:top w:val="nil"/>
              <w:left w:val="nil"/>
              <w:bottom w:val="double" w:sz="6" w:space="0" w:color="auto"/>
              <w:right w:val="nil"/>
            </w:tcBorders>
            <w:shd w:val="clear" w:color="auto" w:fill="auto"/>
            <w:noWrap/>
            <w:vAlign w:val="bottom"/>
            <w:hideMark/>
          </w:tcPr>
          <w:p w14:paraId="22902701" w14:textId="26A682D0"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025</w:t>
            </w:r>
          </w:p>
        </w:tc>
        <w:tc>
          <w:tcPr>
            <w:tcW w:w="630" w:type="dxa"/>
            <w:tcBorders>
              <w:top w:val="nil"/>
              <w:left w:val="nil"/>
              <w:bottom w:val="double" w:sz="6" w:space="0" w:color="auto"/>
              <w:right w:val="nil"/>
            </w:tcBorders>
            <w:shd w:val="clear" w:color="auto" w:fill="auto"/>
            <w:noWrap/>
            <w:vAlign w:val="bottom"/>
            <w:hideMark/>
          </w:tcPr>
          <w:p w14:paraId="0F350B7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474</w:t>
            </w:r>
          </w:p>
        </w:tc>
        <w:tc>
          <w:tcPr>
            <w:tcW w:w="536" w:type="dxa"/>
            <w:tcBorders>
              <w:top w:val="nil"/>
              <w:left w:val="nil"/>
              <w:bottom w:val="double" w:sz="6" w:space="0" w:color="auto"/>
              <w:right w:val="nil"/>
            </w:tcBorders>
            <w:shd w:val="clear" w:color="auto" w:fill="auto"/>
            <w:noWrap/>
            <w:vAlign w:val="bottom"/>
            <w:hideMark/>
          </w:tcPr>
          <w:p w14:paraId="0104726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87</w:t>
            </w:r>
          </w:p>
        </w:tc>
        <w:tc>
          <w:tcPr>
            <w:tcW w:w="1387" w:type="dxa"/>
            <w:tcBorders>
              <w:top w:val="double" w:sz="6" w:space="0" w:color="auto"/>
              <w:left w:val="nil"/>
              <w:bottom w:val="double" w:sz="6" w:space="0" w:color="auto"/>
              <w:right w:val="nil"/>
            </w:tcBorders>
            <w:shd w:val="clear" w:color="auto" w:fill="auto"/>
            <w:noWrap/>
            <w:vAlign w:val="bottom"/>
            <w:hideMark/>
          </w:tcPr>
          <w:p w14:paraId="22A57B10" w14:textId="5CF522ED"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353</w:t>
            </w:r>
          </w:p>
        </w:tc>
      </w:tr>
    </w:tbl>
    <w:p w14:paraId="5539D733" w14:textId="77777777" w:rsidR="008430BD" w:rsidRPr="001C3EC8" w:rsidRDefault="008430BD" w:rsidP="008430BD">
      <w:pPr>
        <w:pStyle w:val="OdstavecASR"/>
        <w:rPr>
          <w:color w:val="000000" w:themeColor="text1"/>
        </w:rPr>
      </w:pPr>
    </w:p>
    <w:p w14:paraId="27019001" w14:textId="77777777" w:rsidR="008430BD" w:rsidRPr="001C3EC8" w:rsidRDefault="008430BD" w:rsidP="008430BD">
      <w:pPr>
        <w:pStyle w:val="OdstavecASR"/>
        <w:rPr>
          <w:color w:val="000000" w:themeColor="text1"/>
        </w:rPr>
      </w:pPr>
      <w:r w:rsidRPr="001C3EC8">
        <w:rPr>
          <w:color w:val="000000" w:themeColor="text1"/>
        </w:rPr>
        <w:lastRenderedPageBreak/>
        <w:t>Plánovaný počet zaměstnanců ve výkonu se stejně jako plánovaný počet soudců odvíjí od systemizace. Evidenční počet zaměstnanců se odvíjí od plánovaného počtu zaměstnanců ve výkonu, ale závisí také na situaci na trhu práce a personální politice jednotlivých soudů. Z toho ve výsledku plyne skutečnost, že poměr počtu soudců k počtu zaměstnanců ve výkonu je sice u všech soudů podobný, ale zdaleka ne totožný.</w:t>
      </w:r>
    </w:p>
    <w:p w14:paraId="01FE2CFD" w14:textId="1D1FAEC3" w:rsidR="008430BD" w:rsidRPr="001C3EC8" w:rsidRDefault="008430BD" w:rsidP="008430BD">
      <w:pPr>
        <w:pStyle w:val="OdstavecASR"/>
        <w:rPr>
          <w:color w:val="000000" w:themeColor="text1"/>
        </w:rPr>
      </w:pPr>
      <w:r w:rsidRPr="001C3EC8">
        <w:rPr>
          <w:color w:val="000000" w:themeColor="text1"/>
        </w:rPr>
        <w:t xml:space="preserve">K 1. 1. 2019 pracovalo u okresních soudů celkem 4 381 zaměstnanců ve výkonu. V roce 2020 se tento počet takřka nezměnil, došlo k meziročnímu poklesu </w:t>
      </w:r>
      <w:r w:rsidR="001B5E6A" w:rsidRPr="001C3EC8">
        <w:rPr>
          <w:color w:val="000000" w:themeColor="text1"/>
        </w:rPr>
        <w:t>o</w:t>
      </w:r>
      <w:r w:rsidR="001B5E6A">
        <w:rPr>
          <w:color w:val="000000" w:themeColor="text1"/>
        </w:rPr>
        <w:t> </w:t>
      </w:r>
      <w:r w:rsidRPr="001C3EC8">
        <w:rPr>
          <w:color w:val="000000" w:themeColor="text1"/>
        </w:rPr>
        <w:t>28 zaměstnanců (0,6 %).</w:t>
      </w:r>
    </w:p>
    <w:p w14:paraId="0F10A959" w14:textId="77777777" w:rsidR="008430BD" w:rsidRPr="001C3EC8" w:rsidRDefault="008430BD" w:rsidP="008430BD">
      <w:pPr>
        <w:pStyle w:val="OdstavecASR"/>
        <w:rPr>
          <w:color w:val="000000" w:themeColor="text1"/>
        </w:rPr>
      </w:pPr>
      <w:r w:rsidRPr="001C3EC8">
        <w:rPr>
          <w:color w:val="000000" w:themeColor="text1"/>
        </w:rPr>
        <w:t>Pro úplnost následuje krátké shrnutí pravomocí a pracovní náplně jednotlivých pracovníků soudu:</w:t>
      </w:r>
    </w:p>
    <w:p w14:paraId="0D3D8119" w14:textId="77777777" w:rsidR="008430BD" w:rsidRPr="001C3EC8" w:rsidRDefault="008430BD" w:rsidP="008430BD">
      <w:pPr>
        <w:pStyle w:val="Odstavecseseznamem"/>
        <w:numPr>
          <w:ilvl w:val="0"/>
          <w:numId w:val="20"/>
        </w:numPr>
        <w:rPr>
          <w:color w:val="000000" w:themeColor="text1"/>
        </w:rPr>
      </w:pPr>
      <w:r w:rsidRPr="001C3EC8">
        <w:rPr>
          <w:b/>
          <w:color w:val="000000" w:themeColor="text1"/>
        </w:rPr>
        <w:t xml:space="preserve">Vyšší soudní úředník (VSÚ) </w:t>
      </w:r>
      <w:r w:rsidRPr="001C3EC8">
        <w:rPr>
          <w:color w:val="000000" w:themeColor="text1"/>
        </w:rPr>
        <w:t>– může namísto soudce provádět jednodušší úkony včetně některých rozhodnutí, nemůže ale vést jednání a zejména vydávat rozsudky. Nerozhoduje nezávisle, ale je povinen dbát pokynů soudce, kterému musí také věc předat, je-li právně nebo skutkově složitá. Může jím být pouze absolvent studia na Justiční akademii v Kroměříži nebo absolvent vysokoškolského bakalářského nebo magisterského studijního programu v oblasti práva.</w:t>
      </w:r>
    </w:p>
    <w:p w14:paraId="0B8E4452" w14:textId="77777777" w:rsidR="008430BD" w:rsidRPr="001C3EC8" w:rsidRDefault="008430BD" w:rsidP="008430BD">
      <w:pPr>
        <w:pStyle w:val="Odstavecseseznamem"/>
        <w:numPr>
          <w:ilvl w:val="0"/>
          <w:numId w:val="20"/>
        </w:numPr>
        <w:rPr>
          <w:b/>
          <w:color w:val="000000" w:themeColor="text1"/>
        </w:rPr>
      </w:pPr>
      <w:r w:rsidRPr="001C3EC8">
        <w:rPr>
          <w:b/>
          <w:color w:val="000000" w:themeColor="text1"/>
        </w:rPr>
        <w:t xml:space="preserve">Soudní tajemník (ST) </w:t>
      </w:r>
      <w:r w:rsidRPr="001C3EC8">
        <w:rPr>
          <w:color w:val="000000" w:themeColor="text1"/>
        </w:rPr>
        <w:t>– může jím být pouze osoba s úspěšně složenou maturitní zkouškou. Může provádět jednoduché úkony, ke kterým je pověřen předsedou soudu.</w:t>
      </w:r>
    </w:p>
    <w:p w14:paraId="6BDFC605" w14:textId="77777777" w:rsidR="008430BD" w:rsidRPr="001C3EC8" w:rsidRDefault="008430BD" w:rsidP="008430BD">
      <w:pPr>
        <w:pStyle w:val="Odstavecseseznamem"/>
        <w:numPr>
          <w:ilvl w:val="0"/>
          <w:numId w:val="20"/>
        </w:numPr>
        <w:rPr>
          <w:b/>
          <w:color w:val="000000" w:themeColor="text1"/>
        </w:rPr>
      </w:pPr>
      <w:r w:rsidRPr="001C3EC8">
        <w:rPr>
          <w:b/>
          <w:color w:val="000000" w:themeColor="text1"/>
        </w:rPr>
        <w:t xml:space="preserve">Asistent soudce (A) </w:t>
      </w:r>
      <w:r w:rsidRPr="001C3EC8">
        <w:rPr>
          <w:color w:val="000000" w:themeColor="text1"/>
        </w:rPr>
        <w:t>– samostatně vykonává jednotlivé úkony v soudním řízení z pověření soudce, jehož je asistentem, například zpracovává koncepty rozhodnutí. Je jmenován předsedou soudu k návrhu příslušného soudce. Může jím být pouze absolvent vysokoškolského magisterského studijního programu v oblasti práva.</w:t>
      </w:r>
    </w:p>
    <w:p w14:paraId="02BC8B8E" w14:textId="66714557" w:rsidR="008430BD" w:rsidRPr="001C3EC8" w:rsidRDefault="008430BD" w:rsidP="008430BD">
      <w:pPr>
        <w:pStyle w:val="Odstavecseseznamem"/>
        <w:numPr>
          <w:ilvl w:val="0"/>
          <w:numId w:val="20"/>
        </w:numPr>
        <w:rPr>
          <w:b/>
          <w:color w:val="000000" w:themeColor="text1"/>
        </w:rPr>
      </w:pPr>
      <w:r w:rsidRPr="001C3EC8">
        <w:rPr>
          <w:b/>
          <w:color w:val="000000" w:themeColor="text1"/>
        </w:rPr>
        <w:t xml:space="preserve">Vedoucí kanceláře (VK) </w:t>
      </w:r>
      <w:r w:rsidRPr="001C3EC8">
        <w:rPr>
          <w:color w:val="000000" w:themeColor="text1"/>
        </w:rPr>
        <w:t xml:space="preserve">– vede rejstříky a řídí práci zapisovatelek většinou ve více soudních odděleních. Zahrnuje </w:t>
      </w:r>
      <w:r w:rsidR="001B5E6A" w:rsidRPr="001C3EC8">
        <w:rPr>
          <w:color w:val="000000" w:themeColor="text1"/>
        </w:rPr>
        <w:t>i</w:t>
      </w:r>
      <w:r w:rsidR="001B5E6A">
        <w:rPr>
          <w:color w:val="000000" w:themeColor="text1"/>
        </w:rPr>
        <w:t> </w:t>
      </w:r>
      <w:r w:rsidRPr="001C3EC8">
        <w:rPr>
          <w:color w:val="000000" w:themeColor="text1"/>
        </w:rPr>
        <w:t xml:space="preserve">rejstříkové vedoucí </w:t>
      </w:r>
      <w:r w:rsidR="001B5E6A" w:rsidRPr="001C3EC8">
        <w:rPr>
          <w:color w:val="000000" w:themeColor="text1"/>
        </w:rPr>
        <w:t>a</w:t>
      </w:r>
      <w:r w:rsidR="001B5E6A">
        <w:rPr>
          <w:color w:val="000000" w:themeColor="text1"/>
        </w:rPr>
        <w:t> </w:t>
      </w:r>
      <w:r w:rsidRPr="001C3EC8">
        <w:rPr>
          <w:color w:val="000000" w:themeColor="text1"/>
        </w:rPr>
        <w:t>referentky soudní kanceláře.</w:t>
      </w:r>
    </w:p>
    <w:p w14:paraId="1642830E" w14:textId="77777777" w:rsidR="008430BD" w:rsidRPr="001C3EC8" w:rsidRDefault="008430BD" w:rsidP="008430BD">
      <w:pPr>
        <w:pStyle w:val="Odstavecseseznamem"/>
        <w:numPr>
          <w:ilvl w:val="0"/>
          <w:numId w:val="20"/>
        </w:numPr>
        <w:rPr>
          <w:b/>
          <w:color w:val="000000" w:themeColor="text1"/>
        </w:rPr>
      </w:pPr>
      <w:r w:rsidRPr="001C3EC8">
        <w:rPr>
          <w:b/>
          <w:color w:val="000000" w:themeColor="text1"/>
        </w:rPr>
        <w:t xml:space="preserve">Protokolující úředník (PÚ) </w:t>
      </w:r>
      <w:r w:rsidRPr="001C3EC8">
        <w:rPr>
          <w:color w:val="000000" w:themeColor="text1"/>
        </w:rPr>
        <w:t>– pořizuje zvukový záznam o průběhu hlavního líčení a na jeho podkladě vypracuje protokol.</w:t>
      </w:r>
    </w:p>
    <w:p w14:paraId="10AA79F9" w14:textId="77777777" w:rsidR="008430BD" w:rsidRPr="001C3EC8" w:rsidRDefault="008430BD" w:rsidP="008430BD">
      <w:pPr>
        <w:pStyle w:val="Odstavecseseznamem"/>
        <w:numPr>
          <w:ilvl w:val="0"/>
          <w:numId w:val="20"/>
        </w:numPr>
        <w:rPr>
          <w:b/>
          <w:color w:val="000000" w:themeColor="text1"/>
        </w:rPr>
      </w:pPr>
      <w:r w:rsidRPr="001C3EC8">
        <w:rPr>
          <w:b/>
          <w:color w:val="000000" w:themeColor="text1"/>
        </w:rPr>
        <w:t xml:space="preserve">Zapisovatelka (Z) </w:t>
      </w:r>
      <w:r w:rsidRPr="001C3EC8">
        <w:rPr>
          <w:color w:val="000000" w:themeColor="text1"/>
        </w:rPr>
        <w:t>– munduje (zpracovává) spisy a sepisuje protokol o jednání v jednací síni dle diktátu soudce, popř. přepisu zvukového nebo zvukově-obrazového záznamu o průběhu jednání.</w:t>
      </w:r>
    </w:p>
    <w:p w14:paraId="7715ED51" w14:textId="77777777" w:rsidR="008430BD" w:rsidRPr="001C3EC8" w:rsidRDefault="008430BD" w:rsidP="008430BD">
      <w:pPr>
        <w:pStyle w:val="Odstavecseseznamem"/>
        <w:numPr>
          <w:ilvl w:val="0"/>
          <w:numId w:val="20"/>
        </w:numPr>
        <w:rPr>
          <w:color w:val="000000" w:themeColor="text1"/>
        </w:rPr>
      </w:pPr>
      <w:r w:rsidRPr="001C3EC8">
        <w:rPr>
          <w:b/>
          <w:color w:val="000000" w:themeColor="text1"/>
        </w:rPr>
        <w:t xml:space="preserve">Soudní vykonavatel (SV) </w:t>
      </w:r>
      <w:r w:rsidRPr="001C3EC8">
        <w:rPr>
          <w:color w:val="000000" w:themeColor="text1"/>
        </w:rPr>
        <w:t>– vynucuje splnění povinnosti na povinné osobě, které byla tato povinnost uložena vykonatelným exekučním titulem. Také je oprávněn provádět úkony spojené s odebráním dítěte v řízení péče o nezletilé.</w:t>
      </w:r>
    </w:p>
    <w:p w14:paraId="1F3E2E8B" w14:textId="710D4B6E" w:rsidR="008430BD" w:rsidRPr="001C3EC8" w:rsidRDefault="008430BD" w:rsidP="008430BD">
      <w:pPr>
        <w:pStyle w:val="OdstavecASR"/>
        <w:rPr>
          <w:color w:val="000000" w:themeColor="text1"/>
        </w:rPr>
      </w:pPr>
      <w:r w:rsidRPr="001C3EC8">
        <w:rPr>
          <w:color w:val="000000" w:themeColor="text1"/>
        </w:rPr>
        <w:t xml:space="preserve">Dalšími zaměstnanci soudů jsou tzv. zaměstnanci ve správě. Zatímco zaměstnanci ve výkonu se bezprostředně podílejí na vyřizování soudní agendy </w:t>
      </w:r>
      <w:r w:rsidR="001B5E6A" w:rsidRPr="001C3EC8">
        <w:rPr>
          <w:color w:val="000000" w:themeColor="text1"/>
        </w:rPr>
        <w:t>a</w:t>
      </w:r>
      <w:r w:rsidR="001B5E6A">
        <w:rPr>
          <w:color w:val="000000" w:themeColor="text1"/>
        </w:rPr>
        <w:t> </w:t>
      </w:r>
      <w:r w:rsidRPr="001C3EC8">
        <w:rPr>
          <w:color w:val="000000" w:themeColor="text1"/>
        </w:rPr>
        <w:t xml:space="preserve">výkonu soudnictví, zaměstnanci ve správě zajišťují provoz soudu, který zahrnuje širokou škálu funkcí. Celou správu soudu řídí ředitel správy. Dalšími zaměstnanci ve správě jsou například pracovníci sekretariátu, dozorčí úředníci, účetní, ekonomové, informatici nebo řidiči. Celkem je rozlišováno 40 kategorií zaměstnanců ve správě. K 1. 1. 2020 pracovalo ve správě </w:t>
      </w:r>
      <w:r w:rsidR="001B5E6A" w:rsidRPr="001C3EC8">
        <w:rPr>
          <w:color w:val="000000" w:themeColor="text1"/>
        </w:rPr>
        <w:t>u</w:t>
      </w:r>
      <w:r w:rsidR="001B5E6A">
        <w:rPr>
          <w:color w:val="000000" w:themeColor="text1"/>
        </w:rPr>
        <w:t> </w:t>
      </w:r>
      <w:r w:rsidRPr="001C3EC8">
        <w:rPr>
          <w:color w:val="000000" w:themeColor="text1"/>
        </w:rPr>
        <w:t xml:space="preserve">okresních soudů celkem </w:t>
      </w:r>
      <w:r w:rsidR="001B5E6A" w:rsidRPr="001C3EC8">
        <w:rPr>
          <w:color w:val="000000" w:themeColor="text1"/>
        </w:rPr>
        <w:t>1</w:t>
      </w:r>
      <w:r w:rsidR="001B5E6A">
        <w:rPr>
          <w:color w:val="000000" w:themeColor="text1"/>
        </w:rPr>
        <w:t> </w:t>
      </w:r>
      <w:r w:rsidRPr="001C3EC8">
        <w:rPr>
          <w:color w:val="000000" w:themeColor="text1"/>
        </w:rPr>
        <w:t xml:space="preserve">681 osob, tedy </w:t>
      </w:r>
      <w:r w:rsidR="001B5E6A" w:rsidRPr="001C3EC8">
        <w:rPr>
          <w:color w:val="000000" w:themeColor="text1"/>
        </w:rPr>
        <w:t>o</w:t>
      </w:r>
      <w:r w:rsidR="001B5E6A">
        <w:rPr>
          <w:color w:val="000000" w:themeColor="text1"/>
        </w:rPr>
        <w:t> </w:t>
      </w:r>
      <w:r w:rsidRPr="001C3EC8">
        <w:rPr>
          <w:color w:val="000000" w:themeColor="text1"/>
        </w:rPr>
        <w:t>11 osob více než k 1. 1. 2019.</w:t>
      </w:r>
    </w:p>
    <w:p w14:paraId="2F8C568D" w14:textId="77777777" w:rsidR="008430BD" w:rsidRPr="001C3EC8" w:rsidRDefault="008430BD" w:rsidP="008430BD">
      <w:pPr>
        <w:pStyle w:val="Nadpis3"/>
        <w:numPr>
          <w:ilvl w:val="2"/>
          <w:numId w:val="1"/>
        </w:numPr>
        <w:rPr>
          <w:color w:val="000000" w:themeColor="text1"/>
        </w:rPr>
      </w:pPr>
      <w:bookmarkStart w:id="67" w:name="_Toc75952055"/>
      <w:r w:rsidRPr="001C3EC8">
        <w:rPr>
          <w:color w:val="000000" w:themeColor="text1"/>
        </w:rPr>
        <w:t>Přísedící soudu</w:t>
      </w:r>
      <w:bookmarkEnd w:id="67"/>
    </w:p>
    <w:p w14:paraId="35E120B6" w14:textId="0B24D87B" w:rsidR="008430BD" w:rsidRPr="001C3EC8" w:rsidRDefault="008430BD" w:rsidP="008430BD">
      <w:pPr>
        <w:rPr>
          <w:color w:val="000000" w:themeColor="text1"/>
        </w:rPr>
      </w:pPr>
      <w:bookmarkStart w:id="68" w:name="_Toc11133208"/>
      <w:r w:rsidRPr="001C3EC8">
        <w:rPr>
          <w:color w:val="000000" w:themeColor="text1"/>
        </w:rPr>
        <w:t xml:space="preserve">Kromě soudců </w:t>
      </w:r>
      <w:r w:rsidR="001B5E6A" w:rsidRPr="001C3EC8">
        <w:rPr>
          <w:color w:val="000000" w:themeColor="text1"/>
        </w:rPr>
        <w:t>a</w:t>
      </w:r>
      <w:r w:rsidR="001B5E6A">
        <w:rPr>
          <w:color w:val="000000" w:themeColor="text1"/>
        </w:rPr>
        <w:t> </w:t>
      </w:r>
      <w:r w:rsidRPr="001C3EC8">
        <w:rPr>
          <w:color w:val="000000" w:themeColor="text1"/>
        </w:rPr>
        <w:t xml:space="preserve">zaměstnanců ve výkonu se na rozhodovací činnosti soudu podílejí také tzv. přísedící. Přísedícím se může stát každý svéprávný </w:t>
      </w:r>
      <w:r w:rsidR="001B5E6A" w:rsidRPr="001C3EC8">
        <w:rPr>
          <w:color w:val="000000" w:themeColor="text1"/>
        </w:rPr>
        <w:t>a</w:t>
      </w:r>
      <w:r w:rsidR="001B5E6A">
        <w:rPr>
          <w:color w:val="000000" w:themeColor="text1"/>
        </w:rPr>
        <w:t> </w:t>
      </w:r>
      <w:r w:rsidRPr="001C3EC8">
        <w:rPr>
          <w:color w:val="000000" w:themeColor="text1"/>
        </w:rPr>
        <w:t xml:space="preserve">bezúhonný občan České republiky, kterému je nejméně 30 let. V trestním řízení rozhodují přísedící v prvním stupni ve věcech, kde zákon stanoví trest odnětí svobody, jehož dolní hranice je minimálně pět let. Jde tedy </w:t>
      </w:r>
      <w:r w:rsidR="001B5E6A" w:rsidRPr="001C3EC8">
        <w:rPr>
          <w:color w:val="000000" w:themeColor="text1"/>
        </w:rPr>
        <w:t>o</w:t>
      </w:r>
      <w:r w:rsidR="001B5E6A">
        <w:rPr>
          <w:color w:val="000000" w:themeColor="text1"/>
        </w:rPr>
        <w:t> </w:t>
      </w:r>
      <w:r w:rsidRPr="001C3EC8">
        <w:rPr>
          <w:color w:val="000000" w:themeColor="text1"/>
        </w:rPr>
        <w:t xml:space="preserve">řízení u okresních </w:t>
      </w:r>
      <w:r w:rsidRPr="001C3EC8">
        <w:rPr>
          <w:color w:val="000000" w:themeColor="text1"/>
        </w:rPr>
        <w:lastRenderedPageBreak/>
        <w:t xml:space="preserve">soudů nebo prvostupňové řízení </w:t>
      </w:r>
      <w:r w:rsidR="001B5E6A" w:rsidRPr="001C3EC8">
        <w:rPr>
          <w:color w:val="000000" w:themeColor="text1"/>
        </w:rPr>
        <w:t>u</w:t>
      </w:r>
      <w:r w:rsidR="001B5E6A">
        <w:rPr>
          <w:color w:val="000000" w:themeColor="text1"/>
        </w:rPr>
        <w:t> </w:t>
      </w:r>
      <w:r w:rsidRPr="001C3EC8">
        <w:rPr>
          <w:color w:val="000000" w:themeColor="text1"/>
        </w:rPr>
        <w:t xml:space="preserve">soudu krajských. V civilním řízení rozhodují přísedící v pracovněprávních sporech </w:t>
      </w:r>
      <w:r w:rsidR="001B5E6A" w:rsidRPr="001C3EC8">
        <w:rPr>
          <w:color w:val="000000" w:themeColor="text1"/>
        </w:rPr>
        <w:t>u</w:t>
      </w:r>
      <w:r w:rsidR="001B5E6A">
        <w:rPr>
          <w:color w:val="000000" w:themeColor="text1"/>
        </w:rPr>
        <w:t> </w:t>
      </w:r>
      <w:r w:rsidRPr="001C3EC8">
        <w:rPr>
          <w:color w:val="000000" w:themeColor="text1"/>
        </w:rPr>
        <w:t>okresních soudů.</w:t>
      </w:r>
    </w:p>
    <w:p w14:paraId="18B0B685" w14:textId="63F1B2AC" w:rsidR="008430BD" w:rsidRPr="001C3EC8" w:rsidRDefault="008430BD" w:rsidP="008430BD">
      <w:pPr>
        <w:rPr>
          <w:color w:val="000000" w:themeColor="text1"/>
        </w:rPr>
      </w:pPr>
      <w:r w:rsidRPr="001C3EC8">
        <w:rPr>
          <w:color w:val="000000" w:themeColor="text1"/>
        </w:rPr>
        <w:t xml:space="preserve">Od roku 2019 jsou k dispozici počty přísedících dle krajů, pohlaví </w:t>
      </w:r>
      <w:r w:rsidR="001B5E6A" w:rsidRPr="001C3EC8">
        <w:rPr>
          <w:color w:val="000000" w:themeColor="text1"/>
        </w:rPr>
        <w:t>a</w:t>
      </w:r>
      <w:r w:rsidR="001B5E6A">
        <w:rPr>
          <w:color w:val="000000" w:themeColor="text1"/>
        </w:rPr>
        <w:t> </w:t>
      </w:r>
      <w:r w:rsidRPr="001C3EC8">
        <w:rPr>
          <w:color w:val="000000" w:themeColor="text1"/>
        </w:rPr>
        <w:t xml:space="preserve">věku, což umožňuje jejich bližší prozkoumání. Na rozdíl od ostatních dat v této kapitole se jedná </w:t>
      </w:r>
      <w:r w:rsidR="001B5E6A" w:rsidRPr="001C3EC8">
        <w:rPr>
          <w:color w:val="000000" w:themeColor="text1"/>
        </w:rPr>
        <w:t>o</w:t>
      </w:r>
      <w:r w:rsidR="001B5E6A">
        <w:rPr>
          <w:color w:val="000000" w:themeColor="text1"/>
        </w:rPr>
        <w:t> </w:t>
      </w:r>
      <w:r w:rsidRPr="001C3EC8">
        <w:rPr>
          <w:color w:val="000000" w:themeColor="text1"/>
        </w:rPr>
        <w:t>data k 1. 1. 2021.</w:t>
      </w:r>
    </w:p>
    <w:p w14:paraId="4E56BBF8" w14:textId="0B26083F" w:rsidR="008430BD" w:rsidRPr="001C3EC8" w:rsidRDefault="008430BD" w:rsidP="008430BD">
      <w:pPr>
        <w:rPr>
          <w:color w:val="000000" w:themeColor="text1"/>
        </w:rPr>
      </w:pPr>
      <w:r w:rsidRPr="001C3EC8">
        <w:rPr>
          <w:color w:val="000000" w:themeColor="text1"/>
        </w:rPr>
        <w:t xml:space="preserve">V tabulce je uveden počet přísedících podle krajů </w:t>
      </w:r>
      <w:r w:rsidR="001B5E6A" w:rsidRPr="001C3EC8">
        <w:rPr>
          <w:color w:val="000000" w:themeColor="text1"/>
        </w:rPr>
        <w:t>a</w:t>
      </w:r>
      <w:r w:rsidR="001B5E6A">
        <w:rPr>
          <w:color w:val="000000" w:themeColor="text1"/>
        </w:rPr>
        <w:t> </w:t>
      </w:r>
      <w:r w:rsidRPr="001C3EC8">
        <w:rPr>
          <w:color w:val="000000" w:themeColor="text1"/>
        </w:rPr>
        <w:t xml:space="preserve">pohlaví. Počet přísedících do určité míry odpovídá velikosti jednotlivých soudních krajů. Hrají zde roli ale </w:t>
      </w:r>
      <w:r w:rsidR="001B5E6A" w:rsidRPr="001C3EC8">
        <w:rPr>
          <w:color w:val="000000" w:themeColor="text1"/>
        </w:rPr>
        <w:t>i</w:t>
      </w:r>
      <w:r w:rsidR="001B5E6A">
        <w:rPr>
          <w:color w:val="000000" w:themeColor="text1"/>
        </w:rPr>
        <w:t> </w:t>
      </w:r>
      <w:r w:rsidRPr="001C3EC8">
        <w:rPr>
          <w:color w:val="000000" w:themeColor="text1"/>
        </w:rPr>
        <w:t>jiné faktory, v první řadě samozřejmě složení agendy. Z tabulky je rovněž patrné, že funkce přísedícího je populárnější mezi ženami než mezi muži. Celkový počet přísedících dosáhl v roce 2020 hodnoty 4</w:t>
      </w:r>
      <w:r w:rsidR="001B5E6A">
        <w:rPr>
          <w:color w:val="000000" w:themeColor="text1"/>
        </w:rPr>
        <w:t> </w:t>
      </w:r>
      <w:r w:rsidRPr="001C3EC8">
        <w:rPr>
          <w:color w:val="000000" w:themeColor="text1"/>
        </w:rPr>
        <w:t xml:space="preserve">221 osob </w:t>
      </w:r>
      <w:r w:rsidR="005A1F05" w:rsidRPr="001C3EC8">
        <w:rPr>
          <w:color w:val="000000" w:themeColor="text1"/>
        </w:rPr>
        <w:t>oproti</w:t>
      </w:r>
      <w:r w:rsidRPr="001C3EC8">
        <w:rPr>
          <w:color w:val="000000" w:themeColor="text1"/>
        </w:rPr>
        <w:t xml:space="preserve"> 4</w:t>
      </w:r>
      <w:r w:rsidR="001B5E6A">
        <w:rPr>
          <w:color w:val="000000" w:themeColor="text1"/>
        </w:rPr>
        <w:t> </w:t>
      </w:r>
      <w:r w:rsidRPr="001C3EC8">
        <w:rPr>
          <w:color w:val="000000" w:themeColor="text1"/>
        </w:rPr>
        <w:t>347 osob</w:t>
      </w:r>
      <w:r w:rsidR="005A1F05" w:rsidRPr="001C3EC8">
        <w:rPr>
          <w:color w:val="000000" w:themeColor="text1"/>
        </w:rPr>
        <w:t>ám</w:t>
      </w:r>
      <w:r w:rsidRPr="001C3EC8">
        <w:rPr>
          <w:color w:val="000000" w:themeColor="text1"/>
        </w:rPr>
        <w:t xml:space="preserve"> v roce 2019.</w:t>
      </w:r>
    </w:p>
    <w:p w14:paraId="70760703" w14:textId="379ABCB1" w:rsidR="008430BD" w:rsidRPr="001C3EC8" w:rsidRDefault="008430BD" w:rsidP="008430BD">
      <w:pPr>
        <w:pStyle w:val="Podnadpis"/>
        <w:rPr>
          <w:color w:val="000000" w:themeColor="text1"/>
        </w:rPr>
      </w:pPr>
      <w:bookmarkStart w:id="69" w:name="_Toc43931180"/>
      <w:bookmarkStart w:id="70" w:name="_Toc75952310"/>
      <w:r w:rsidRPr="001C3EC8">
        <w:rPr>
          <w:color w:val="000000" w:themeColor="text1"/>
        </w:rPr>
        <w:t xml:space="preserve">Tabulka </w:t>
      </w:r>
      <w:r w:rsidRPr="001C3EC8">
        <w:rPr>
          <w:color w:val="000000" w:themeColor="text1"/>
        </w:rPr>
        <w:fldChar w:fldCharType="begin"/>
      </w:r>
      <w:r w:rsidRPr="001C3EC8">
        <w:rPr>
          <w:noProof/>
          <w:color w:val="000000" w:themeColor="text1"/>
        </w:rPr>
        <w:instrText xml:space="preserve"> SEQ Tabulka \* ARABIC </w:instrText>
      </w:r>
      <w:r w:rsidRPr="001C3EC8">
        <w:rPr>
          <w:color w:val="000000" w:themeColor="text1"/>
        </w:rPr>
        <w:fldChar w:fldCharType="separate"/>
      </w:r>
      <w:r w:rsidR="009C575D">
        <w:rPr>
          <w:noProof/>
          <w:color w:val="000000" w:themeColor="text1"/>
        </w:rPr>
        <w:t>7</w:t>
      </w:r>
      <w:r w:rsidRPr="001C3EC8">
        <w:rPr>
          <w:color w:val="000000" w:themeColor="text1"/>
        </w:rPr>
        <w:fldChar w:fldCharType="end"/>
      </w:r>
      <w:r w:rsidRPr="001C3EC8">
        <w:rPr>
          <w:color w:val="000000" w:themeColor="text1"/>
        </w:rPr>
        <w:t xml:space="preserve">: OS – počet přísedících dle krajů </w:t>
      </w:r>
      <w:r w:rsidR="001B5E6A" w:rsidRPr="001C3EC8">
        <w:rPr>
          <w:color w:val="000000" w:themeColor="text1"/>
        </w:rPr>
        <w:t>a</w:t>
      </w:r>
      <w:r w:rsidR="001B5E6A">
        <w:rPr>
          <w:color w:val="000000" w:themeColor="text1"/>
        </w:rPr>
        <w:t> </w:t>
      </w:r>
      <w:r w:rsidRPr="001C3EC8">
        <w:rPr>
          <w:color w:val="000000" w:themeColor="text1"/>
        </w:rPr>
        <w:t>pohlaví</w:t>
      </w:r>
      <w:bookmarkEnd w:id="69"/>
      <w:bookmarkEnd w:id="70"/>
    </w:p>
    <w:tbl>
      <w:tblPr>
        <w:tblW w:w="6540" w:type="dxa"/>
        <w:tblCellMar>
          <w:left w:w="70" w:type="dxa"/>
          <w:right w:w="70" w:type="dxa"/>
        </w:tblCellMar>
        <w:tblLook w:val="04A0" w:firstRow="1" w:lastRow="0" w:firstColumn="1" w:lastColumn="0" w:noHBand="0" w:noVBand="1"/>
      </w:tblPr>
      <w:tblGrid>
        <w:gridCol w:w="2220"/>
        <w:gridCol w:w="1836"/>
        <w:gridCol w:w="1404"/>
        <w:gridCol w:w="1080"/>
      </w:tblGrid>
      <w:tr w:rsidR="008430BD" w:rsidRPr="001C3EC8" w14:paraId="6FAEF75C"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7AF7E9D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240" w:type="dxa"/>
            <w:gridSpan w:val="2"/>
            <w:tcBorders>
              <w:top w:val="double" w:sz="6" w:space="0" w:color="auto"/>
              <w:left w:val="nil"/>
              <w:bottom w:val="nil"/>
              <w:right w:val="nil"/>
            </w:tcBorders>
            <w:shd w:val="clear" w:color="auto" w:fill="auto"/>
            <w:noWrap/>
            <w:vAlign w:val="bottom"/>
            <w:hideMark/>
          </w:tcPr>
          <w:p w14:paraId="13D2986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přísedících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112C686E" w14:textId="06AC0F5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žen </w:t>
            </w:r>
            <w:r w:rsidR="001B5E6A" w:rsidRPr="001C3EC8">
              <w:rPr>
                <w:rFonts w:eastAsia="Times New Roman"/>
                <w:b/>
                <w:bCs/>
                <w:color w:val="000000" w:themeColor="text1"/>
                <w:szCs w:val="24"/>
                <w:lang w:eastAsia="cs-CZ"/>
              </w:rPr>
              <w:t>v</w:t>
            </w:r>
            <w:r w:rsidR="001B5E6A">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191354FE"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2654757E"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36" w:type="dxa"/>
            <w:tcBorders>
              <w:top w:val="nil"/>
              <w:left w:val="nil"/>
              <w:bottom w:val="double" w:sz="6" w:space="0" w:color="auto"/>
              <w:right w:val="nil"/>
            </w:tcBorders>
            <w:shd w:val="clear" w:color="auto" w:fill="auto"/>
            <w:noWrap/>
            <w:vAlign w:val="bottom"/>
            <w:hideMark/>
          </w:tcPr>
          <w:p w14:paraId="112C1A0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Mužů</w:t>
            </w:r>
          </w:p>
        </w:tc>
        <w:tc>
          <w:tcPr>
            <w:tcW w:w="1404" w:type="dxa"/>
            <w:tcBorders>
              <w:top w:val="nil"/>
              <w:left w:val="nil"/>
              <w:bottom w:val="double" w:sz="6" w:space="0" w:color="auto"/>
              <w:right w:val="nil"/>
            </w:tcBorders>
            <w:shd w:val="clear" w:color="auto" w:fill="auto"/>
            <w:noWrap/>
            <w:vAlign w:val="bottom"/>
            <w:hideMark/>
          </w:tcPr>
          <w:p w14:paraId="63EE207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415FF3A8"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2BEFA491" w14:textId="77777777" w:rsidTr="00E077F3">
        <w:trPr>
          <w:trHeight w:val="330"/>
        </w:trPr>
        <w:tc>
          <w:tcPr>
            <w:tcW w:w="2220" w:type="dxa"/>
            <w:tcBorders>
              <w:top w:val="nil"/>
              <w:left w:val="nil"/>
              <w:bottom w:val="single" w:sz="4" w:space="0" w:color="auto"/>
              <w:right w:val="nil"/>
            </w:tcBorders>
            <w:shd w:val="clear" w:color="auto" w:fill="auto"/>
            <w:noWrap/>
            <w:vAlign w:val="bottom"/>
            <w:hideMark/>
          </w:tcPr>
          <w:p w14:paraId="15B0496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836" w:type="dxa"/>
            <w:tcBorders>
              <w:top w:val="nil"/>
              <w:left w:val="nil"/>
              <w:bottom w:val="single" w:sz="4" w:space="0" w:color="auto"/>
              <w:right w:val="nil"/>
            </w:tcBorders>
            <w:shd w:val="clear" w:color="auto" w:fill="auto"/>
            <w:noWrap/>
            <w:vAlign w:val="bottom"/>
            <w:hideMark/>
          </w:tcPr>
          <w:p w14:paraId="26FC9F9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155</w:t>
            </w:r>
          </w:p>
        </w:tc>
        <w:tc>
          <w:tcPr>
            <w:tcW w:w="1404" w:type="dxa"/>
            <w:tcBorders>
              <w:top w:val="nil"/>
              <w:left w:val="nil"/>
              <w:bottom w:val="single" w:sz="4" w:space="0" w:color="auto"/>
              <w:right w:val="nil"/>
            </w:tcBorders>
            <w:shd w:val="clear" w:color="auto" w:fill="auto"/>
            <w:noWrap/>
            <w:vAlign w:val="bottom"/>
            <w:hideMark/>
          </w:tcPr>
          <w:p w14:paraId="4482BC3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269</w:t>
            </w:r>
          </w:p>
        </w:tc>
        <w:tc>
          <w:tcPr>
            <w:tcW w:w="1080" w:type="dxa"/>
            <w:tcBorders>
              <w:top w:val="nil"/>
              <w:left w:val="nil"/>
              <w:bottom w:val="single" w:sz="4" w:space="0" w:color="auto"/>
              <w:right w:val="nil"/>
            </w:tcBorders>
            <w:shd w:val="clear" w:color="auto" w:fill="auto"/>
            <w:noWrap/>
            <w:vAlign w:val="bottom"/>
            <w:hideMark/>
          </w:tcPr>
          <w:p w14:paraId="667B86C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63,44</w:t>
            </w:r>
          </w:p>
        </w:tc>
      </w:tr>
      <w:tr w:rsidR="008430BD" w:rsidRPr="001C3EC8" w14:paraId="29EEEFE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38921B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836" w:type="dxa"/>
            <w:tcBorders>
              <w:top w:val="nil"/>
              <w:left w:val="nil"/>
              <w:bottom w:val="single" w:sz="4" w:space="0" w:color="auto"/>
              <w:right w:val="nil"/>
            </w:tcBorders>
            <w:shd w:val="clear" w:color="auto" w:fill="auto"/>
            <w:noWrap/>
            <w:vAlign w:val="bottom"/>
            <w:hideMark/>
          </w:tcPr>
          <w:p w14:paraId="5EDE8D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137</w:t>
            </w:r>
          </w:p>
        </w:tc>
        <w:tc>
          <w:tcPr>
            <w:tcW w:w="1404" w:type="dxa"/>
            <w:tcBorders>
              <w:top w:val="nil"/>
              <w:left w:val="nil"/>
              <w:bottom w:val="single" w:sz="4" w:space="0" w:color="auto"/>
              <w:right w:val="nil"/>
            </w:tcBorders>
            <w:shd w:val="clear" w:color="auto" w:fill="auto"/>
            <w:noWrap/>
            <w:vAlign w:val="bottom"/>
            <w:hideMark/>
          </w:tcPr>
          <w:p w14:paraId="1AE32C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261</w:t>
            </w:r>
          </w:p>
        </w:tc>
        <w:tc>
          <w:tcPr>
            <w:tcW w:w="1080" w:type="dxa"/>
            <w:tcBorders>
              <w:top w:val="nil"/>
              <w:left w:val="nil"/>
              <w:bottom w:val="single" w:sz="4" w:space="0" w:color="auto"/>
              <w:right w:val="nil"/>
            </w:tcBorders>
            <w:shd w:val="clear" w:color="auto" w:fill="auto"/>
            <w:noWrap/>
            <w:vAlign w:val="bottom"/>
            <w:hideMark/>
          </w:tcPr>
          <w:p w14:paraId="182DA3B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65,58</w:t>
            </w:r>
          </w:p>
        </w:tc>
      </w:tr>
      <w:tr w:rsidR="008430BD" w:rsidRPr="001C3EC8" w14:paraId="3DAFCDDE"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4E759EB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836" w:type="dxa"/>
            <w:tcBorders>
              <w:top w:val="nil"/>
              <w:left w:val="nil"/>
              <w:bottom w:val="single" w:sz="4" w:space="0" w:color="auto"/>
              <w:right w:val="nil"/>
            </w:tcBorders>
            <w:shd w:val="clear" w:color="auto" w:fill="auto"/>
            <w:noWrap/>
            <w:vAlign w:val="bottom"/>
            <w:hideMark/>
          </w:tcPr>
          <w:p w14:paraId="1156EF1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404" w:type="dxa"/>
            <w:tcBorders>
              <w:top w:val="nil"/>
              <w:left w:val="nil"/>
              <w:bottom w:val="single" w:sz="4" w:space="0" w:color="auto"/>
              <w:right w:val="nil"/>
            </w:tcBorders>
            <w:shd w:val="clear" w:color="auto" w:fill="auto"/>
            <w:noWrap/>
            <w:vAlign w:val="bottom"/>
            <w:hideMark/>
          </w:tcPr>
          <w:p w14:paraId="4F1EC4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151</w:t>
            </w:r>
          </w:p>
        </w:tc>
        <w:tc>
          <w:tcPr>
            <w:tcW w:w="1080" w:type="dxa"/>
            <w:tcBorders>
              <w:top w:val="nil"/>
              <w:left w:val="nil"/>
              <w:bottom w:val="single" w:sz="4" w:space="0" w:color="auto"/>
              <w:right w:val="nil"/>
            </w:tcBorders>
            <w:shd w:val="clear" w:color="auto" w:fill="auto"/>
            <w:noWrap/>
            <w:vAlign w:val="bottom"/>
            <w:hideMark/>
          </w:tcPr>
          <w:p w14:paraId="6A5AEFD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63,18</w:t>
            </w:r>
          </w:p>
        </w:tc>
      </w:tr>
      <w:tr w:rsidR="008430BD" w:rsidRPr="001C3EC8" w14:paraId="18C821DD"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C79916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836" w:type="dxa"/>
            <w:tcBorders>
              <w:top w:val="nil"/>
              <w:left w:val="nil"/>
              <w:bottom w:val="single" w:sz="4" w:space="0" w:color="auto"/>
              <w:right w:val="nil"/>
            </w:tcBorders>
            <w:shd w:val="clear" w:color="auto" w:fill="auto"/>
            <w:noWrap/>
            <w:vAlign w:val="bottom"/>
            <w:hideMark/>
          </w:tcPr>
          <w:p w14:paraId="7ECC928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152</w:t>
            </w:r>
          </w:p>
        </w:tc>
        <w:tc>
          <w:tcPr>
            <w:tcW w:w="1404" w:type="dxa"/>
            <w:tcBorders>
              <w:top w:val="nil"/>
              <w:left w:val="nil"/>
              <w:bottom w:val="single" w:sz="4" w:space="0" w:color="auto"/>
              <w:right w:val="nil"/>
            </w:tcBorders>
            <w:shd w:val="clear" w:color="auto" w:fill="auto"/>
            <w:noWrap/>
            <w:vAlign w:val="bottom"/>
            <w:hideMark/>
          </w:tcPr>
          <w:p w14:paraId="091F45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275</w:t>
            </w:r>
          </w:p>
        </w:tc>
        <w:tc>
          <w:tcPr>
            <w:tcW w:w="1080" w:type="dxa"/>
            <w:tcBorders>
              <w:top w:val="nil"/>
              <w:left w:val="nil"/>
              <w:bottom w:val="single" w:sz="4" w:space="0" w:color="auto"/>
              <w:right w:val="nil"/>
            </w:tcBorders>
            <w:shd w:val="clear" w:color="auto" w:fill="auto"/>
            <w:noWrap/>
            <w:vAlign w:val="bottom"/>
            <w:hideMark/>
          </w:tcPr>
          <w:p w14:paraId="0FC8789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64,40</w:t>
            </w:r>
          </w:p>
        </w:tc>
      </w:tr>
      <w:tr w:rsidR="008430BD" w:rsidRPr="001C3EC8" w14:paraId="6402D23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50C7D44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836" w:type="dxa"/>
            <w:tcBorders>
              <w:top w:val="nil"/>
              <w:left w:val="nil"/>
              <w:bottom w:val="single" w:sz="4" w:space="0" w:color="auto"/>
              <w:right w:val="nil"/>
            </w:tcBorders>
            <w:shd w:val="clear" w:color="auto" w:fill="auto"/>
            <w:noWrap/>
            <w:vAlign w:val="bottom"/>
            <w:hideMark/>
          </w:tcPr>
          <w:p w14:paraId="1D2896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169</w:t>
            </w:r>
          </w:p>
        </w:tc>
        <w:tc>
          <w:tcPr>
            <w:tcW w:w="1404" w:type="dxa"/>
            <w:tcBorders>
              <w:top w:val="nil"/>
              <w:left w:val="nil"/>
              <w:bottom w:val="single" w:sz="4" w:space="0" w:color="auto"/>
              <w:right w:val="nil"/>
            </w:tcBorders>
            <w:shd w:val="clear" w:color="auto" w:fill="auto"/>
            <w:noWrap/>
            <w:vAlign w:val="bottom"/>
            <w:hideMark/>
          </w:tcPr>
          <w:p w14:paraId="393376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379</w:t>
            </w:r>
          </w:p>
        </w:tc>
        <w:tc>
          <w:tcPr>
            <w:tcW w:w="1080" w:type="dxa"/>
            <w:tcBorders>
              <w:top w:val="nil"/>
              <w:left w:val="nil"/>
              <w:bottom w:val="single" w:sz="4" w:space="0" w:color="auto"/>
              <w:right w:val="nil"/>
            </w:tcBorders>
            <w:shd w:val="clear" w:color="auto" w:fill="auto"/>
            <w:noWrap/>
            <w:vAlign w:val="bottom"/>
            <w:hideMark/>
          </w:tcPr>
          <w:p w14:paraId="0664CC6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69,16</w:t>
            </w:r>
          </w:p>
        </w:tc>
      </w:tr>
      <w:tr w:rsidR="008430BD" w:rsidRPr="001C3EC8" w14:paraId="7F9C2D24"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5B46EA9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836" w:type="dxa"/>
            <w:tcBorders>
              <w:top w:val="nil"/>
              <w:left w:val="nil"/>
              <w:bottom w:val="single" w:sz="4" w:space="0" w:color="auto"/>
              <w:right w:val="nil"/>
            </w:tcBorders>
            <w:shd w:val="clear" w:color="auto" w:fill="auto"/>
            <w:noWrap/>
            <w:vAlign w:val="bottom"/>
            <w:hideMark/>
          </w:tcPr>
          <w:p w14:paraId="4AA334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168</w:t>
            </w:r>
          </w:p>
        </w:tc>
        <w:tc>
          <w:tcPr>
            <w:tcW w:w="1404" w:type="dxa"/>
            <w:tcBorders>
              <w:top w:val="nil"/>
              <w:left w:val="nil"/>
              <w:bottom w:val="single" w:sz="4" w:space="0" w:color="auto"/>
              <w:right w:val="nil"/>
            </w:tcBorders>
            <w:shd w:val="clear" w:color="auto" w:fill="auto"/>
            <w:noWrap/>
            <w:vAlign w:val="bottom"/>
            <w:hideMark/>
          </w:tcPr>
          <w:p w14:paraId="722A4C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273</w:t>
            </w:r>
          </w:p>
        </w:tc>
        <w:tc>
          <w:tcPr>
            <w:tcW w:w="1080" w:type="dxa"/>
            <w:tcBorders>
              <w:top w:val="nil"/>
              <w:left w:val="nil"/>
              <w:bottom w:val="single" w:sz="4" w:space="0" w:color="auto"/>
              <w:right w:val="nil"/>
            </w:tcBorders>
            <w:shd w:val="clear" w:color="auto" w:fill="auto"/>
            <w:noWrap/>
            <w:vAlign w:val="bottom"/>
            <w:hideMark/>
          </w:tcPr>
          <w:p w14:paraId="5BCDC21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61,90</w:t>
            </w:r>
          </w:p>
        </w:tc>
      </w:tr>
      <w:tr w:rsidR="008430BD" w:rsidRPr="001C3EC8" w14:paraId="62F642D1"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57CCC2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836" w:type="dxa"/>
            <w:tcBorders>
              <w:top w:val="nil"/>
              <w:left w:val="nil"/>
              <w:bottom w:val="single" w:sz="4" w:space="0" w:color="auto"/>
              <w:right w:val="nil"/>
            </w:tcBorders>
            <w:shd w:val="clear" w:color="auto" w:fill="auto"/>
            <w:noWrap/>
            <w:vAlign w:val="bottom"/>
            <w:hideMark/>
          </w:tcPr>
          <w:p w14:paraId="3FB069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265</w:t>
            </w:r>
          </w:p>
        </w:tc>
        <w:tc>
          <w:tcPr>
            <w:tcW w:w="1404" w:type="dxa"/>
            <w:tcBorders>
              <w:top w:val="nil"/>
              <w:left w:val="nil"/>
              <w:bottom w:val="single" w:sz="4" w:space="0" w:color="auto"/>
              <w:right w:val="nil"/>
            </w:tcBorders>
            <w:shd w:val="clear" w:color="auto" w:fill="auto"/>
            <w:noWrap/>
            <w:vAlign w:val="bottom"/>
            <w:hideMark/>
          </w:tcPr>
          <w:p w14:paraId="6DDBA12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462</w:t>
            </w:r>
          </w:p>
        </w:tc>
        <w:tc>
          <w:tcPr>
            <w:tcW w:w="1080" w:type="dxa"/>
            <w:tcBorders>
              <w:top w:val="nil"/>
              <w:left w:val="nil"/>
              <w:bottom w:val="single" w:sz="4" w:space="0" w:color="auto"/>
              <w:right w:val="nil"/>
            </w:tcBorders>
            <w:shd w:val="clear" w:color="auto" w:fill="auto"/>
            <w:noWrap/>
            <w:vAlign w:val="bottom"/>
            <w:hideMark/>
          </w:tcPr>
          <w:p w14:paraId="1DC3288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63,55</w:t>
            </w:r>
          </w:p>
        </w:tc>
      </w:tr>
      <w:tr w:rsidR="008430BD" w:rsidRPr="001C3EC8" w14:paraId="2A5704B1"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1C6E373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836" w:type="dxa"/>
            <w:tcBorders>
              <w:top w:val="nil"/>
              <w:left w:val="nil"/>
              <w:bottom w:val="double" w:sz="6" w:space="0" w:color="auto"/>
              <w:right w:val="nil"/>
            </w:tcBorders>
            <w:shd w:val="clear" w:color="auto" w:fill="auto"/>
            <w:noWrap/>
            <w:vAlign w:val="bottom"/>
            <w:hideMark/>
          </w:tcPr>
          <w:p w14:paraId="4B4963B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414</w:t>
            </w:r>
          </w:p>
        </w:tc>
        <w:tc>
          <w:tcPr>
            <w:tcW w:w="1404" w:type="dxa"/>
            <w:tcBorders>
              <w:top w:val="nil"/>
              <w:left w:val="nil"/>
              <w:bottom w:val="double" w:sz="6" w:space="0" w:color="auto"/>
              <w:right w:val="nil"/>
            </w:tcBorders>
            <w:shd w:val="clear" w:color="auto" w:fill="auto"/>
            <w:noWrap/>
            <w:vAlign w:val="bottom"/>
            <w:hideMark/>
          </w:tcPr>
          <w:p w14:paraId="598448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603</w:t>
            </w:r>
          </w:p>
        </w:tc>
        <w:tc>
          <w:tcPr>
            <w:tcW w:w="1080" w:type="dxa"/>
            <w:tcBorders>
              <w:top w:val="nil"/>
              <w:left w:val="nil"/>
              <w:bottom w:val="double" w:sz="6" w:space="0" w:color="auto"/>
              <w:right w:val="nil"/>
            </w:tcBorders>
            <w:shd w:val="clear" w:color="auto" w:fill="auto"/>
            <w:noWrap/>
            <w:vAlign w:val="bottom"/>
            <w:hideMark/>
          </w:tcPr>
          <w:p w14:paraId="42D617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59,29</w:t>
            </w:r>
          </w:p>
        </w:tc>
      </w:tr>
      <w:tr w:rsidR="008430BD" w:rsidRPr="001C3EC8" w14:paraId="2FCC4027"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675BC0A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836" w:type="dxa"/>
            <w:tcBorders>
              <w:top w:val="nil"/>
              <w:left w:val="nil"/>
              <w:bottom w:val="double" w:sz="6" w:space="0" w:color="auto"/>
              <w:right w:val="nil"/>
            </w:tcBorders>
            <w:shd w:val="clear" w:color="auto" w:fill="auto"/>
            <w:noWrap/>
            <w:vAlign w:val="bottom"/>
            <w:hideMark/>
          </w:tcPr>
          <w:p w14:paraId="45FADC60" w14:textId="4349D53C"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548</w:t>
            </w:r>
          </w:p>
        </w:tc>
        <w:tc>
          <w:tcPr>
            <w:tcW w:w="1404" w:type="dxa"/>
            <w:tcBorders>
              <w:top w:val="nil"/>
              <w:left w:val="nil"/>
              <w:bottom w:val="double" w:sz="6" w:space="0" w:color="auto"/>
              <w:right w:val="nil"/>
            </w:tcBorders>
            <w:shd w:val="clear" w:color="auto" w:fill="auto"/>
            <w:noWrap/>
            <w:vAlign w:val="bottom"/>
            <w:hideMark/>
          </w:tcPr>
          <w:p w14:paraId="43E52591" w14:textId="22AFD293"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673</w:t>
            </w:r>
          </w:p>
        </w:tc>
        <w:tc>
          <w:tcPr>
            <w:tcW w:w="1080" w:type="dxa"/>
            <w:tcBorders>
              <w:top w:val="nil"/>
              <w:left w:val="nil"/>
              <w:bottom w:val="double" w:sz="6" w:space="0" w:color="auto"/>
              <w:right w:val="nil"/>
            </w:tcBorders>
            <w:shd w:val="clear" w:color="auto" w:fill="auto"/>
            <w:noWrap/>
            <w:vAlign w:val="bottom"/>
            <w:hideMark/>
          </w:tcPr>
          <w:p w14:paraId="48DF0B9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63,33</w:t>
            </w:r>
          </w:p>
        </w:tc>
      </w:tr>
    </w:tbl>
    <w:p w14:paraId="49C5D6A8" w14:textId="77777777" w:rsidR="008430BD" w:rsidRPr="001C3EC8" w:rsidRDefault="008430BD" w:rsidP="008430BD">
      <w:pPr>
        <w:rPr>
          <w:color w:val="000000" w:themeColor="text1"/>
        </w:rPr>
      </w:pPr>
    </w:p>
    <w:p w14:paraId="45C8D79A" w14:textId="441FC40B" w:rsidR="008430BD" w:rsidRPr="001C3EC8" w:rsidRDefault="008430BD" w:rsidP="008430BD">
      <w:pPr>
        <w:rPr>
          <w:color w:val="000000" w:themeColor="text1"/>
        </w:rPr>
      </w:pPr>
      <w:r w:rsidRPr="001C3EC8">
        <w:rPr>
          <w:color w:val="000000" w:themeColor="text1"/>
        </w:rPr>
        <w:t>V předchozím roce působilo jako přísedící 1</w:t>
      </w:r>
      <w:r w:rsidR="001B5E6A">
        <w:rPr>
          <w:color w:val="000000" w:themeColor="text1"/>
        </w:rPr>
        <w:t> </w:t>
      </w:r>
      <w:r w:rsidRPr="001C3EC8">
        <w:rPr>
          <w:color w:val="000000" w:themeColor="text1"/>
        </w:rPr>
        <w:t xml:space="preserve">607 mužů </w:t>
      </w:r>
      <w:r w:rsidR="001B5E6A" w:rsidRPr="001C3EC8">
        <w:rPr>
          <w:color w:val="000000" w:themeColor="text1"/>
        </w:rPr>
        <w:t>a</w:t>
      </w:r>
      <w:r w:rsidR="001B5E6A">
        <w:rPr>
          <w:color w:val="000000" w:themeColor="text1"/>
        </w:rPr>
        <w:t> </w:t>
      </w:r>
      <w:r w:rsidRPr="001C3EC8">
        <w:rPr>
          <w:color w:val="000000" w:themeColor="text1"/>
        </w:rPr>
        <w:t>2</w:t>
      </w:r>
      <w:r w:rsidR="001B5E6A">
        <w:rPr>
          <w:color w:val="000000" w:themeColor="text1"/>
        </w:rPr>
        <w:t> </w:t>
      </w:r>
      <w:r w:rsidRPr="001C3EC8">
        <w:rPr>
          <w:color w:val="000000" w:themeColor="text1"/>
        </w:rPr>
        <w:t xml:space="preserve">740 žen. Došlo tedy k velmi mírnému poklesu </w:t>
      </w:r>
      <w:r w:rsidR="001B5E6A" w:rsidRPr="001C3EC8">
        <w:rPr>
          <w:color w:val="000000" w:themeColor="text1"/>
        </w:rPr>
        <w:t>o</w:t>
      </w:r>
      <w:r w:rsidR="001B5E6A">
        <w:rPr>
          <w:color w:val="000000" w:themeColor="text1"/>
        </w:rPr>
        <w:t> </w:t>
      </w:r>
      <w:r w:rsidRPr="001C3EC8">
        <w:rPr>
          <w:color w:val="000000" w:themeColor="text1"/>
        </w:rPr>
        <w:t>126</w:t>
      </w:r>
      <w:r w:rsidR="001B5E6A">
        <w:rPr>
          <w:color w:val="000000" w:themeColor="text1"/>
        </w:rPr>
        <w:t> </w:t>
      </w:r>
      <w:r w:rsidRPr="001C3EC8">
        <w:rPr>
          <w:color w:val="000000" w:themeColor="text1"/>
        </w:rPr>
        <w:t>osob, což jsou 3</w:t>
      </w:r>
      <w:r w:rsidR="001B5E6A">
        <w:rPr>
          <w:color w:val="000000" w:themeColor="text1"/>
        </w:rPr>
        <w:t> </w:t>
      </w:r>
      <w:r w:rsidRPr="001C3EC8">
        <w:rPr>
          <w:color w:val="000000" w:themeColor="text1"/>
        </w:rPr>
        <w:t>%.</w:t>
      </w:r>
    </w:p>
    <w:p w14:paraId="4504105A" w14:textId="5D4E6CCA" w:rsidR="008430BD" w:rsidRPr="001C3EC8" w:rsidRDefault="008430BD" w:rsidP="008430BD">
      <w:pPr>
        <w:rPr>
          <w:color w:val="000000" w:themeColor="text1"/>
        </w:rPr>
      </w:pPr>
      <w:r w:rsidRPr="001C3EC8">
        <w:rPr>
          <w:color w:val="000000" w:themeColor="text1"/>
        </w:rPr>
        <w:t xml:space="preserve">Další tabulka se zabývá věkovou strukturou. Vyplývá z ní, že post přísedící/ho je mnohem populárnější </w:t>
      </w:r>
      <w:r w:rsidR="001B5E6A" w:rsidRPr="001C3EC8">
        <w:rPr>
          <w:color w:val="000000" w:themeColor="text1"/>
        </w:rPr>
        <w:t>u</w:t>
      </w:r>
      <w:r w:rsidR="001B5E6A">
        <w:rPr>
          <w:color w:val="000000" w:themeColor="text1"/>
        </w:rPr>
        <w:t> </w:t>
      </w:r>
      <w:r w:rsidRPr="001C3EC8">
        <w:rPr>
          <w:color w:val="000000" w:themeColor="text1"/>
        </w:rPr>
        <w:t xml:space="preserve">vyšších věkových skupin. Více než 64 % přísedících tvoří lidé ve věku 60 let </w:t>
      </w:r>
      <w:r w:rsidR="001B5E6A" w:rsidRPr="001C3EC8">
        <w:rPr>
          <w:color w:val="000000" w:themeColor="text1"/>
        </w:rPr>
        <w:t>a</w:t>
      </w:r>
      <w:r w:rsidR="001B5E6A">
        <w:rPr>
          <w:color w:val="000000" w:themeColor="text1"/>
        </w:rPr>
        <w:t> </w:t>
      </w:r>
      <w:r w:rsidRPr="001C3EC8">
        <w:rPr>
          <w:color w:val="000000" w:themeColor="text1"/>
        </w:rPr>
        <w:t>více, tedy ve většině případů v důchodovém věku. Naopak, přísedící ve věku do 39 let tvoří pouze 3,7 % (</w:t>
      </w:r>
      <w:proofErr w:type="gramStart"/>
      <w:r w:rsidRPr="001C3EC8">
        <w:rPr>
          <w:color w:val="000000" w:themeColor="text1"/>
        </w:rPr>
        <w:t>4,3%</w:t>
      </w:r>
      <w:proofErr w:type="gramEnd"/>
      <w:r w:rsidRPr="001C3EC8">
        <w:rPr>
          <w:color w:val="000000" w:themeColor="text1"/>
        </w:rPr>
        <w:t xml:space="preserve"> v roce 2019). Obvykle je tento jev přisuzován tomu, že finanční odměna za v</w:t>
      </w:r>
      <w:r w:rsidR="005A1F05" w:rsidRPr="001C3EC8">
        <w:rPr>
          <w:color w:val="000000" w:themeColor="text1"/>
        </w:rPr>
        <w:t>ý</w:t>
      </w:r>
      <w:r w:rsidRPr="001C3EC8">
        <w:rPr>
          <w:color w:val="000000" w:themeColor="text1"/>
        </w:rPr>
        <w:t xml:space="preserve">kon funkce přísedícího je považována za nízkou. Lidé v produktivním věku pravděpodobně preferují jiný výdělek nebo jinak trávený čas. Seniorům se nicméně takovýto přivýdělek </w:t>
      </w:r>
      <w:r w:rsidR="001B5E6A" w:rsidRPr="001C3EC8">
        <w:rPr>
          <w:color w:val="000000" w:themeColor="text1"/>
        </w:rPr>
        <w:t>a</w:t>
      </w:r>
      <w:r w:rsidR="001B5E6A">
        <w:rPr>
          <w:color w:val="000000" w:themeColor="text1"/>
        </w:rPr>
        <w:t> </w:t>
      </w:r>
      <w:r w:rsidRPr="001C3EC8">
        <w:rPr>
          <w:color w:val="000000" w:themeColor="text1"/>
        </w:rPr>
        <w:t xml:space="preserve">čas stráveným tímto způsobem může zdát zajímavější. Mezi jednotlivými kraji jsou určité, ale ne nijak závratné rozdíly. V průměru nejstarší jsou přísedící v Jihočeském kraji – pouze necelá 2 % z nich jsou ve věku do 39 let </w:t>
      </w:r>
      <w:r w:rsidR="001B5E6A" w:rsidRPr="001C3EC8">
        <w:rPr>
          <w:color w:val="000000" w:themeColor="text1"/>
        </w:rPr>
        <w:t>a</w:t>
      </w:r>
      <w:r w:rsidR="001B5E6A">
        <w:rPr>
          <w:color w:val="000000" w:themeColor="text1"/>
        </w:rPr>
        <w:t> </w:t>
      </w:r>
      <w:r w:rsidRPr="001C3EC8">
        <w:rPr>
          <w:color w:val="000000" w:themeColor="text1"/>
        </w:rPr>
        <w:t xml:space="preserve">72 % je ve věku 60 let </w:t>
      </w:r>
      <w:r w:rsidR="001B5E6A" w:rsidRPr="001C3EC8">
        <w:rPr>
          <w:color w:val="000000" w:themeColor="text1"/>
        </w:rPr>
        <w:t>a</w:t>
      </w:r>
      <w:r w:rsidR="001B5E6A">
        <w:rPr>
          <w:color w:val="000000" w:themeColor="text1"/>
        </w:rPr>
        <w:t> </w:t>
      </w:r>
      <w:r w:rsidRPr="001C3EC8">
        <w:rPr>
          <w:color w:val="000000" w:themeColor="text1"/>
        </w:rPr>
        <w:t>více. Je nicméně třeba zmínit, že Jihočeský kraj je nejmenší, a tudíž ze statistického pohledu nejvíce podléhá výchylkám. Oproti předchozímu roku se věková struktura téměř nezměnila, jen mírně zestárla.</w:t>
      </w:r>
    </w:p>
    <w:p w14:paraId="47F42BA1" w14:textId="77777777" w:rsidR="008430BD" w:rsidRPr="001C3EC8" w:rsidRDefault="008430BD" w:rsidP="008430BD">
      <w:pPr>
        <w:spacing w:after="160" w:line="259" w:lineRule="auto"/>
        <w:jc w:val="left"/>
        <w:rPr>
          <w:rFonts w:eastAsia="Times New Roman"/>
          <w:b/>
          <w:iCs/>
          <w:color w:val="000000" w:themeColor="text1"/>
          <w:spacing w:val="15"/>
          <w:szCs w:val="24"/>
        </w:rPr>
      </w:pPr>
      <w:bookmarkStart w:id="71" w:name="_Toc43931181"/>
      <w:r w:rsidRPr="001C3EC8">
        <w:rPr>
          <w:color w:val="000000" w:themeColor="text1"/>
        </w:rPr>
        <w:br w:type="page"/>
      </w:r>
    </w:p>
    <w:p w14:paraId="7D3A9EA5" w14:textId="2B0B28E7" w:rsidR="008430BD" w:rsidRPr="001C3EC8" w:rsidRDefault="008430BD" w:rsidP="008430BD">
      <w:pPr>
        <w:pStyle w:val="Podnadpis"/>
        <w:rPr>
          <w:color w:val="000000" w:themeColor="text1"/>
        </w:rPr>
      </w:pPr>
      <w:bookmarkStart w:id="72" w:name="_Toc75952311"/>
      <w:r w:rsidRPr="001C3EC8">
        <w:rPr>
          <w:color w:val="000000" w:themeColor="text1"/>
        </w:rPr>
        <w:lastRenderedPageBreak/>
        <w:t xml:space="preserve">Tabulka </w:t>
      </w:r>
      <w:r w:rsidRPr="001C3EC8">
        <w:rPr>
          <w:color w:val="000000" w:themeColor="text1"/>
        </w:rPr>
        <w:fldChar w:fldCharType="begin"/>
      </w:r>
      <w:r w:rsidRPr="001C3EC8">
        <w:rPr>
          <w:noProof/>
          <w:color w:val="000000" w:themeColor="text1"/>
        </w:rPr>
        <w:instrText xml:space="preserve"> SEQ Tabulka \* ARABIC </w:instrText>
      </w:r>
      <w:r w:rsidRPr="001C3EC8">
        <w:rPr>
          <w:color w:val="000000" w:themeColor="text1"/>
        </w:rPr>
        <w:fldChar w:fldCharType="separate"/>
      </w:r>
      <w:r w:rsidR="009C575D">
        <w:rPr>
          <w:noProof/>
          <w:color w:val="000000" w:themeColor="text1"/>
        </w:rPr>
        <w:t>8</w:t>
      </w:r>
      <w:r w:rsidRPr="001C3EC8">
        <w:rPr>
          <w:color w:val="000000" w:themeColor="text1"/>
        </w:rPr>
        <w:fldChar w:fldCharType="end"/>
      </w:r>
      <w:r w:rsidRPr="001C3EC8">
        <w:rPr>
          <w:color w:val="000000" w:themeColor="text1"/>
        </w:rPr>
        <w:t xml:space="preserve">: OS – počet přísedících dle krajů </w:t>
      </w:r>
      <w:r w:rsidR="001B5E6A" w:rsidRPr="001C3EC8">
        <w:rPr>
          <w:color w:val="000000" w:themeColor="text1"/>
        </w:rPr>
        <w:t>a</w:t>
      </w:r>
      <w:r w:rsidR="001B5E6A">
        <w:rPr>
          <w:color w:val="000000" w:themeColor="text1"/>
        </w:rPr>
        <w:t> </w:t>
      </w:r>
      <w:r w:rsidRPr="001C3EC8">
        <w:rPr>
          <w:color w:val="000000" w:themeColor="text1"/>
        </w:rPr>
        <w:t>věku</w:t>
      </w:r>
      <w:bookmarkEnd w:id="71"/>
      <w:bookmarkEnd w:id="72"/>
    </w:p>
    <w:tbl>
      <w:tblPr>
        <w:tblW w:w="7620" w:type="dxa"/>
        <w:tblCellMar>
          <w:left w:w="70" w:type="dxa"/>
          <w:right w:w="70" w:type="dxa"/>
        </w:tblCellMar>
        <w:tblLook w:val="04A0" w:firstRow="1" w:lastRow="0" w:firstColumn="1" w:lastColumn="0" w:noHBand="0" w:noVBand="1"/>
      </w:tblPr>
      <w:tblGrid>
        <w:gridCol w:w="2220"/>
        <w:gridCol w:w="1136"/>
        <w:gridCol w:w="944"/>
        <w:gridCol w:w="943"/>
        <w:gridCol w:w="943"/>
        <w:gridCol w:w="1434"/>
      </w:tblGrid>
      <w:tr w:rsidR="008430BD" w:rsidRPr="001C3EC8" w14:paraId="4A84F882"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4CE5140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400" w:type="dxa"/>
            <w:gridSpan w:val="5"/>
            <w:tcBorders>
              <w:top w:val="double" w:sz="6" w:space="0" w:color="auto"/>
              <w:left w:val="nil"/>
              <w:bottom w:val="nil"/>
              <w:right w:val="nil"/>
            </w:tcBorders>
            <w:shd w:val="clear" w:color="auto" w:fill="auto"/>
            <w:noWrap/>
            <w:vAlign w:val="bottom"/>
            <w:hideMark/>
          </w:tcPr>
          <w:p w14:paraId="0B3D5224" w14:textId="77777777" w:rsidR="008430BD" w:rsidRPr="001C3EC8" w:rsidRDefault="008430BD" w:rsidP="00E077F3">
            <w:pPr>
              <w:spacing w:line="240" w:lineRule="auto"/>
              <w:jc w:val="center"/>
              <w:rPr>
                <w:rFonts w:ascii="Times New Roman" w:eastAsia="Times New Roman" w:hAnsi="Times New Roman"/>
                <w:b/>
                <w:bCs/>
                <w:color w:val="000000" w:themeColor="text1"/>
                <w:szCs w:val="24"/>
                <w:lang w:eastAsia="cs-CZ"/>
              </w:rPr>
            </w:pPr>
            <w:r w:rsidRPr="001C3EC8">
              <w:rPr>
                <w:rFonts w:ascii="Times New Roman" w:eastAsia="Times New Roman" w:hAnsi="Times New Roman"/>
                <w:b/>
                <w:bCs/>
                <w:color w:val="000000" w:themeColor="text1"/>
                <w:szCs w:val="24"/>
                <w:lang w:eastAsia="cs-CZ"/>
              </w:rPr>
              <w:t>Věková skupina</w:t>
            </w:r>
          </w:p>
        </w:tc>
      </w:tr>
      <w:tr w:rsidR="008430BD" w:rsidRPr="001C3EC8" w14:paraId="69FDCFB9"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6A3E6D5D"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136" w:type="dxa"/>
            <w:tcBorders>
              <w:top w:val="nil"/>
              <w:left w:val="nil"/>
              <w:bottom w:val="double" w:sz="6" w:space="0" w:color="auto"/>
              <w:right w:val="nil"/>
            </w:tcBorders>
            <w:shd w:val="clear" w:color="auto" w:fill="auto"/>
            <w:noWrap/>
            <w:vAlign w:val="bottom"/>
            <w:hideMark/>
          </w:tcPr>
          <w:p w14:paraId="77F67654" w14:textId="77777777" w:rsidR="008430BD" w:rsidRPr="001C3EC8" w:rsidRDefault="008430BD" w:rsidP="00E077F3">
            <w:pPr>
              <w:spacing w:line="240" w:lineRule="auto"/>
              <w:jc w:val="center"/>
              <w:rPr>
                <w:rFonts w:ascii="Times New Roman" w:eastAsia="Times New Roman" w:hAnsi="Times New Roman"/>
                <w:b/>
                <w:bCs/>
                <w:color w:val="000000" w:themeColor="text1"/>
                <w:szCs w:val="24"/>
                <w:lang w:eastAsia="cs-CZ"/>
              </w:rPr>
            </w:pPr>
            <w:r w:rsidRPr="001C3EC8">
              <w:rPr>
                <w:rFonts w:ascii="Times New Roman" w:eastAsia="Times New Roman" w:hAnsi="Times New Roman"/>
                <w:b/>
                <w:bCs/>
                <w:color w:val="000000" w:themeColor="text1"/>
                <w:szCs w:val="24"/>
                <w:lang w:eastAsia="cs-CZ"/>
              </w:rPr>
              <w:t>30-39</w:t>
            </w:r>
          </w:p>
        </w:tc>
        <w:tc>
          <w:tcPr>
            <w:tcW w:w="944" w:type="dxa"/>
            <w:tcBorders>
              <w:top w:val="nil"/>
              <w:left w:val="nil"/>
              <w:bottom w:val="double" w:sz="6" w:space="0" w:color="auto"/>
              <w:right w:val="nil"/>
            </w:tcBorders>
            <w:shd w:val="clear" w:color="auto" w:fill="auto"/>
            <w:noWrap/>
            <w:vAlign w:val="bottom"/>
            <w:hideMark/>
          </w:tcPr>
          <w:p w14:paraId="452663C9" w14:textId="77777777" w:rsidR="008430BD" w:rsidRPr="001C3EC8" w:rsidRDefault="008430BD" w:rsidP="00E077F3">
            <w:pPr>
              <w:spacing w:line="240" w:lineRule="auto"/>
              <w:jc w:val="center"/>
              <w:rPr>
                <w:rFonts w:ascii="Times New Roman" w:eastAsia="Times New Roman" w:hAnsi="Times New Roman"/>
                <w:b/>
                <w:bCs/>
                <w:color w:val="000000" w:themeColor="text1"/>
                <w:szCs w:val="24"/>
                <w:lang w:eastAsia="cs-CZ"/>
              </w:rPr>
            </w:pPr>
            <w:r w:rsidRPr="001C3EC8">
              <w:rPr>
                <w:rFonts w:ascii="Times New Roman" w:eastAsia="Times New Roman" w:hAnsi="Times New Roman"/>
                <w:b/>
                <w:bCs/>
                <w:color w:val="000000" w:themeColor="text1"/>
                <w:szCs w:val="24"/>
                <w:lang w:eastAsia="cs-CZ"/>
              </w:rPr>
              <w:t>40-49</w:t>
            </w:r>
          </w:p>
        </w:tc>
        <w:tc>
          <w:tcPr>
            <w:tcW w:w="943" w:type="dxa"/>
            <w:tcBorders>
              <w:top w:val="nil"/>
              <w:left w:val="nil"/>
              <w:bottom w:val="double" w:sz="6" w:space="0" w:color="auto"/>
              <w:right w:val="nil"/>
            </w:tcBorders>
            <w:shd w:val="clear" w:color="auto" w:fill="auto"/>
            <w:noWrap/>
            <w:vAlign w:val="bottom"/>
            <w:hideMark/>
          </w:tcPr>
          <w:p w14:paraId="6CCEE5D1" w14:textId="77777777" w:rsidR="008430BD" w:rsidRPr="001C3EC8" w:rsidRDefault="008430BD" w:rsidP="00E077F3">
            <w:pPr>
              <w:spacing w:line="240" w:lineRule="auto"/>
              <w:jc w:val="center"/>
              <w:rPr>
                <w:rFonts w:ascii="Times New Roman" w:eastAsia="Times New Roman" w:hAnsi="Times New Roman"/>
                <w:b/>
                <w:bCs/>
                <w:color w:val="000000" w:themeColor="text1"/>
                <w:szCs w:val="24"/>
                <w:lang w:eastAsia="cs-CZ"/>
              </w:rPr>
            </w:pPr>
            <w:r w:rsidRPr="001C3EC8">
              <w:rPr>
                <w:rFonts w:ascii="Times New Roman" w:eastAsia="Times New Roman" w:hAnsi="Times New Roman"/>
                <w:b/>
                <w:bCs/>
                <w:color w:val="000000" w:themeColor="text1"/>
                <w:szCs w:val="24"/>
                <w:lang w:eastAsia="cs-CZ"/>
              </w:rPr>
              <w:t>50-59</w:t>
            </w:r>
          </w:p>
        </w:tc>
        <w:tc>
          <w:tcPr>
            <w:tcW w:w="943" w:type="dxa"/>
            <w:tcBorders>
              <w:top w:val="nil"/>
              <w:left w:val="nil"/>
              <w:bottom w:val="double" w:sz="6" w:space="0" w:color="auto"/>
              <w:right w:val="nil"/>
            </w:tcBorders>
            <w:shd w:val="clear" w:color="auto" w:fill="auto"/>
            <w:noWrap/>
            <w:vAlign w:val="bottom"/>
            <w:hideMark/>
          </w:tcPr>
          <w:p w14:paraId="58536DEC" w14:textId="77777777" w:rsidR="008430BD" w:rsidRPr="001C3EC8" w:rsidRDefault="008430BD" w:rsidP="00E077F3">
            <w:pPr>
              <w:spacing w:line="240" w:lineRule="auto"/>
              <w:jc w:val="center"/>
              <w:rPr>
                <w:rFonts w:ascii="Times New Roman" w:eastAsia="Times New Roman" w:hAnsi="Times New Roman"/>
                <w:b/>
                <w:bCs/>
                <w:color w:val="000000" w:themeColor="text1"/>
                <w:szCs w:val="24"/>
                <w:lang w:eastAsia="cs-CZ"/>
              </w:rPr>
            </w:pPr>
            <w:r w:rsidRPr="001C3EC8">
              <w:rPr>
                <w:rFonts w:ascii="Times New Roman" w:eastAsia="Times New Roman" w:hAnsi="Times New Roman"/>
                <w:b/>
                <w:bCs/>
                <w:color w:val="000000" w:themeColor="text1"/>
                <w:szCs w:val="24"/>
                <w:lang w:eastAsia="cs-CZ"/>
              </w:rPr>
              <w:t>60-69</w:t>
            </w:r>
          </w:p>
        </w:tc>
        <w:tc>
          <w:tcPr>
            <w:tcW w:w="1434" w:type="dxa"/>
            <w:tcBorders>
              <w:top w:val="nil"/>
              <w:left w:val="nil"/>
              <w:bottom w:val="double" w:sz="6" w:space="0" w:color="auto"/>
              <w:right w:val="nil"/>
            </w:tcBorders>
            <w:shd w:val="clear" w:color="auto" w:fill="auto"/>
            <w:noWrap/>
            <w:vAlign w:val="bottom"/>
            <w:hideMark/>
          </w:tcPr>
          <w:p w14:paraId="13ACDF43" w14:textId="698D5A32" w:rsidR="008430BD" w:rsidRPr="001C3EC8" w:rsidRDefault="008430BD" w:rsidP="00E077F3">
            <w:pPr>
              <w:spacing w:line="240" w:lineRule="auto"/>
              <w:jc w:val="center"/>
              <w:rPr>
                <w:rFonts w:ascii="Times New Roman" w:eastAsia="Times New Roman" w:hAnsi="Times New Roman"/>
                <w:b/>
                <w:bCs/>
                <w:color w:val="000000" w:themeColor="text1"/>
                <w:szCs w:val="24"/>
                <w:lang w:eastAsia="cs-CZ"/>
              </w:rPr>
            </w:pPr>
            <w:r w:rsidRPr="001C3EC8">
              <w:rPr>
                <w:rFonts w:ascii="Times New Roman" w:eastAsia="Times New Roman" w:hAnsi="Times New Roman"/>
                <w:b/>
                <w:bCs/>
                <w:color w:val="000000" w:themeColor="text1"/>
                <w:szCs w:val="24"/>
                <w:lang w:eastAsia="cs-CZ"/>
              </w:rPr>
              <w:t xml:space="preserve">70 </w:t>
            </w:r>
            <w:r w:rsidR="001B5E6A" w:rsidRPr="001C3EC8">
              <w:rPr>
                <w:rFonts w:ascii="Times New Roman" w:eastAsia="Times New Roman" w:hAnsi="Times New Roman"/>
                <w:b/>
                <w:bCs/>
                <w:color w:val="000000" w:themeColor="text1"/>
                <w:szCs w:val="24"/>
                <w:lang w:eastAsia="cs-CZ"/>
              </w:rPr>
              <w:t>a</w:t>
            </w:r>
            <w:r w:rsidR="001B5E6A">
              <w:rPr>
                <w:rFonts w:ascii="Times New Roman" w:eastAsia="Times New Roman" w:hAnsi="Times New Roman"/>
                <w:b/>
                <w:bCs/>
                <w:color w:val="000000" w:themeColor="text1"/>
                <w:szCs w:val="24"/>
                <w:lang w:eastAsia="cs-CZ"/>
              </w:rPr>
              <w:t> </w:t>
            </w:r>
            <w:r w:rsidRPr="001C3EC8">
              <w:rPr>
                <w:rFonts w:ascii="Times New Roman" w:eastAsia="Times New Roman" w:hAnsi="Times New Roman"/>
                <w:b/>
                <w:bCs/>
                <w:color w:val="000000" w:themeColor="text1"/>
                <w:szCs w:val="24"/>
                <w:lang w:eastAsia="cs-CZ"/>
              </w:rPr>
              <w:t>více</w:t>
            </w:r>
          </w:p>
        </w:tc>
      </w:tr>
      <w:tr w:rsidR="008430BD" w:rsidRPr="001C3EC8" w14:paraId="717DD408" w14:textId="77777777" w:rsidTr="00E077F3">
        <w:trPr>
          <w:trHeight w:val="330"/>
        </w:trPr>
        <w:tc>
          <w:tcPr>
            <w:tcW w:w="2220" w:type="dxa"/>
            <w:tcBorders>
              <w:top w:val="nil"/>
              <w:left w:val="nil"/>
              <w:bottom w:val="single" w:sz="4" w:space="0" w:color="auto"/>
              <w:right w:val="nil"/>
            </w:tcBorders>
            <w:shd w:val="clear" w:color="auto" w:fill="auto"/>
            <w:noWrap/>
            <w:vAlign w:val="bottom"/>
            <w:hideMark/>
          </w:tcPr>
          <w:p w14:paraId="4916E9D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136" w:type="dxa"/>
            <w:tcBorders>
              <w:top w:val="nil"/>
              <w:left w:val="nil"/>
              <w:bottom w:val="single" w:sz="4" w:space="0" w:color="auto"/>
              <w:right w:val="nil"/>
            </w:tcBorders>
            <w:shd w:val="clear" w:color="auto" w:fill="auto"/>
            <w:noWrap/>
            <w:vAlign w:val="bottom"/>
            <w:hideMark/>
          </w:tcPr>
          <w:p w14:paraId="0F168E3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w:t>
            </w:r>
          </w:p>
        </w:tc>
        <w:tc>
          <w:tcPr>
            <w:tcW w:w="944" w:type="dxa"/>
            <w:tcBorders>
              <w:top w:val="nil"/>
              <w:left w:val="nil"/>
              <w:bottom w:val="single" w:sz="4" w:space="0" w:color="auto"/>
              <w:right w:val="nil"/>
            </w:tcBorders>
            <w:shd w:val="clear" w:color="auto" w:fill="auto"/>
            <w:noWrap/>
            <w:vAlign w:val="bottom"/>
            <w:hideMark/>
          </w:tcPr>
          <w:p w14:paraId="6F5AA00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w:t>
            </w:r>
          </w:p>
        </w:tc>
        <w:tc>
          <w:tcPr>
            <w:tcW w:w="943" w:type="dxa"/>
            <w:tcBorders>
              <w:top w:val="nil"/>
              <w:left w:val="nil"/>
              <w:bottom w:val="single" w:sz="4" w:space="0" w:color="auto"/>
              <w:right w:val="nil"/>
            </w:tcBorders>
            <w:shd w:val="clear" w:color="auto" w:fill="auto"/>
            <w:noWrap/>
            <w:vAlign w:val="bottom"/>
            <w:hideMark/>
          </w:tcPr>
          <w:p w14:paraId="02BA3AC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w:t>
            </w:r>
          </w:p>
        </w:tc>
        <w:tc>
          <w:tcPr>
            <w:tcW w:w="943" w:type="dxa"/>
            <w:tcBorders>
              <w:top w:val="nil"/>
              <w:left w:val="nil"/>
              <w:bottom w:val="single" w:sz="4" w:space="0" w:color="auto"/>
              <w:right w:val="nil"/>
            </w:tcBorders>
            <w:shd w:val="clear" w:color="auto" w:fill="auto"/>
            <w:noWrap/>
            <w:vAlign w:val="bottom"/>
            <w:hideMark/>
          </w:tcPr>
          <w:p w14:paraId="3D6CF5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w:t>
            </w:r>
          </w:p>
        </w:tc>
        <w:tc>
          <w:tcPr>
            <w:tcW w:w="1434" w:type="dxa"/>
            <w:tcBorders>
              <w:top w:val="nil"/>
              <w:left w:val="nil"/>
              <w:bottom w:val="single" w:sz="4" w:space="0" w:color="auto"/>
              <w:right w:val="nil"/>
            </w:tcBorders>
            <w:shd w:val="clear" w:color="auto" w:fill="auto"/>
            <w:noWrap/>
            <w:vAlign w:val="bottom"/>
            <w:hideMark/>
          </w:tcPr>
          <w:p w14:paraId="1800CB2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172</w:t>
            </w:r>
          </w:p>
        </w:tc>
      </w:tr>
      <w:tr w:rsidR="008430BD" w:rsidRPr="001C3EC8" w14:paraId="78D15FD2"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033C1A5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136" w:type="dxa"/>
            <w:tcBorders>
              <w:top w:val="nil"/>
              <w:left w:val="nil"/>
              <w:bottom w:val="single" w:sz="4" w:space="0" w:color="auto"/>
              <w:right w:val="nil"/>
            </w:tcBorders>
            <w:shd w:val="clear" w:color="auto" w:fill="auto"/>
            <w:noWrap/>
            <w:vAlign w:val="bottom"/>
            <w:hideMark/>
          </w:tcPr>
          <w:p w14:paraId="33CB30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944" w:type="dxa"/>
            <w:tcBorders>
              <w:top w:val="nil"/>
              <w:left w:val="nil"/>
              <w:bottom w:val="single" w:sz="4" w:space="0" w:color="auto"/>
              <w:right w:val="nil"/>
            </w:tcBorders>
            <w:shd w:val="clear" w:color="auto" w:fill="auto"/>
            <w:noWrap/>
            <w:vAlign w:val="bottom"/>
            <w:hideMark/>
          </w:tcPr>
          <w:p w14:paraId="151387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w:t>
            </w:r>
          </w:p>
        </w:tc>
        <w:tc>
          <w:tcPr>
            <w:tcW w:w="943" w:type="dxa"/>
            <w:tcBorders>
              <w:top w:val="nil"/>
              <w:left w:val="nil"/>
              <w:bottom w:val="single" w:sz="4" w:space="0" w:color="auto"/>
              <w:right w:val="nil"/>
            </w:tcBorders>
            <w:shd w:val="clear" w:color="auto" w:fill="auto"/>
            <w:noWrap/>
            <w:vAlign w:val="bottom"/>
            <w:hideMark/>
          </w:tcPr>
          <w:p w14:paraId="294A62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78</w:t>
            </w:r>
          </w:p>
        </w:tc>
        <w:tc>
          <w:tcPr>
            <w:tcW w:w="943" w:type="dxa"/>
            <w:tcBorders>
              <w:top w:val="nil"/>
              <w:left w:val="nil"/>
              <w:bottom w:val="single" w:sz="4" w:space="0" w:color="auto"/>
              <w:right w:val="nil"/>
            </w:tcBorders>
            <w:shd w:val="clear" w:color="auto" w:fill="auto"/>
            <w:noWrap/>
            <w:vAlign w:val="bottom"/>
            <w:hideMark/>
          </w:tcPr>
          <w:p w14:paraId="25A54B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109</w:t>
            </w:r>
          </w:p>
        </w:tc>
        <w:tc>
          <w:tcPr>
            <w:tcW w:w="1434" w:type="dxa"/>
            <w:tcBorders>
              <w:top w:val="nil"/>
              <w:left w:val="nil"/>
              <w:bottom w:val="single" w:sz="4" w:space="0" w:color="auto"/>
              <w:right w:val="nil"/>
            </w:tcBorders>
            <w:shd w:val="clear" w:color="auto" w:fill="auto"/>
            <w:noWrap/>
            <w:vAlign w:val="bottom"/>
            <w:hideMark/>
          </w:tcPr>
          <w:p w14:paraId="514901A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r>
      <w:tr w:rsidR="008430BD" w:rsidRPr="001C3EC8" w14:paraId="3220B5DA"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355FAA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136" w:type="dxa"/>
            <w:tcBorders>
              <w:top w:val="nil"/>
              <w:left w:val="nil"/>
              <w:bottom w:val="single" w:sz="4" w:space="0" w:color="auto"/>
              <w:right w:val="nil"/>
            </w:tcBorders>
            <w:shd w:val="clear" w:color="auto" w:fill="auto"/>
            <w:noWrap/>
            <w:vAlign w:val="bottom"/>
            <w:hideMark/>
          </w:tcPr>
          <w:p w14:paraId="647E43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944" w:type="dxa"/>
            <w:tcBorders>
              <w:top w:val="nil"/>
              <w:left w:val="nil"/>
              <w:bottom w:val="single" w:sz="4" w:space="0" w:color="auto"/>
              <w:right w:val="nil"/>
            </w:tcBorders>
            <w:shd w:val="clear" w:color="auto" w:fill="auto"/>
            <w:noWrap/>
            <w:vAlign w:val="bottom"/>
            <w:hideMark/>
          </w:tcPr>
          <w:p w14:paraId="5AFE7C0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943" w:type="dxa"/>
            <w:tcBorders>
              <w:top w:val="nil"/>
              <w:left w:val="nil"/>
              <w:bottom w:val="single" w:sz="4" w:space="0" w:color="auto"/>
              <w:right w:val="nil"/>
            </w:tcBorders>
            <w:shd w:val="clear" w:color="auto" w:fill="auto"/>
            <w:noWrap/>
            <w:vAlign w:val="bottom"/>
            <w:hideMark/>
          </w:tcPr>
          <w:p w14:paraId="6FE822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p>
        </w:tc>
        <w:tc>
          <w:tcPr>
            <w:tcW w:w="943" w:type="dxa"/>
            <w:tcBorders>
              <w:top w:val="nil"/>
              <w:left w:val="nil"/>
              <w:bottom w:val="single" w:sz="4" w:space="0" w:color="auto"/>
              <w:right w:val="nil"/>
            </w:tcBorders>
            <w:shd w:val="clear" w:color="auto" w:fill="auto"/>
            <w:noWrap/>
            <w:vAlign w:val="bottom"/>
            <w:hideMark/>
          </w:tcPr>
          <w:p w14:paraId="378D11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81</w:t>
            </w:r>
          </w:p>
        </w:tc>
        <w:tc>
          <w:tcPr>
            <w:tcW w:w="1434" w:type="dxa"/>
            <w:tcBorders>
              <w:top w:val="nil"/>
              <w:left w:val="nil"/>
              <w:bottom w:val="single" w:sz="4" w:space="0" w:color="auto"/>
              <w:right w:val="nil"/>
            </w:tcBorders>
            <w:shd w:val="clear" w:color="auto" w:fill="auto"/>
            <w:noWrap/>
            <w:vAlign w:val="bottom"/>
            <w:hideMark/>
          </w:tcPr>
          <w:p w14:paraId="39E570A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w:t>
            </w:r>
          </w:p>
        </w:tc>
      </w:tr>
      <w:tr w:rsidR="008430BD" w:rsidRPr="001C3EC8" w14:paraId="2FD8A805"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BED429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136" w:type="dxa"/>
            <w:tcBorders>
              <w:top w:val="nil"/>
              <w:left w:val="nil"/>
              <w:bottom w:val="single" w:sz="4" w:space="0" w:color="auto"/>
              <w:right w:val="nil"/>
            </w:tcBorders>
            <w:shd w:val="clear" w:color="auto" w:fill="auto"/>
            <w:noWrap/>
            <w:vAlign w:val="bottom"/>
            <w:hideMark/>
          </w:tcPr>
          <w:p w14:paraId="48205E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944" w:type="dxa"/>
            <w:tcBorders>
              <w:top w:val="nil"/>
              <w:left w:val="nil"/>
              <w:bottom w:val="single" w:sz="4" w:space="0" w:color="auto"/>
              <w:right w:val="nil"/>
            </w:tcBorders>
            <w:shd w:val="clear" w:color="auto" w:fill="auto"/>
            <w:noWrap/>
            <w:vAlign w:val="bottom"/>
            <w:hideMark/>
          </w:tcPr>
          <w:p w14:paraId="1CE527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c>
          <w:tcPr>
            <w:tcW w:w="943" w:type="dxa"/>
            <w:tcBorders>
              <w:top w:val="nil"/>
              <w:left w:val="nil"/>
              <w:bottom w:val="single" w:sz="4" w:space="0" w:color="auto"/>
              <w:right w:val="nil"/>
            </w:tcBorders>
            <w:shd w:val="clear" w:color="auto" w:fill="auto"/>
            <w:noWrap/>
            <w:vAlign w:val="bottom"/>
            <w:hideMark/>
          </w:tcPr>
          <w:p w14:paraId="1E3B38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87</w:t>
            </w:r>
          </w:p>
        </w:tc>
        <w:tc>
          <w:tcPr>
            <w:tcW w:w="943" w:type="dxa"/>
            <w:tcBorders>
              <w:top w:val="nil"/>
              <w:left w:val="nil"/>
              <w:bottom w:val="single" w:sz="4" w:space="0" w:color="auto"/>
              <w:right w:val="nil"/>
            </w:tcBorders>
            <w:shd w:val="clear" w:color="auto" w:fill="auto"/>
            <w:noWrap/>
            <w:vAlign w:val="bottom"/>
            <w:hideMark/>
          </w:tcPr>
          <w:p w14:paraId="60F168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141</w:t>
            </w:r>
          </w:p>
        </w:tc>
        <w:tc>
          <w:tcPr>
            <w:tcW w:w="1434" w:type="dxa"/>
            <w:tcBorders>
              <w:top w:val="nil"/>
              <w:left w:val="nil"/>
              <w:bottom w:val="single" w:sz="4" w:space="0" w:color="auto"/>
              <w:right w:val="nil"/>
            </w:tcBorders>
            <w:shd w:val="clear" w:color="auto" w:fill="auto"/>
            <w:noWrap/>
            <w:vAlign w:val="bottom"/>
            <w:hideMark/>
          </w:tcPr>
          <w:p w14:paraId="283261A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144</w:t>
            </w:r>
          </w:p>
        </w:tc>
      </w:tr>
      <w:tr w:rsidR="008430BD" w:rsidRPr="001C3EC8" w14:paraId="19D78FA6"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5B2A0A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136" w:type="dxa"/>
            <w:tcBorders>
              <w:top w:val="nil"/>
              <w:left w:val="nil"/>
              <w:bottom w:val="single" w:sz="4" w:space="0" w:color="auto"/>
              <w:right w:val="nil"/>
            </w:tcBorders>
            <w:shd w:val="clear" w:color="auto" w:fill="auto"/>
            <w:noWrap/>
            <w:vAlign w:val="bottom"/>
            <w:hideMark/>
          </w:tcPr>
          <w:p w14:paraId="50CB1D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w:t>
            </w:r>
          </w:p>
        </w:tc>
        <w:tc>
          <w:tcPr>
            <w:tcW w:w="944" w:type="dxa"/>
            <w:tcBorders>
              <w:top w:val="nil"/>
              <w:left w:val="nil"/>
              <w:bottom w:val="single" w:sz="4" w:space="0" w:color="auto"/>
              <w:right w:val="nil"/>
            </w:tcBorders>
            <w:shd w:val="clear" w:color="auto" w:fill="auto"/>
            <w:noWrap/>
            <w:vAlign w:val="bottom"/>
            <w:hideMark/>
          </w:tcPr>
          <w:p w14:paraId="1B3321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w:t>
            </w:r>
          </w:p>
        </w:tc>
        <w:tc>
          <w:tcPr>
            <w:tcW w:w="943" w:type="dxa"/>
            <w:tcBorders>
              <w:top w:val="nil"/>
              <w:left w:val="nil"/>
              <w:bottom w:val="single" w:sz="4" w:space="0" w:color="auto"/>
              <w:right w:val="nil"/>
            </w:tcBorders>
            <w:shd w:val="clear" w:color="auto" w:fill="auto"/>
            <w:noWrap/>
            <w:vAlign w:val="bottom"/>
            <w:hideMark/>
          </w:tcPr>
          <w:p w14:paraId="138D91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w:t>
            </w:r>
          </w:p>
        </w:tc>
        <w:tc>
          <w:tcPr>
            <w:tcW w:w="943" w:type="dxa"/>
            <w:tcBorders>
              <w:top w:val="nil"/>
              <w:left w:val="nil"/>
              <w:bottom w:val="single" w:sz="4" w:space="0" w:color="auto"/>
              <w:right w:val="nil"/>
            </w:tcBorders>
            <w:shd w:val="clear" w:color="auto" w:fill="auto"/>
            <w:noWrap/>
            <w:vAlign w:val="bottom"/>
            <w:hideMark/>
          </w:tcPr>
          <w:p w14:paraId="3909F10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142</w:t>
            </w:r>
          </w:p>
        </w:tc>
        <w:tc>
          <w:tcPr>
            <w:tcW w:w="1434" w:type="dxa"/>
            <w:tcBorders>
              <w:top w:val="nil"/>
              <w:left w:val="nil"/>
              <w:bottom w:val="single" w:sz="4" w:space="0" w:color="auto"/>
              <w:right w:val="nil"/>
            </w:tcBorders>
            <w:shd w:val="clear" w:color="auto" w:fill="auto"/>
            <w:noWrap/>
            <w:vAlign w:val="bottom"/>
            <w:hideMark/>
          </w:tcPr>
          <w:p w14:paraId="4D7197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196</w:t>
            </w:r>
          </w:p>
        </w:tc>
      </w:tr>
      <w:tr w:rsidR="008430BD" w:rsidRPr="001C3EC8" w14:paraId="3FF8069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7DAE802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136" w:type="dxa"/>
            <w:tcBorders>
              <w:top w:val="nil"/>
              <w:left w:val="nil"/>
              <w:bottom w:val="single" w:sz="4" w:space="0" w:color="auto"/>
              <w:right w:val="nil"/>
            </w:tcBorders>
            <w:shd w:val="clear" w:color="auto" w:fill="auto"/>
            <w:noWrap/>
            <w:vAlign w:val="bottom"/>
            <w:hideMark/>
          </w:tcPr>
          <w:p w14:paraId="2A7883B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944" w:type="dxa"/>
            <w:tcBorders>
              <w:top w:val="nil"/>
              <w:left w:val="nil"/>
              <w:bottom w:val="single" w:sz="4" w:space="0" w:color="auto"/>
              <w:right w:val="nil"/>
            </w:tcBorders>
            <w:shd w:val="clear" w:color="auto" w:fill="auto"/>
            <w:noWrap/>
            <w:vAlign w:val="bottom"/>
            <w:hideMark/>
          </w:tcPr>
          <w:p w14:paraId="6C61A1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w:t>
            </w:r>
          </w:p>
        </w:tc>
        <w:tc>
          <w:tcPr>
            <w:tcW w:w="943" w:type="dxa"/>
            <w:tcBorders>
              <w:top w:val="nil"/>
              <w:left w:val="nil"/>
              <w:bottom w:val="single" w:sz="4" w:space="0" w:color="auto"/>
              <w:right w:val="nil"/>
            </w:tcBorders>
            <w:shd w:val="clear" w:color="auto" w:fill="auto"/>
            <w:noWrap/>
            <w:vAlign w:val="bottom"/>
            <w:hideMark/>
          </w:tcPr>
          <w:p w14:paraId="78844B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72</w:t>
            </w:r>
          </w:p>
        </w:tc>
        <w:tc>
          <w:tcPr>
            <w:tcW w:w="943" w:type="dxa"/>
            <w:tcBorders>
              <w:top w:val="nil"/>
              <w:left w:val="nil"/>
              <w:bottom w:val="single" w:sz="4" w:space="0" w:color="auto"/>
              <w:right w:val="nil"/>
            </w:tcBorders>
            <w:shd w:val="clear" w:color="auto" w:fill="auto"/>
            <w:noWrap/>
            <w:vAlign w:val="bottom"/>
            <w:hideMark/>
          </w:tcPr>
          <w:p w14:paraId="064D9B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142</w:t>
            </w:r>
          </w:p>
        </w:tc>
        <w:tc>
          <w:tcPr>
            <w:tcW w:w="1434" w:type="dxa"/>
            <w:tcBorders>
              <w:top w:val="nil"/>
              <w:left w:val="nil"/>
              <w:bottom w:val="single" w:sz="4" w:space="0" w:color="auto"/>
              <w:right w:val="nil"/>
            </w:tcBorders>
            <w:shd w:val="clear" w:color="auto" w:fill="auto"/>
            <w:noWrap/>
            <w:vAlign w:val="bottom"/>
            <w:hideMark/>
          </w:tcPr>
          <w:p w14:paraId="6A50FC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w:t>
            </w:r>
          </w:p>
        </w:tc>
      </w:tr>
      <w:tr w:rsidR="008430BD" w:rsidRPr="001C3EC8" w14:paraId="6EF3267F"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92112B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136" w:type="dxa"/>
            <w:tcBorders>
              <w:top w:val="nil"/>
              <w:left w:val="nil"/>
              <w:bottom w:val="single" w:sz="4" w:space="0" w:color="auto"/>
              <w:right w:val="nil"/>
            </w:tcBorders>
            <w:shd w:val="clear" w:color="auto" w:fill="auto"/>
            <w:noWrap/>
            <w:vAlign w:val="bottom"/>
            <w:hideMark/>
          </w:tcPr>
          <w:p w14:paraId="74D6C9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w:t>
            </w:r>
          </w:p>
        </w:tc>
        <w:tc>
          <w:tcPr>
            <w:tcW w:w="944" w:type="dxa"/>
            <w:tcBorders>
              <w:top w:val="nil"/>
              <w:left w:val="nil"/>
              <w:bottom w:val="single" w:sz="4" w:space="0" w:color="auto"/>
              <w:right w:val="nil"/>
            </w:tcBorders>
            <w:shd w:val="clear" w:color="auto" w:fill="auto"/>
            <w:noWrap/>
            <w:vAlign w:val="bottom"/>
            <w:hideMark/>
          </w:tcPr>
          <w:p w14:paraId="6EF351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943" w:type="dxa"/>
            <w:tcBorders>
              <w:top w:val="nil"/>
              <w:left w:val="nil"/>
              <w:bottom w:val="single" w:sz="4" w:space="0" w:color="auto"/>
              <w:right w:val="nil"/>
            </w:tcBorders>
            <w:shd w:val="clear" w:color="auto" w:fill="auto"/>
            <w:noWrap/>
            <w:vAlign w:val="bottom"/>
            <w:hideMark/>
          </w:tcPr>
          <w:p w14:paraId="078B613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126</w:t>
            </w:r>
          </w:p>
        </w:tc>
        <w:tc>
          <w:tcPr>
            <w:tcW w:w="943" w:type="dxa"/>
            <w:tcBorders>
              <w:top w:val="nil"/>
              <w:left w:val="nil"/>
              <w:bottom w:val="single" w:sz="4" w:space="0" w:color="auto"/>
              <w:right w:val="nil"/>
            </w:tcBorders>
            <w:shd w:val="clear" w:color="auto" w:fill="auto"/>
            <w:noWrap/>
            <w:vAlign w:val="bottom"/>
            <w:hideMark/>
          </w:tcPr>
          <w:p w14:paraId="091D453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226</w:t>
            </w:r>
          </w:p>
        </w:tc>
        <w:tc>
          <w:tcPr>
            <w:tcW w:w="1434" w:type="dxa"/>
            <w:tcBorders>
              <w:top w:val="nil"/>
              <w:left w:val="nil"/>
              <w:bottom w:val="single" w:sz="4" w:space="0" w:color="auto"/>
              <w:right w:val="nil"/>
            </w:tcBorders>
            <w:shd w:val="clear" w:color="auto" w:fill="auto"/>
            <w:noWrap/>
            <w:vAlign w:val="bottom"/>
            <w:hideMark/>
          </w:tcPr>
          <w:p w14:paraId="42F5E8D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228</w:t>
            </w:r>
          </w:p>
        </w:tc>
      </w:tr>
      <w:tr w:rsidR="008430BD" w:rsidRPr="001C3EC8" w14:paraId="4D69024A"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0118C98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136" w:type="dxa"/>
            <w:tcBorders>
              <w:top w:val="nil"/>
              <w:left w:val="nil"/>
              <w:bottom w:val="double" w:sz="6" w:space="0" w:color="auto"/>
              <w:right w:val="nil"/>
            </w:tcBorders>
            <w:shd w:val="clear" w:color="auto" w:fill="auto"/>
            <w:noWrap/>
            <w:vAlign w:val="bottom"/>
            <w:hideMark/>
          </w:tcPr>
          <w:p w14:paraId="2EF80F6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p>
        </w:tc>
        <w:tc>
          <w:tcPr>
            <w:tcW w:w="944" w:type="dxa"/>
            <w:tcBorders>
              <w:top w:val="nil"/>
              <w:left w:val="nil"/>
              <w:bottom w:val="double" w:sz="6" w:space="0" w:color="auto"/>
              <w:right w:val="nil"/>
            </w:tcBorders>
            <w:shd w:val="clear" w:color="auto" w:fill="auto"/>
            <w:noWrap/>
            <w:vAlign w:val="bottom"/>
            <w:hideMark/>
          </w:tcPr>
          <w:p w14:paraId="7D7356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134</w:t>
            </w:r>
          </w:p>
        </w:tc>
        <w:tc>
          <w:tcPr>
            <w:tcW w:w="943" w:type="dxa"/>
            <w:tcBorders>
              <w:top w:val="nil"/>
              <w:left w:val="nil"/>
              <w:bottom w:val="double" w:sz="6" w:space="0" w:color="auto"/>
              <w:right w:val="nil"/>
            </w:tcBorders>
            <w:shd w:val="clear" w:color="auto" w:fill="auto"/>
            <w:noWrap/>
            <w:vAlign w:val="bottom"/>
            <w:hideMark/>
          </w:tcPr>
          <w:p w14:paraId="4CD8DC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219</w:t>
            </w:r>
          </w:p>
        </w:tc>
        <w:tc>
          <w:tcPr>
            <w:tcW w:w="943" w:type="dxa"/>
            <w:tcBorders>
              <w:top w:val="nil"/>
              <w:left w:val="nil"/>
              <w:bottom w:val="double" w:sz="6" w:space="0" w:color="auto"/>
              <w:right w:val="nil"/>
            </w:tcBorders>
            <w:shd w:val="clear" w:color="auto" w:fill="auto"/>
            <w:noWrap/>
            <w:vAlign w:val="bottom"/>
            <w:hideMark/>
          </w:tcPr>
          <w:p w14:paraId="3681AC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311</w:t>
            </w:r>
          </w:p>
        </w:tc>
        <w:tc>
          <w:tcPr>
            <w:tcW w:w="1434" w:type="dxa"/>
            <w:tcBorders>
              <w:top w:val="nil"/>
              <w:left w:val="nil"/>
              <w:bottom w:val="double" w:sz="6" w:space="0" w:color="auto"/>
              <w:right w:val="nil"/>
            </w:tcBorders>
            <w:shd w:val="clear" w:color="auto" w:fill="auto"/>
            <w:noWrap/>
            <w:vAlign w:val="bottom"/>
            <w:hideMark/>
          </w:tcPr>
          <w:p w14:paraId="27D264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322</w:t>
            </w:r>
          </w:p>
        </w:tc>
      </w:tr>
      <w:tr w:rsidR="008430BD" w:rsidRPr="001C3EC8" w14:paraId="565C59C8"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5089B523"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136" w:type="dxa"/>
            <w:tcBorders>
              <w:top w:val="nil"/>
              <w:left w:val="nil"/>
              <w:bottom w:val="double" w:sz="6" w:space="0" w:color="auto"/>
              <w:right w:val="nil"/>
            </w:tcBorders>
            <w:shd w:val="clear" w:color="auto" w:fill="auto"/>
            <w:noWrap/>
            <w:vAlign w:val="bottom"/>
            <w:hideMark/>
          </w:tcPr>
          <w:p w14:paraId="4DF6DAE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155</w:t>
            </w:r>
          </w:p>
        </w:tc>
        <w:tc>
          <w:tcPr>
            <w:tcW w:w="944" w:type="dxa"/>
            <w:tcBorders>
              <w:top w:val="nil"/>
              <w:left w:val="nil"/>
              <w:bottom w:val="double" w:sz="6" w:space="0" w:color="auto"/>
              <w:right w:val="nil"/>
            </w:tcBorders>
            <w:shd w:val="clear" w:color="auto" w:fill="auto"/>
            <w:noWrap/>
            <w:vAlign w:val="bottom"/>
            <w:hideMark/>
          </w:tcPr>
          <w:p w14:paraId="1238ABE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552</w:t>
            </w:r>
          </w:p>
        </w:tc>
        <w:tc>
          <w:tcPr>
            <w:tcW w:w="943" w:type="dxa"/>
            <w:tcBorders>
              <w:top w:val="nil"/>
              <w:left w:val="nil"/>
              <w:bottom w:val="double" w:sz="6" w:space="0" w:color="auto"/>
              <w:right w:val="nil"/>
            </w:tcBorders>
            <w:shd w:val="clear" w:color="auto" w:fill="auto"/>
            <w:noWrap/>
            <w:vAlign w:val="bottom"/>
            <w:hideMark/>
          </w:tcPr>
          <w:p w14:paraId="2328A56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803</w:t>
            </w:r>
          </w:p>
        </w:tc>
        <w:tc>
          <w:tcPr>
            <w:tcW w:w="943" w:type="dxa"/>
            <w:tcBorders>
              <w:top w:val="nil"/>
              <w:left w:val="nil"/>
              <w:bottom w:val="double" w:sz="6" w:space="0" w:color="auto"/>
              <w:right w:val="nil"/>
            </w:tcBorders>
            <w:shd w:val="clear" w:color="auto" w:fill="auto"/>
            <w:noWrap/>
            <w:vAlign w:val="bottom"/>
            <w:hideMark/>
          </w:tcPr>
          <w:p w14:paraId="695E0F05" w14:textId="4E2E11E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245</w:t>
            </w:r>
          </w:p>
        </w:tc>
        <w:tc>
          <w:tcPr>
            <w:tcW w:w="1434" w:type="dxa"/>
            <w:tcBorders>
              <w:top w:val="nil"/>
              <w:left w:val="nil"/>
              <w:bottom w:val="double" w:sz="6" w:space="0" w:color="auto"/>
              <w:right w:val="nil"/>
            </w:tcBorders>
            <w:shd w:val="clear" w:color="auto" w:fill="auto"/>
            <w:noWrap/>
            <w:vAlign w:val="bottom"/>
            <w:hideMark/>
          </w:tcPr>
          <w:p w14:paraId="58733245" w14:textId="587226E8"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55295C">
              <w:rPr>
                <w:rFonts w:eastAsia="Times New Roman"/>
                <w:b/>
                <w:bCs/>
                <w:color w:val="000000" w:themeColor="text1"/>
                <w:szCs w:val="24"/>
                <w:lang w:eastAsia="cs-CZ"/>
              </w:rPr>
              <w:t> </w:t>
            </w:r>
            <w:r w:rsidRPr="001C3EC8">
              <w:rPr>
                <w:rFonts w:eastAsia="Times New Roman"/>
                <w:b/>
                <w:bCs/>
                <w:color w:val="000000" w:themeColor="text1"/>
                <w:szCs w:val="24"/>
                <w:lang w:eastAsia="cs-CZ"/>
              </w:rPr>
              <w:t>466</w:t>
            </w:r>
          </w:p>
        </w:tc>
      </w:tr>
    </w:tbl>
    <w:p w14:paraId="2FED29E5" w14:textId="77777777" w:rsidR="008430BD" w:rsidRPr="001C3EC8" w:rsidRDefault="008430BD" w:rsidP="008430BD">
      <w:pPr>
        <w:rPr>
          <w:color w:val="000000" w:themeColor="text1"/>
        </w:rPr>
      </w:pPr>
    </w:p>
    <w:p w14:paraId="386D00AC" w14:textId="77777777" w:rsidR="008430BD" w:rsidRPr="001C3EC8" w:rsidRDefault="008430BD" w:rsidP="008430BD">
      <w:pPr>
        <w:spacing w:line="240" w:lineRule="auto"/>
        <w:jc w:val="left"/>
        <w:rPr>
          <w:color w:val="000000" w:themeColor="text1"/>
        </w:rPr>
      </w:pPr>
      <w:r w:rsidRPr="001C3EC8">
        <w:rPr>
          <w:color w:val="000000" w:themeColor="text1"/>
        </w:rPr>
        <w:br w:type="page"/>
      </w:r>
      <w:bookmarkEnd w:id="68"/>
    </w:p>
    <w:p w14:paraId="48BF8F17" w14:textId="77777777" w:rsidR="008430BD" w:rsidRPr="001C3EC8" w:rsidRDefault="008430BD" w:rsidP="008430BD">
      <w:pPr>
        <w:pStyle w:val="Nadpis2"/>
        <w:numPr>
          <w:ilvl w:val="1"/>
          <w:numId w:val="1"/>
        </w:numPr>
        <w:spacing w:before="120"/>
      </w:pPr>
      <w:bookmarkStart w:id="73" w:name="_Ref9425277"/>
      <w:bookmarkStart w:id="74" w:name="_Ref10553155"/>
      <w:bookmarkStart w:id="75" w:name="_Ref10553167"/>
      <w:bookmarkStart w:id="76" w:name="_Toc75952056"/>
      <w:r w:rsidRPr="001C3EC8">
        <w:lastRenderedPageBreak/>
        <w:t>Civilní agenda</w:t>
      </w:r>
      <w:bookmarkEnd w:id="73"/>
      <w:bookmarkEnd w:id="74"/>
      <w:bookmarkEnd w:id="75"/>
      <w:bookmarkEnd w:id="76"/>
    </w:p>
    <w:p w14:paraId="77E13F91" w14:textId="77777777" w:rsidR="008430BD" w:rsidRPr="001C3EC8" w:rsidRDefault="008430BD" w:rsidP="008430BD">
      <w:pPr>
        <w:pStyle w:val="OdstavecASR"/>
        <w:rPr>
          <w:color w:val="000000" w:themeColor="text1"/>
        </w:rPr>
      </w:pPr>
      <w:r w:rsidRPr="001C3EC8">
        <w:rPr>
          <w:color w:val="000000" w:themeColor="text1"/>
        </w:rPr>
        <w:t xml:space="preserve">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Tato část Výroční statistické zprávy se zaměřuje právě na tuto agendu. Statistiky týkající se vedlejších agend jsou dostupné z jiných zdrojů (např. na internetových stránkách </w:t>
      </w:r>
      <w:proofErr w:type="spellStart"/>
      <w:r w:rsidRPr="001C3EC8">
        <w:rPr>
          <w:color w:val="000000" w:themeColor="text1"/>
        </w:rPr>
        <w:t>InfoData</w:t>
      </w:r>
      <w:proofErr w:type="spellEnd"/>
      <w:r w:rsidRPr="001C3EC8">
        <w:rPr>
          <w:color w:val="000000" w:themeColor="text1"/>
        </w:rPr>
        <w:t xml:space="preserve"> nebo ve statistických ročenkách).</w:t>
      </w:r>
    </w:p>
    <w:p w14:paraId="17509231" w14:textId="2E1D9BF6" w:rsidR="008430BD" w:rsidRPr="001C3EC8" w:rsidRDefault="008430BD" w:rsidP="008430BD">
      <w:pPr>
        <w:pStyle w:val="OdstavecASR"/>
        <w:rPr>
          <w:color w:val="000000" w:themeColor="text1"/>
        </w:rPr>
      </w:pPr>
      <w:r w:rsidRPr="001C3EC8">
        <w:rPr>
          <w:color w:val="000000" w:themeColor="text1"/>
        </w:rPr>
        <w:t xml:space="preserve">Po úvaze byla data očištěna </w:t>
      </w:r>
      <w:r w:rsidR="001B5E6A" w:rsidRPr="001C3EC8">
        <w:rPr>
          <w:color w:val="000000" w:themeColor="text1"/>
        </w:rPr>
        <w:t>i</w:t>
      </w:r>
      <w:r w:rsidR="001B5E6A">
        <w:rPr>
          <w:color w:val="000000" w:themeColor="text1"/>
        </w:rPr>
        <w:t> </w:t>
      </w:r>
      <w:r w:rsidRPr="001C3EC8">
        <w:rPr>
          <w:color w:val="000000" w:themeColor="text1"/>
        </w:rPr>
        <w:t>o rozkazní řízení (hlavně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rychlejší na vyřízení. Z toho plynou i kratší délky řízení. V letech, kdy jich bylo do statistických listů zaneseno relativně více, pak došlo k poklesu vykazované délky řízení. Rozkaznímu řízení se věnuje další kapitola.</w:t>
      </w:r>
    </w:p>
    <w:p w14:paraId="090526AA" w14:textId="77777777" w:rsidR="008430BD" w:rsidRPr="001C3EC8" w:rsidRDefault="008430BD" w:rsidP="008430BD">
      <w:pPr>
        <w:pStyle w:val="OdstavecASR"/>
        <w:rPr>
          <w:color w:val="000000" w:themeColor="text1"/>
        </w:rPr>
      </w:pPr>
      <w:r w:rsidRPr="001C3EC8">
        <w:rPr>
          <w:color w:val="000000" w:themeColor="text1"/>
        </w:rPr>
        <w:t xml:space="preserve">Z výše zmíněného důvodu se zde uvedené údaje týkající se průměrné délky řízení liší od údajů z jiných zdrojů (internetové stránky </w:t>
      </w:r>
      <w:proofErr w:type="spellStart"/>
      <w:r w:rsidRPr="001C3EC8">
        <w:rPr>
          <w:color w:val="000000" w:themeColor="text1"/>
        </w:rPr>
        <w:t>InfoData</w:t>
      </w:r>
      <w:proofErr w:type="spellEnd"/>
      <w:r w:rsidRPr="001C3EC8">
        <w:rPr>
          <w:color w:val="000000" w:themeColor="text1"/>
        </w:rPr>
        <w:t xml:space="preserve">, statistické ročenky). Údaje prezentované jak v této zprávě, tak na serveru </w:t>
      </w:r>
      <w:proofErr w:type="spellStart"/>
      <w:r w:rsidRPr="001C3EC8">
        <w:rPr>
          <w:color w:val="000000" w:themeColor="text1"/>
        </w:rPr>
        <w:t>InfoData</w:t>
      </w:r>
      <w:proofErr w:type="spellEnd"/>
      <w:r w:rsidRPr="001C3EC8">
        <w:rPr>
          <w:color w:val="000000" w:themeColor="text1"/>
        </w:rPr>
        <w:t>, jsou správné, ale vycházejí z jiných dat. Zde uvedené délky řízení jsou přirozeně vyšší, protože v nich není zahrnuto rozkazní řízení.</w:t>
      </w:r>
    </w:p>
    <w:p w14:paraId="25A8F877" w14:textId="77777777" w:rsidR="008430BD" w:rsidRPr="001C3EC8" w:rsidRDefault="008430BD" w:rsidP="008430BD">
      <w:pPr>
        <w:pStyle w:val="Nadpis3"/>
        <w:numPr>
          <w:ilvl w:val="2"/>
          <w:numId w:val="1"/>
        </w:numPr>
        <w:rPr>
          <w:color w:val="000000" w:themeColor="text1"/>
        </w:rPr>
      </w:pPr>
      <w:bookmarkStart w:id="77" w:name="_Ref513277229"/>
      <w:bookmarkStart w:id="78" w:name="_Toc517118511"/>
      <w:bookmarkStart w:id="79" w:name="_Toc75952057"/>
      <w:r w:rsidRPr="001C3EC8">
        <w:rPr>
          <w:color w:val="000000" w:themeColor="text1"/>
        </w:rPr>
        <w:t>Délka řízení</w:t>
      </w:r>
      <w:bookmarkEnd w:id="77"/>
      <w:bookmarkEnd w:id="78"/>
      <w:bookmarkEnd w:id="79"/>
    </w:p>
    <w:p w14:paraId="5E50A341" w14:textId="3AB3E2D9" w:rsidR="008430BD" w:rsidRPr="001C3EC8" w:rsidRDefault="008430BD" w:rsidP="008430BD">
      <w:pPr>
        <w:pStyle w:val="OdstavecASR"/>
        <w:rPr>
          <w:color w:val="000000" w:themeColor="text1"/>
        </w:rPr>
      </w:pPr>
      <w:r w:rsidRPr="001C3EC8">
        <w:rPr>
          <w:color w:val="000000" w:themeColor="text1"/>
        </w:rPr>
        <w:t xml:space="preserve">Délku řízení zjišťujeme ze statistických listů (SL). Uvádíme ji v kalendářních dnech ode dne nápadu do dne konečného vyřízení věci soudem </w:t>
      </w:r>
      <w:r w:rsidR="000C3B1E">
        <w:rPr>
          <w:color w:val="000000" w:themeColor="text1"/>
        </w:rPr>
        <w:t>I. stupně</w:t>
      </w:r>
      <w:r w:rsidRPr="001C3EC8">
        <w:rPr>
          <w:color w:val="000000" w:themeColor="text1"/>
        </w:rPr>
        <w:t>. Je třeba nezapomenout, že do vzorku se započítávají jen ta řízení, která v daném roce skončil</w:t>
      </w:r>
      <w:r w:rsidR="00E74BB3" w:rsidRPr="001C3EC8">
        <w:rPr>
          <w:color w:val="000000" w:themeColor="text1"/>
        </w:rPr>
        <w:t>a</w:t>
      </w:r>
      <w:r w:rsidRPr="001C3EC8">
        <w:rPr>
          <w:color w:val="000000" w:themeColor="text1"/>
        </w:rPr>
        <w:t xml:space="preserve">, tj. byla vyřízena, nikoliv ta, která stále probíhala. Je proto typickým jevem, že pokud dojde k přetížení soudu, neprojeví se to v průměrné délce řízení okamžitě, protože soud bude mít tendenci přednostně vyřizovat jednodušší věci a složitější věci budou stárnout, ale 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pak následuje v dalších letech neméně prudký pokles). Pro rozlišení takových situací je třeba doplnit pohled o další statistické údaje, zejména trend počtu nevyřízených věcí a tzv.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(viz dále).</w:t>
      </w:r>
    </w:p>
    <w:p w14:paraId="5693CD07" w14:textId="14AB675C" w:rsidR="008430BD" w:rsidRPr="001C3EC8" w:rsidRDefault="008430BD" w:rsidP="008430BD">
      <w:pPr>
        <w:pStyle w:val="OdstavecASR"/>
        <w:rPr>
          <w:color w:val="000000" w:themeColor="text1"/>
        </w:rPr>
      </w:pPr>
      <w:r w:rsidRPr="001C3EC8">
        <w:rPr>
          <w:color w:val="000000" w:themeColor="text1"/>
        </w:rPr>
        <w:t>Graf</w:t>
      </w:r>
      <w:r w:rsidR="001B5E6A">
        <w:rPr>
          <w:color w:val="000000" w:themeColor="text1"/>
        </w:rPr>
        <w:t> </w:t>
      </w:r>
      <w:r w:rsidRPr="001C3EC8">
        <w:rPr>
          <w:color w:val="000000" w:themeColor="text1"/>
        </w:rPr>
        <w:t>6 sleduje změny v průměru (jedná se o nejběžněji uváděný údaj), mediánu (není ovlivněn extrémy a v tomto případě tak má lepší vypovídající hodnotu) a percentilu 90 (ukazuje, jak dlouho soudům trvá vyřízení 10</w:t>
      </w:r>
      <w:r w:rsidR="00E74BB3" w:rsidRPr="001C3EC8">
        <w:rPr>
          <w:color w:val="000000" w:themeColor="text1"/>
        </w:rPr>
        <w:t xml:space="preserve"> </w:t>
      </w:r>
      <w:r w:rsidRPr="001C3EC8">
        <w:rPr>
          <w:color w:val="000000" w:themeColor="text1"/>
        </w:rPr>
        <w:t>% nejdelších věcí). Na rozdíl od neočištěných dat nevykazují očištěná data v letech 2009–2011 výrazný, ale pouze velmi mírný pokles délky řízení. Je ale patrný nárůst délek řízení v letech 2012 a 2013, který je následován poklesem. Jako velmi pozitivní se jeví jasný klesající trend v letech 2014–2019 v délce řízení (průměr, medián i percentil</w:t>
      </w:r>
      <w:r w:rsidR="001B5E6A">
        <w:rPr>
          <w:color w:val="000000" w:themeColor="text1"/>
        </w:rPr>
        <w:t> </w:t>
      </w:r>
      <w:r w:rsidRPr="001C3EC8">
        <w:rPr>
          <w:color w:val="000000" w:themeColor="text1"/>
        </w:rPr>
        <w:t xml:space="preserve">90). Výše uvedený trend se postupně zpomaloval. V roce 2018 klesl medián již jen </w:t>
      </w:r>
      <w:r w:rsidR="001B5E6A" w:rsidRPr="001C3EC8">
        <w:rPr>
          <w:color w:val="000000" w:themeColor="text1"/>
        </w:rPr>
        <w:t>o</w:t>
      </w:r>
      <w:r w:rsidR="001B5E6A">
        <w:rPr>
          <w:color w:val="000000" w:themeColor="text1"/>
        </w:rPr>
        <w:t> </w:t>
      </w:r>
      <w:r w:rsidR="001B5E6A" w:rsidRPr="001C3EC8">
        <w:rPr>
          <w:color w:val="000000" w:themeColor="text1"/>
        </w:rPr>
        <w:t>5</w:t>
      </w:r>
      <w:r w:rsidR="001B5E6A">
        <w:rPr>
          <w:color w:val="000000" w:themeColor="text1"/>
        </w:rPr>
        <w:t> </w:t>
      </w:r>
      <w:r w:rsidRPr="001C3EC8">
        <w:rPr>
          <w:color w:val="000000" w:themeColor="text1"/>
        </w:rPr>
        <w:t xml:space="preserve">dnů </w:t>
      </w:r>
      <w:r w:rsidR="001B5E6A" w:rsidRPr="001C3EC8">
        <w:rPr>
          <w:color w:val="000000" w:themeColor="text1"/>
        </w:rPr>
        <w:t>a</w:t>
      </w:r>
      <w:r w:rsidR="001B5E6A">
        <w:rPr>
          <w:color w:val="000000" w:themeColor="text1"/>
        </w:rPr>
        <w:t> </w:t>
      </w:r>
      <w:r w:rsidRPr="001C3EC8">
        <w:rPr>
          <w:color w:val="000000" w:themeColor="text1"/>
        </w:rPr>
        <w:t xml:space="preserve">průměr </w:t>
      </w:r>
      <w:r w:rsidR="001B5E6A" w:rsidRPr="001C3EC8">
        <w:rPr>
          <w:color w:val="000000" w:themeColor="text1"/>
        </w:rPr>
        <w:t>o</w:t>
      </w:r>
      <w:r w:rsidR="001B5E6A">
        <w:rPr>
          <w:color w:val="000000" w:themeColor="text1"/>
        </w:rPr>
        <w:t> </w:t>
      </w:r>
      <w:r w:rsidRPr="001C3EC8">
        <w:rPr>
          <w:color w:val="000000" w:themeColor="text1"/>
        </w:rPr>
        <w:t>22</w:t>
      </w:r>
      <w:r w:rsidR="001B5E6A">
        <w:rPr>
          <w:color w:val="000000" w:themeColor="text1"/>
        </w:rPr>
        <w:t> </w:t>
      </w:r>
      <w:r w:rsidRPr="001C3EC8">
        <w:rPr>
          <w:color w:val="000000" w:themeColor="text1"/>
        </w:rPr>
        <w:t xml:space="preserve">dnů </w:t>
      </w:r>
      <w:r w:rsidR="001B5E6A" w:rsidRPr="001C3EC8">
        <w:rPr>
          <w:color w:val="000000" w:themeColor="text1"/>
        </w:rPr>
        <w:t>a</w:t>
      </w:r>
      <w:r w:rsidR="001B5E6A">
        <w:rPr>
          <w:color w:val="000000" w:themeColor="text1"/>
        </w:rPr>
        <w:t> </w:t>
      </w:r>
      <w:r w:rsidRPr="001C3EC8">
        <w:rPr>
          <w:color w:val="000000" w:themeColor="text1"/>
        </w:rPr>
        <w:t xml:space="preserve">v roce 2019 poklesl medián </w:t>
      </w:r>
      <w:r w:rsidR="001B5E6A" w:rsidRPr="001C3EC8">
        <w:rPr>
          <w:color w:val="000000" w:themeColor="text1"/>
        </w:rPr>
        <w:t>o</w:t>
      </w:r>
      <w:r w:rsidR="001B5E6A">
        <w:rPr>
          <w:color w:val="000000" w:themeColor="text1"/>
        </w:rPr>
        <w:t> </w:t>
      </w:r>
      <w:r w:rsidR="001B5E6A" w:rsidRPr="001C3EC8">
        <w:rPr>
          <w:color w:val="000000" w:themeColor="text1"/>
        </w:rPr>
        <w:t>6</w:t>
      </w:r>
      <w:r w:rsidR="001B5E6A">
        <w:rPr>
          <w:color w:val="000000" w:themeColor="text1"/>
        </w:rPr>
        <w:t> </w:t>
      </w:r>
      <w:r w:rsidRPr="001C3EC8">
        <w:rPr>
          <w:color w:val="000000" w:themeColor="text1"/>
        </w:rPr>
        <w:t xml:space="preserve">dnů </w:t>
      </w:r>
      <w:r w:rsidR="001B5E6A" w:rsidRPr="001C3EC8">
        <w:rPr>
          <w:color w:val="000000" w:themeColor="text1"/>
        </w:rPr>
        <w:t>a</w:t>
      </w:r>
      <w:r w:rsidR="001B5E6A">
        <w:rPr>
          <w:color w:val="000000" w:themeColor="text1"/>
        </w:rPr>
        <w:t> </w:t>
      </w:r>
      <w:r w:rsidRPr="001C3EC8">
        <w:rPr>
          <w:color w:val="000000" w:themeColor="text1"/>
        </w:rPr>
        <w:t>průměr o</w:t>
      </w:r>
      <w:r w:rsidR="001B5E6A">
        <w:rPr>
          <w:color w:val="000000" w:themeColor="text1"/>
        </w:rPr>
        <w:t> </w:t>
      </w:r>
      <w:r w:rsidRPr="001C3EC8">
        <w:rPr>
          <w:color w:val="000000" w:themeColor="text1"/>
        </w:rPr>
        <w:t>13</w:t>
      </w:r>
      <w:r w:rsidR="001B5E6A">
        <w:rPr>
          <w:color w:val="000000" w:themeColor="text1"/>
        </w:rPr>
        <w:t> </w:t>
      </w:r>
      <w:r w:rsidRPr="001C3EC8">
        <w:rPr>
          <w:color w:val="000000" w:themeColor="text1"/>
        </w:rPr>
        <w:t>dnů. Pokles 90.</w:t>
      </w:r>
      <w:r w:rsidR="001B5E6A">
        <w:rPr>
          <w:color w:val="000000" w:themeColor="text1"/>
        </w:rPr>
        <w:t> </w:t>
      </w:r>
      <w:r w:rsidRPr="001C3EC8">
        <w:rPr>
          <w:color w:val="000000" w:themeColor="text1"/>
        </w:rPr>
        <w:t xml:space="preserve">percentilu se také značně zpomalil, je ale stále velmi výrazný. Je tedy zřejmé, že řízení se zrychlilo především u nejdéle trvajících sporů. Pokud porovnáme rok 2014 </w:t>
      </w:r>
      <w:r w:rsidR="001B5E6A" w:rsidRPr="001C3EC8">
        <w:rPr>
          <w:color w:val="000000" w:themeColor="text1"/>
        </w:rPr>
        <w:t>a</w:t>
      </w:r>
      <w:r w:rsidR="001B5E6A">
        <w:rPr>
          <w:color w:val="000000" w:themeColor="text1"/>
        </w:rPr>
        <w:t> </w:t>
      </w:r>
      <w:r w:rsidRPr="001C3EC8">
        <w:rPr>
          <w:color w:val="000000" w:themeColor="text1"/>
        </w:rPr>
        <w:t xml:space="preserve">rok 2019, pokles v délkách řízení je opravdu signifikantní – medián klesl </w:t>
      </w:r>
      <w:r w:rsidR="001B5E6A" w:rsidRPr="001C3EC8">
        <w:rPr>
          <w:color w:val="000000" w:themeColor="text1"/>
        </w:rPr>
        <w:t>o</w:t>
      </w:r>
      <w:r w:rsidR="001B5E6A">
        <w:rPr>
          <w:color w:val="000000" w:themeColor="text1"/>
        </w:rPr>
        <w:t> </w:t>
      </w:r>
      <w:r w:rsidRPr="001C3EC8">
        <w:rPr>
          <w:color w:val="000000" w:themeColor="text1"/>
        </w:rPr>
        <w:t xml:space="preserve">37 %, průměr </w:t>
      </w:r>
      <w:r w:rsidR="001B5E6A" w:rsidRPr="001C3EC8">
        <w:rPr>
          <w:color w:val="000000" w:themeColor="text1"/>
        </w:rPr>
        <w:t>o</w:t>
      </w:r>
      <w:r w:rsidR="001B5E6A">
        <w:rPr>
          <w:color w:val="000000" w:themeColor="text1"/>
        </w:rPr>
        <w:t> </w:t>
      </w:r>
      <w:r w:rsidRPr="001C3EC8">
        <w:rPr>
          <w:color w:val="000000" w:themeColor="text1"/>
        </w:rPr>
        <w:t>39 %</w:t>
      </w:r>
      <w:r w:rsidR="001B5E6A">
        <w:rPr>
          <w:color w:val="000000" w:themeColor="text1"/>
        </w:rPr>
        <w:t xml:space="preserve"> </w:t>
      </w:r>
      <w:r w:rsidR="001B5E6A" w:rsidRPr="001C3EC8">
        <w:rPr>
          <w:color w:val="000000" w:themeColor="text1"/>
        </w:rPr>
        <w:t>a</w:t>
      </w:r>
      <w:r w:rsidR="001B5E6A">
        <w:rPr>
          <w:color w:val="000000" w:themeColor="text1"/>
        </w:rPr>
        <w:t> </w:t>
      </w:r>
      <w:r w:rsidRPr="001C3EC8">
        <w:rPr>
          <w:color w:val="000000" w:themeColor="text1"/>
        </w:rPr>
        <w:t xml:space="preserve">percentil 90 </w:t>
      </w:r>
      <w:r w:rsidR="001B5E6A" w:rsidRPr="001C3EC8">
        <w:rPr>
          <w:color w:val="000000" w:themeColor="text1"/>
        </w:rPr>
        <w:t>o</w:t>
      </w:r>
      <w:r w:rsidR="001B5E6A">
        <w:rPr>
          <w:color w:val="000000" w:themeColor="text1"/>
        </w:rPr>
        <w:t> </w:t>
      </w:r>
      <w:r w:rsidRPr="001C3EC8">
        <w:rPr>
          <w:color w:val="000000" w:themeColor="text1"/>
        </w:rPr>
        <w:t xml:space="preserve">56 %. Tvrzení, že se situace v této agendě zlepšovala, </w:t>
      </w:r>
      <w:r w:rsidRPr="001C3EC8">
        <w:rPr>
          <w:color w:val="000000" w:themeColor="text1"/>
        </w:rPr>
        <w:lastRenderedPageBreak/>
        <w:t xml:space="preserve">potvrzují také snižující se počty nevyřízených věcí (graf 10). V roce 2020 došlo po 6 letech k nárůstu v délkách řízení. Jedná se ale </w:t>
      </w:r>
      <w:r w:rsidR="001B5E6A" w:rsidRPr="001C3EC8">
        <w:rPr>
          <w:color w:val="000000" w:themeColor="text1"/>
        </w:rPr>
        <w:t>o</w:t>
      </w:r>
      <w:r w:rsidR="001B5E6A">
        <w:rPr>
          <w:color w:val="000000" w:themeColor="text1"/>
        </w:rPr>
        <w:t> </w:t>
      </w:r>
      <w:r w:rsidRPr="001C3EC8">
        <w:rPr>
          <w:color w:val="000000" w:themeColor="text1"/>
        </w:rPr>
        <w:t>poměrně malý nárůst (průměr +18</w:t>
      </w:r>
      <w:r w:rsidR="001B5E6A">
        <w:rPr>
          <w:color w:val="000000" w:themeColor="text1"/>
        </w:rPr>
        <w:t> </w:t>
      </w:r>
      <w:r w:rsidRPr="001C3EC8">
        <w:rPr>
          <w:color w:val="000000" w:themeColor="text1"/>
        </w:rPr>
        <w:t>dnů, medián +2</w:t>
      </w:r>
      <w:r w:rsidR="001B5E6A">
        <w:rPr>
          <w:color w:val="000000" w:themeColor="text1"/>
        </w:rPr>
        <w:t> </w:t>
      </w:r>
      <w:r w:rsidRPr="001C3EC8">
        <w:rPr>
          <w:color w:val="000000" w:themeColor="text1"/>
        </w:rPr>
        <w:t xml:space="preserve">dny, percentil +90 dnů). Mohlo by se tedy zdát, že soudy vyčerpaly své možnosti zlepšování </w:t>
      </w:r>
      <w:r w:rsidR="001B5E6A" w:rsidRPr="001C3EC8">
        <w:rPr>
          <w:color w:val="000000" w:themeColor="text1"/>
        </w:rPr>
        <w:t>a</w:t>
      </w:r>
      <w:r w:rsidR="001B5E6A">
        <w:rPr>
          <w:color w:val="000000" w:themeColor="text1"/>
        </w:rPr>
        <w:t> </w:t>
      </w:r>
      <w:r w:rsidRPr="001C3EC8">
        <w:rPr>
          <w:color w:val="000000" w:themeColor="text1"/>
        </w:rPr>
        <w:t xml:space="preserve">délky řízení </w:t>
      </w:r>
      <w:r w:rsidR="001B5E6A" w:rsidRPr="001C3EC8">
        <w:rPr>
          <w:color w:val="000000" w:themeColor="text1"/>
        </w:rPr>
        <w:t>a</w:t>
      </w:r>
      <w:r w:rsidR="001B5E6A">
        <w:rPr>
          <w:color w:val="000000" w:themeColor="text1"/>
        </w:rPr>
        <w:t> </w:t>
      </w:r>
      <w:r w:rsidRPr="001C3EC8">
        <w:rPr>
          <w:color w:val="000000" w:themeColor="text1"/>
        </w:rPr>
        <w:t xml:space="preserve">situace </w:t>
      </w:r>
      <w:r w:rsidR="001B5E6A" w:rsidRPr="001C3EC8">
        <w:rPr>
          <w:color w:val="000000" w:themeColor="text1"/>
        </w:rPr>
        <w:t>u</w:t>
      </w:r>
      <w:r w:rsidR="001B5E6A">
        <w:rPr>
          <w:color w:val="000000" w:themeColor="text1"/>
        </w:rPr>
        <w:t> </w:t>
      </w:r>
      <w:r w:rsidRPr="001C3EC8">
        <w:rPr>
          <w:color w:val="000000" w:themeColor="text1"/>
        </w:rPr>
        <w:t xml:space="preserve">soudů se nyní nachází v jakémsi dlouhodobém rovnovážném stavu. To ale bude třeba ověřit na dalších datech. Také je třeba poznamenat, že délky řízení mohly být poznamenány pandemií nemoci </w:t>
      </w:r>
      <w:r w:rsidR="000C3B1E">
        <w:rPr>
          <w:color w:val="000000" w:themeColor="text1"/>
        </w:rPr>
        <w:t>COVID</w:t>
      </w:r>
      <w:r w:rsidR="000C3B1E">
        <w:rPr>
          <w:color w:val="000000" w:themeColor="text1"/>
        </w:rPr>
        <w:noBreakHyphen/>
        <w:t>19</w:t>
      </w:r>
      <w:r w:rsidRPr="001C3EC8">
        <w:rPr>
          <w:color w:val="000000" w:themeColor="text1"/>
        </w:rPr>
        <w:t xml:space="preserve">. Tuto hypotézu potvrzuje </w:t>
      </w:r>
      <w:r w:rsidR="001B5E6A" w:rsidRPr="001C3EC8">
        <w:rPr>
          <w:color w:val="000000" w:themeColor="text1"/>
        </w:rPr>
        <w:t>i</w:t>
      </w:r>
      <w:r w:rsidR="001B5E6A">
        <w:rPr>
          <w:color w:val="000000" w:themeColor="text1"/>
        </w:rPr>
        <w:t> </w:t>
      </w:r>
      <w:r w:rsidRPr="001C3EC8">
        <w:rPr>
          <w:color w:val="000000" w:themeColor="text1"/>
        </w:rPr>
        <w:t xml:space="preserve">růst v počtu nevyřízených věcí </w:t>
      </w:r>
      <w:r w:rsidR="001B5E6A" w:rsidRPr="001C3EC8">
        <w:rPr>
          <w:color w:val="000000" w:themeColor="text1"/>
        </w:rPr>
        <w:t>a</w:t>
      </w:r>
      <w:r w:rsidR="001B5E6A">
        <w:rPr>
          <w:color w:val="000000" w:themeColor="text1"/>
        </w:rPr>
        <w:t> </w:t>
      </w:r>
      <w:r w:rsidRPr="001C3EC8">
        <w:rPr>
          <w:color w:val="000000" w:themeColor="text1"/>
        </w:rPr>
        <w:t xml:space="preserve">přes klesající nápad </w:t>
      </w:r>
      <w:r w:rsidR="001B5E6A" w:rsidRPr="001C3EC8">
        <w:rPr>
          <w:color w:val="000000" w:themeColor="text1"/>
        </w:rPr>
        <w:t>i</w:t>
      </w:r>
      <w:r w:rsidR="001B5E6A">
        <w:rPr>
          <w:color w:val="000000" w:themeColor="text1"/>
        </w:rPr>
        <w:t> </w:t>
      </w:r>
      <w:r w:rsidRPr="001C3EC8">
        <w:rPr>
          <w:color w:val="000000" w:themeColor="text1"/>
        </w:rPr>
        <w:t>v počtu věcí vyřízených.</w:t>
      </w:r>
    </w:p>
    <w:p w14:paraId="7F2D6C44" w14:textId="6E24B9A3" w:rsidR="008430BD" w:rsidRPr="001C3EC8" w:rsidRDefault="008430BD" w:rsidP="008430BD">
      <w:pPr>
        <w:pStyle w:val="Podnadpis"/>
        <w:rPr>
          <w:color w:val="000000" w:themeColor="text1"/>
        </w:rPr>
      </w:pPr>
      <w:bookmarkStart w:id="80" w:name="_Toc11135067"/>
      <w:bookmarkStart w:id="81" w:name="_Toc43841386"/>
      <w:bookmarkStart w:id="82" w:name="_Toc75952186"/>
      <w:r w:rsidRPr="001C3EC8">
        <w:rPr>
          <w:color w:val="000000" w:themeColor="text1"/>
        </w:rPr>
        <w:t xml:space="preserve">Graf </w:t>
      </w:r>
      <w:r w:rsidRPr="001C3EC8">
        <w:rPr>
          <w:color w:val="000000" w:themeColor="text1"/>
        </w:rPr>
        <w:fldChar w:fldCharType="begin"/>
      </w:r>
      <w:r w:rsidRPr="001C3EC8">
        <w:rPr>
          <w:noProof/>
          <w:color w:val="000000" w:themeColor="text1"/>
        </w:rPr>
        <w:instrText xml:space="preserve"> SEQ Graf \* ARABIC </w:instrText>
      </w:r>
      <w:r w:rsidRPr="001C3EC8">
        <w:rPr>
          <w:color w:val="000000" w:themeColor="text1"/>
        </w:rPr>
        <w:fldChar w:fldCharType="separate"/>
      </w:r>
      <w:r w:rsidR="009C575D">
        <w:rPr>
          <w:noProof/>
          <w:color w:val="000000" w:themeColor="text1"/>
        </w:rPr>
        <w:t>6</w:t>
      </w:r>
      <w:r w:rsidRPr="001C3EC8">
        <w:rPr>
          <w:color w:val="000000" w:themeColor="text1"/>
        </w:rPr>
        <w:fldChar w:fldCharType="end"/>
      </w:r>
      <w:r w:rsidRPr="001C3EC8">
        <w:rPr>
          <w:color w:val="000000" w:themeColor="text1"/>
        </w:rPr>
        <w:t>: OS – délka civilního řízení v letech 2008–20</w:t>
      </w:r>
      <w:bookmarkEnd w:id="80"/>
      <w:bookmarkEnd w:id="81"/>
      <w:r w:rsidRPr="001C3EC8">
        <w:rPr>
          <w:color w:val="000000" w:themeColor="text1"/>
        </w:rPr>
        <w:t>20</w:t>
      </w:r>
      <w:bookmarkEnd w:id="82"/>
    </w:p>
    <w:p w14:paraId="0C9F6E08"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154E7A7A" wp14:editId="7EBD5A4E">
            <wp:extent cx="5112385" cy="3745230"/>
            <wp:effectExtent l="0" t="0" r="0" b="762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5B4CF029" w14:textId="188E8D01" w:rsidR="008430BD" w:rsidRPr="001C3EC8" w:rsidRDefault="008430BD" w:rsidP="008430BD">
      <w:pPr>
        <w:pStyle w:val="Podnadpis"/>
        <w:rPr>
          <w:color w:val="000000" w:themeColor="text1"/>
        </w:rPr>
      </w:pPr>
      <w:bookmarkStart w:id="83" w:name="_Toc11133209"/>
      <w:bookmarkStart w:id="84" w:name="_Toc43931182"/>
      <w:bookmarkStart w:id="85" w:name="_Toc75952312"/>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9</w:t>
      </w:r>
      <w:r w:rsidRPr="001C3EC8">
        <w:rPr>
          <w:noProof/>
          <w:color w:val="000000" w:themeColor="text1"/>
        </w:rPr>
        <w:fldChar w:fldCharType="end"/>
      </w:r>
      <w:r w:rsidRPr="001C3EC8">
        <w:rPr>
          <w:color w:val="000000" w:themeColor="text1"/>
        </w:rPr>
        <w:t xml:space="preserve">: </w:t>
      </w:r>
      <w:bookmarkStart w:id="86" w:name="_Ref509210728"/>
      <w:r w:rsidRPr="001C3EC8">
        <w:rPr>
          <w:color w:val="000000" w:themeColor="text1"/>
        </w:rPr>
        <w:t>OS – délky civilního řízení dle krajů</w:t>
      </w:r>
      <w:bookmarkEnd w:id="83"/>
      <w:bookmarkEnd w:id="84"/>
      <w:bookmarkEnd w:id="86"/>
      <w:bookmarkEnd w:id="85"/>
    </w:p>
    <w:tbl>
      <w:tblPr>
        <w:tblW w:w="7520" w:type="dxa"/>
        <w:tblCellMar>
          <w:left w:w="70" w:type="dxa"/>
          <w:right w:w="70" w:type="dxa"/>
        </w:tblCellMar>
        <w:tblLook w:val="04A0" w:firstRow="1" w:lastRow="0" w:firstColumn="1" w:lastColumn="0" w:noHBand="0" w:noVBand="1"/>
      </w:tblPr>
      <w:tblGrid>
        <w:gridCol w:w="2480"/>
        <w:gridCol w:w="686"/>
        <w:gridCol w:w="1053"/>
        <w:gridCol w:w="685"/>
        <w:gridCol w:w="878"/>
        <w:gridCol w:w="685"/>
        <w:gridCol w:w="1053"/>
      </w:tblGrid>
      <w:tr w:rsidR="008430BD" w:rsidRPr="001C3EC8" w14:paraId="4E52CF0B"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1A64B2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14:paraId="539D22F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4F3308AF"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59DDC21F"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739" w:type="dxa"/>
            <w:gridSpan w:val="2"/>
            <w:tcBorders>
              <w:top w:val="nil"/>
              <w:left w:val="nil"/>
              <w:bottom w:val="double" w:sz="6" w:space="0" w:color="auto"/>
              <w:right w:val="nil"/>
            </w:tcBorders>
            <w:shd w:val="clear" w:color="auto" w:fill="auto"/>
            <w:noWrap/>
            <w:vAlign w:val="center"/>
            <w:hideMark/>
          </w:tcPr>
          <w:p w14:paraId="2B6CF30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56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DB4569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738" w:type="dxa"/>
            <w:gridSpan w:val="2"/>
            <w:tcBorders>
              <w:top w:val="nil"/>
              <w:left w:val="nil"/>
              <w:bottom w:val="double" w:sz="6" w:space="0" w:color="auto"/>
              <w:right w:val="nil"/>
            </w:tcBorders>
            <w:shd w:val="clear" w:color="auto" w:fill="auto"/>
            <w:noWrap/>
            <w:vAlign w:val="center"/>
            <w:hideMark/>
          </w:tcPr>
          <w:p w14:paraId="5A6AD32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06F7E29E"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3E0FE0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686" w:type="dxa"/>
            <w:tcBorders>
              <w:top w:val="single" w:sz="4" w:space="0" w:color="auto"/>
              <w:left w:val="nil"/>
              <w:bottom w:val="single" w:sz="4" w:space="0" w:color="auto"/>
              <w:right w:val="nil"/>
            </w:tcBorders>
            <w:shd w:val="clear" w:color="auto" w:fill="auto"/>
            <w:noWrap/>
            <w:vAlign w:val="bottom"/>
            <w:hideMark/>
          </w:tcPr>
          <w:p w14:paraId="197E7EA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296</w:t>
            </w:r>
          </w:p>
        </w:tc>
        <w:tc>
          <w:tcPr>
            <w:tcW w:w="1053" w:type="dxa"/>
            <w:tcBorders>
              <w:top w:val="single" w:sz="4" w:space="0" w:color="auto"/>
              <w:left w:val="nil"/>
              <w:bottom w:val="single" w:sz="4" w:space="0" w:color="auto"/>
              <w:right w:val="nil"/>
            </w:tcBorders>
            <w:shd w:val="clear" w:color="auto" w:fill="auto"/>
            <w:noWrap/>
            <w:vAlign w:val="center"/>
            <w:hideMark/>
          </w:tcPr>
          <w:p w14:paraId="24CDAF5A" w14:textId="0D4292C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+11</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01CCCBA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181</w:t>
            </w:r>
          </w:p>
        </w:tc>
        <w:tc>
          <w:tcPr>
            <w:tcW w:w="878" w:type="dxa"/>
            <w:tcBorders>
              <w:top w:val="nil"/>
              <w:left w:val="nil"/>
              <w:bottom w:val="single" w:sz="4" w:space="0" w:color="auto"/>
              <w:right w:val="single" w:sz="4" w:space="0" w:color="auto"/>
            </w:tcBorders>
            <w:shd w:val="clear" w:color="auto" w:fill="auto"/>
            <w:noWrap/>
            <w:vAlign w:val="center"/>
            <w:hideMark/>
          </w:tcPr>
          <w:p w14:paraId="28AD120B" w14:textId="1878E1B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7</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single" w:sz="4" w:space="0" w:color="auto"/>
              <w:left w:val="nil"/>
              <w:bottom w:val="single" w:sz="4" w:space="0" w:color="auto"/>
              <w:right w:val="nil"/>
            </w:tcBorders>
            <w:shd w:val="clear" w:color="auto" w:fill="auto"/>
            <w:noWrap/>
            <w:vAlign w:val="bottom"/>
            <w:hideMark/>
          </w:tcPr>
          <w:p w14:paraId="129A04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529</w:t>
            </w:r>
          </w:p>
        </w:tc>
        <w:tc>
          <w:tcPr>
            <w:tcW w:w="1053" w:type="dxa"/>
            <w:tcBorders>
              <w:top w:val="single" w:sz="4" w:space="0" w:color="auto"/>
              <w:left w:val="nil"/>
              <w:bottom w:val="single" w:sz="4" w:space="0" w:color="auto"/>
              <w:right w:val="nil"/>
            </w:tcBorders>
            <w:shd w:val="clear" w:color="auto" w:fill="auto"/>
            <w:noWrap/>
            <w:vAlign w:val="center"/>
            <w:hideMark/>
          </w:tcPr>
          <w:p w14:paraId="399AE960" w14:textId="6B2F42B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+16</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0B63005E"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EBD799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686" w:type="dxa"/>
            <w:tcBorders>
              <w:top w:val="nil"/>
              <w:left w:val="nil"/>
              <w:bottom w:val="single" w:sz="4" w:space="0" w:color="auto"/>
              <w:right w:val="nil"/>
            </w:tcBorders>
            <w:shd w:val="clear" w:color="auto" w:fill="auto"/>
            <w:noWrap/>
            <w:vAlign w:val="bottom"/>
            <w:hideMark/>
          </w:tcPr>
          <w:p w14:paraId="75EED7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203</w:t>
            </w:r>
          </w:p>
        </w:tc>
        <w:tc>
          <w:tcPr>
            <w:tcW w:w="1053" w:type="dxa"/>
            <w:tcBorders>
              <w:top w:val="nil"/>
              <w:left w:val="nil"/>
              <w:bottom w:val="single" w:sz="4" w:space="0" w:color="auto"/>
              <w:right w:val="nil"/>
            </w:tcBorders>
            <w:shd w:val="clear" w:color="auto" w:fill="auto"/>
            <w:noWrap/>
            <w:vAlign w:val="center"/>
            <w:hideMark/>
          </w:tcPr>
          <w:p w14:paraId="66C45EAE" w14:textId="7EF9024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7</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16712E7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134</w:t>
            </w:r>
          </w:p>
        </w:tc>
        <w:tc>
          <w:tcPr>
            <w:tcW w:w="878" w:type="dxa"/>
            <w:tcBorders>
              <w:top w:val="nil"/>
              <w:left w:val="nil"/>
              <w:bottom w:val="single" w:sz="4" w:space="0" w:color="auto"/>
              <w:right w:val="single" w:sz="4" w:space="0" w:color="auto"/>
            </w:tcBorders>
            <w:shd w:val="clear" w:color="auto" w:fill="auto"/>
            <w:noWrap/>
            <w:vAlign w:val="center"/>
            <w:hideMark/>
          </w:tcPr>
          <w:p w14:paraId="0F10BC11" w14:textId="5E5F9CB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single" w:sz="4" w:space="0" w:color="auto"/>
              <w:right w:val="nil"/>
            </w:tcBorders>
            <w:shd w:val="clear" w:color="auto" w:fill="auto"/>
            <w:noWrap/>
            <w:vAlign w:val="bottom"/>
            <w:hideMark/>
          </w:tcPr>
          <w:p w14:paraId="100B7F1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328</w:t>
            </w:r>
          </w:p>
        </w:tc>
        <w:tc>
          <w:tcPr>
            <w:tcW w:w="1053" w:type="dxa"/>
            <w:tcBorders>
              <w:top w:val="nil"/>
              <w:left w:val="nil"/>
              <w:bottom w:val="single" w:sz="4" w:space="0" w:color="auto"/>
              <w:right w:val="nil"/>
            </w:tcBorders>
            <w:shd w:val="clear" w:color="auto" w:fill="auto"/>
            <w:noWrap/>
            <w:vAlign w:val="center"/>
            <w:hideMark/>
          </w:tcPr>
          <w:p w14:paraId="24166D12"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+12 %</w:t>
            </w:r>
          </w:p>
        </w:tc>
      </w:tr>
      <w:tr w:rsidR="008430BD" w:rsidRPr="001C3EC8" w14:paraId="75260ED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011CBC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686" w:type="dxa"/>
            <w:tcBorders>
              <w:top w:val="nil"/>
              <w:left w:val="nil"/>
              <w:bottom w:val="single" w:sz="4" w:space="0" w:color="auto"/>
              <w:right w:val="nil"/>
            </w:tcBorders>
            <w:shd w:val="clear" w:color="auto" w:fill="auto"/>
            <w:noWrap/>
            <w:vAlign w:val="bottom"/>
            <w:hideMark/>
          </w:tcPr>
          <w:p w14:paraId="75C42D0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187</w:t>
            </w:r>
          </w:p>
        </w:tc>
        <w:tc>
          <w:tcPr>
            <w:tcW w:w="1053" w:type="dxa"/>
            <w:tcBorders>
              <w:top w:val="nil"/>
              <w:left w:val="nil"/>
              <w:bottom w:val="single" w:sz="4" w:space="0" w:color="auto"/>
              <w:right w:val="nil"/>
            </w:tcBorders>
            <w:shd w:val="clear" w:color="auto" w:fill="auto"/>
            <w:noWrap/>
            <w:vAlign w:val="center"/>
            <w:hideMark/>
          </w:tcPr>
          <w:p w14:paraId="0200FA68" w14:textId="698570B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7A93218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124</w:t>
            </w:r>
          </w:p>
        </w:tc>
        <w:tc>
          <w:tcPr>
            <w:tcW w:w="878" w:type="dxa"/>
            <w:tcBorders>
              <w:top w:val="nil"/>
              <w:left w:val="nil"/>
              <w:bottom w:val="single" w:sz="4" w:space="0" w:color="auto"/>
              <w:right w:val="single" w:sz="4" w:space="0" w:color="auto"/>
            </w:tcBorders>
            <w:shd w:val="clear" w:color="auto" w:fill="auto"/>
            <w:noWrap/>
            <w:vAlign w:val="center"/>
            <w:hideMark/>
          </w:tcPr>
          <w:p w14:paraId="797AF9C9" w14:textId="49A62FE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single" w:sz="4" w:space="0" w:color="auto"/>
              <w:right w:val="nil"/>
            </w:tcBorders>
            <w:shd w:val="clear" w:color="auto" w:fill="auto"/>
            <w:noWrap/>
            <w:vAlign w:val="bottom"/>
            <w:hideMark/>
          </w:tcPr>
          <w:p w14:paraId="7DCD839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277</w:t>
            </w:r>
          </w:p>
        </w:tc>
        <w:tc>
          <w:tcPr>
            <w:tcW w:w="1053" w:type="dxa"/>
            <w:tcBorders>
              <w:top w:val="nil"/>
              <w:left w:val="nil"/>
              <w:bottom w:val="single" w:sz="4" w:space="0" w:color="auto"/>
              <w:right w:val="nil"/>
            </w:tcBorders>
            <w:shd w:val="clear" w:color="auto" w:fill="auto"/>
            <w:noWrap/>
            <w:vAlign w:val="center"/>
            <w:hideMark/>
          </w:tcPr>
          <w:p w14:paraId="503DFD2A" w14:textId="0EFD5C5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3</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1830B421"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014657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686" w:type="dxa"/>
            <w:tcBorders>
              <w:top w:val="nil"/>
              <w:left w:val="nil"/>
              <w:bottom w:val="single" w:sz="4" w:space="0" w:color="auto"/>
              <w:right w:val="nil"/>
            </w:tcBorders>
            <w:shd w:val="clear" w:color="auto" w:fill="auto"/>
            <w:noWrap/>
            <w:vAlign w:val="bottom"/>
            <w:hideMark/>
          </w:tcPr>
          <w:p w14:paraId="398536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199</w:t>
            </w:r>
          </w:p>
        </w:tc>
        <w:tc>
          <w:tcPr>
            <w:tcW w:w="1053" w:type="dxa"/>
            <w:tcBorders>
              <w:top w:val="nil"/>
              <w:left w:val="nil"/>
              <w:bottom w:val="single" w:sz="4" w:space="0" w:color="auto"/>
              <w:right w:val="nil"/>
            </w:tcBorders>
            <w:shd w:val="clear" w:color="auto" w:fill="auto"/>
            <w:noWrap/>
            <w:vAlign w:val="center"/>
            <w:hideMark/>
          </w:tcPr>
          <w:p w14:paraId="46852C1E" w14:textId="5273F3E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7DFA49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128</w:t>
            </w:r>
          </w:p>
        </w:tc>
        <w:tc>
          <w:tcPr>
            <w:tcW w:w="878" w:type="dxa"/>
            <w:tcBorders>
              <w:top w:val="nil"/>
              <w:left w:val="nil"/>
              <w:bottom w:val="single" w:sz="4" w:space="0" w:color="auto"/>
              <w:right w:val="single" w:sz="4" w:space="0" w:color="auto"/>
            </w:tcBorders>
            <w:shd w:val="clear" w:color="auto" w:fill="auto"/>
            <w:noWrap/>
            <w:vAlign w:val="center"/>
            <w:hideMark/>
          </w:tcPr>
          <w:p w14:paraId="05EDFB38" w14:textId="71E11C7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single" w:sz="4" w:space="0" w:color="auto"/>
              <w:right w:val="nil"/>
            </w:tcBorders>
            <w:shd w:val="clear" w:color="auto" w:fill="auto"/>
            <w:noWrap/>
            <w:vAlign w:val="bottom"/>
            <w:hideMark/>
          </w:tcPr>
          <w:p w14:paraId="15CB3A3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294</w:t>
            </w:r>
          </w:p>
        </w:tc>
        <w:tc>
          <w:tcPr>
            <w:tcW w:w="1053" w:type="dxa"/>
            <w:tcBorders>
              <w:top w:val="nil"/>
              <w:left w:val="nil"/>
              <w:bottom w:val="single" w:sz="4" w:space="0" w:color="auto"/>
              <w:right w:val="nil"/>
            </w:tcBorders>
            <w:shd w:val="clear" w:color="auto" w:fill="auto"/>
            <w:noWrap/>
            <w:vAlign w:val="center"/>
            <w:hideMark/>
          </w:tcPr>
          <w:p w14:paraId="3085CDB0" w14:textId="45DAF20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323A43F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F7B0BA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686" w:type="dxa"/>
            <w:tcBorders>
              <w:top w:val="nil"/>
              <w:left w:val="nil"/>
              <w:bottom w:val="single" w:sz="4" w:space="0" w:color="auto"/>
              <w:right w:val="nil"/>
            </w:tcBorders>
            <w:shd w:val="clear" w:color="auto" w:fill="auto"/>
            <w:noWrap/>
            <w:vAlign w:val="bottom"/>
            <w:hideMark/>
          </w:tcPr>
          <w:p w14:paraId="4E7A482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369</w:t>
            </w:r>
          </w:p>
        </w:tc>
        <w:tc>
          <w:tcPr>
            <w:tcW w:w="1053" w:type="dxa"/>
            <w:tcBorders>
              <w:top w:val="nil"/>
              <w:left w:val="nil"/>
              <w:bottom w:val="single" w:sz="4" w:space="0" w:color="auto"/>
              <w:right w:val="nil"/>
            </w:tcBorders>
            <w:shd w:val="clear" w:color="auto" w:fill="auto"/>
            <w:noWrap/>
            <w:vAlign w:val="center"/>
            <w:hideMark/>
          </w:tcPr>
          <w:p w14:paraId="442ED523" w14:textId="53853CA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53B378C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222</w:t>
            </w:r>
          </w:p>
        </w:tc>
        <w:tc>
          <w:tcPr>
            <w:tcW w:w="878" w:type="dxa"/>
            <w:tcBorders>
              <w:top w:val="nil"/>
              <w:left w:val="nil"/>
              <w:bottom w:val="single" w:sz="4" w:space="0" w:color="auto"/>
              <w:right w:val="single" w:sz="4" w:space="0" w:color="auto"/>
            </w:tcBorders>
            <w:shd w:val="clear" w:color="auto" w:fill="auto"/>
            <w:noWrap/>
            <w:vAlign w:val="center"/>
            <w:hideMark/>
          </w:tcPr>
          <w:p w14:paraId="272E4F8E" w14:textId="25755CC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single" w:sz="4" w:space="0" w:color="auto"/>
              <w:right w:val="nil"/>
            </w:tcBorders>
            <w:shd w:val="clear" w:color="auto" w:fill="auto"/>
            <w:noWrap/>
            <w:vAlign w:val="bottom"/>
            <w:hideMark/>
          </w:tcPr>
          <w:p w14:paraId="36AEB07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599</w:t>
            </w:r>
          </w:p>
        </w:tc>
        <w:tc>
          <w:tcPr>
            <w:tcW w:w="1053" w:type="dxa"/>
            <w:tcBorders>
              <w:top w:val="nil"/>
              <w:left w:val="nil"/>
              <w:bottom w:val="single" w:sz="4" w:space="0" w:color="auto"/>
              <w:right w:val="nil"/>
            </w:tcBorders>
            <w:shd w:val="clear" w:color="auto" w:fill="auto"/>
            <w:noWrap/>
            <w:vAlign w:val="center"/>
            <w:hideMark/>
          </w:tcPr>
          <w:p w14:paraId="66B46958" w14:textId="67DA966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6</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43C652A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04D286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686" w:type="dxa"/>
            <w:tcBorders>
              <w:top w:val="nil"/>
              <w:left w:val="nil"/>
              <w:bottom w:val="single" w:sz="4" w:space="0" w:color="auto"/>
              <w:right w:val="nil"/>
            </w:tcBorders>
            <w:shd w:val="clear" w:color="auto" w:fill="auto"/>
            <w:noWrap/>
            <w:vAlign w:val="bottom"/>
            <w:hideMark/>
          </w:tcPr>
          <w:p w14:paraId="2B13C5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239</w:t>
            </w:r>
          </w:p>
        </w:tc>
        <w:tc>
          <w:tcPr>
            <w:tcW w:w="1053" w:type="dxa"/>
            <w:tcBorders>
              <w:top w:val="nil"/>
              <w:left w:val="nil"/>
              <w:bottom w:val="single" w:sz="4" w:space="0" w:color="auto"/>
              <w:right w:val="nil"/>
            </w:tcBorders>
            <w:shd w:val="clear" w:color="auto" w:fill="auto"/>
            <w:noWrap/>
            <w:vAlign w:val="center"/>
            <w:hideMark/>
          </w:tcPr>
          <w:p w14:paraId="308F36D3" w14:textId="06D0FCE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01371B2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153</w:t>
            </w:r>
          </w:p>
        </w:tc>
        <w:tc>
          <w:tcPr>
            <w:tcW w:w="878" w:type="dxa"/>
            <w:tcBorders>
              <w:top w:val="nil"/>
              <w:left w:val="nil"/>
              <w:bottom w:val="single" w:sz="4" w:space="0" w:color="auto"/>
              <w:right w:val="single" w:sz="4" w:space="0" w:color="auto"/>
            </w:tcBorders>
            <w:shd w:val="clear" w:color="auto" w:fill="auto"/>
            <w:noWrap/>
            <w:vAlign w:val="center"/>
            <w:hideMark/>
          </w:tcPr>
          <w:p w14:paraId="3A18E96E" w14:textId="6364BC7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single" w:sz="4" w:space="0" w:color="auto"/>
              <w:right w:val="nil"/>
            </w:tcBorders>
            <w:shd w:val="clear" w:color="auto" w:fill="auto"/>
            <w:noWrap/>
            <w:vAlign w:val="bottom"/>
            <w:hideMark/>
          </w:tcPr>
          <w:p w14:paraId="68BFE1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357</w:t>
            </w:r>
          </w:p>
        </w:tc>
        <w:tc>
          <w:tcPr>
            <w:tcW w:w="1053" w:type="dxa"/>
            <w:tcBorders>
              <w:top w:val="nil"/>
              <w:left w:val="nil"/>
              <w:bottom w:val="single" w:sz="4" w:space="0" w:color="auto"/>
              <w:right w:val="nil"/>
            </w:tcBorders>
            <w:shd w:val="clear" w:color="auto" w:fill="auto"/>
            <w:noWrap/>
            <w:vAlign w:val="center"/>
            <w:hideMark/>
          </w:tcPr>
          <w:p w14:paraId="24289419" w14:textId="28856CF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27B505B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A5DCD2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686" w:type="dxa"/>
            <w:tcBorders>
              <w:top w:val="nil"/>
              <w:left w:val="nil"/>
              <w:bottom w:val="single" w:sz="4" w:space="0" w:color="auto"/>
              <w:right w:val="nil"/>
            </w:tcBorders>
            <w:shd w:val="clear" w:color="auto" w:fill="auto"/>
            <w:noWrap/>
            <w:vAlign w:val="bottom"/>
            <w:hideMark/>
          </w:tcPr>
          <w:p w14:paraId="6B93132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360</w:t>
            </w:r>
          </w:p>
        </w:tc>
        <w:tc>
          <w:tcPr>
            <w:tcW w:w="1053" w:type="dxa"/>
            <w:tcBorders>
              <w:top w:val="nil"/>
              <w:left w:val="nil"/>
              <w:bottom w:val="single" w:sz="4" w:space="0" w:color="auto"/>
              <w:right w:val="nil"/>
            </w:tcBorders>
            <w:shd w:val="clear" w:color="auto" w:fill="auto"/>
            <w:noWrap/>
            <w:vAlign w:val="center"/>
            <w:hideMark/>
          </w:tcPr>
          <w:p w14:paraId="0452806F" w14:textId="016CBF0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3</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single" w:sz="4" w:space="0" w:color="auto"/>
              <w:right w:val="nil"/>
            </w:tcBorders>
            <w:shd w:val="clear" w:color="auto" w:fill="auto"/>
            <w:noWrap/>
            <w:vAlign w:val="bottom"/>
            <w:hideMark/>
          </w:tcPr>
          <w:p w14:paraId="6C15DD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213</w:t>
            </w:r>
          </w:p>
        </w:tc>
        <w:tc>
          <w:tcPr>
            <w:tcW w:w="878" w:type="dxa"/>
            <w:tcBorders>
              <w:top w:val="nil"/>
              <w:left w:val="nil"/>
              <w:bottom w:val="single" w:sz="4" w:space="0" w:color="auto"/>
              <w:right w:val="single" w:sz="4" w:space="0" w:color="auto"/>
            </w:tcBorders>
            <w:shd w:val="clear" w:color="auto" w:fill="auto"/>
            <w:noWrap/>
            <w:vAlign w:val="center"/>
            <w:hideMark/>
          </w:tcPr>
          <w:p w14:paraId="1DEE5D2E" w14:textId="3DC9E54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single" w:sz="4" w:space="0" w:color="auto"/>
              <w:right w:val="nil"/>
            </w:tcBorders>
            <w:shd w:val="clear" w:color="auto" w:fill="auto"/>
            <w:noWrap/>
            <w:vAlign w:val="bottom"/>
            <w:hideMark/>
          </w:tcPr>
          <w:p w14:paraId="5C79702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622</w:t>
            </w:r>
          </w:p>
        </w:tc>
        <w:tc>
          <w:tcPr>
            <w:tcW w:w="1053" w:type="dxa"/>
            <w:tcBorders>
              <w:top w:val="nil"/>
              <w:left w:val="nil"/>
              <w:bottom w:val="single" w:sz="4" w:space="0" w:color="auto"/>
              <w:right w:val="nil"/>
            </w:tcBorders>
            <w:shd w:val="clear" w:color="auto" w:fill="auto"/>
            <w:noWrap/>
            <w:vAlign w:val="center"/>
            <w:hideMark/>
          </w:tcPr>
          <w:p w14:paraId="39D1263F" w14:textId="17FD0B8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299690F5"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66A84A1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686" w:type="dxa"/>
            <w:tcBorders>
              <w:top w:val="nil"/>
              <w:left w:val="nil"/>
              <w:bottom w:val="double" w:sz="6" w:space="0" w:color="auto"/>
              <w:right w:val="nil"/>
            </w:tcBorders>
            <w:shd w:val="clear" w:color="auto" w:fill="auto"/>
            <w:noWrap/>
            <w:vAlign w:val="bottom"/>
            <w:hideMark/>
          </w:tcPr>
          <w:p w14:paraId="612F38A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240</w:t>
            </w:r>
          </w:p>
        </w:tc>
        <w:tc>
          <w:tcPr>
            <w:tcW w:w="1053" w:type="dxa"/>
            <w:tcBorders>
              <w:top w:val="nil"/>
              <w:left w:val="nil"/>
              <w:bottom w:val="double" w:sz="6" w:space="0" w:color="auto"/>
              <w:right w:val="nil"/>
            </w:tcBorders>
            <w:shd w:val="clear" w:color="auto" w:fill="auto"/>
            <w:noWrap/>
            <w:vAlign w:val="center"/>
            <w:hideMark/>
          </w:tcPr>
          <w:p w14:paraId="6B9E73BA" w14:textId="1AC7023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8</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single" w:sz="4" w:space="0" w:color="auto"/>
              <w:bottom w:val="double" w:sz="6" w:space="0" w:color="auto"/>
              <w:right w:val="nil"/>
            </w:tcBorders>
            <w:shd w:val="clear" w:color="auto" w:fill="auto"/>
            <w:noWrap/>
            <w:vAlign w:val="bottom"/>
            <w:hideMark/>
          </w:tcPr>
          <w:p w14:paraId="38CAA4D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167</w:t>
            </w:r>
          </w:p>
        </w:tc>
        <w:tc>
          <w:tcPr>
            <w:tcW w:w="878" w:type="dxa"/>
            <w:tcBorders>
              <w:top w:val="nil"/>
              <w:left w:val="nil"/>
              <w:bottom w:val="double" w:sz="6" w:space="0" w:color="auto"/>
              <w:right w:val="single" w:sz="4" w:space="0" w:color="auto"/>
            </w:tcBorders>
            <w:shd w:val="clear" w:color="auto" w:fill="auto"/>
            <w:noWrap/>
            <w:vAlign w:val="center"/>
            <w:hideMark/>
          </w:tcPr>
          <w:p w14:paraId="51220F0A" w14:textId="7AEA0AE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685" w:type="dxa"/>
            <w:tcBorders>
              <w:top w:val="nil"/>
              <w:left w:val="nil"/>
              <w:bottom w:val="double" w:sz="6" w:space="0" w:color="auto"/>
              <w:right w:val="nil"/>
            </w:tcBorders>
            <w:shd w:val="clear" w:color="auto" w:fill="auto"/>
            <w:noWrap/>
            <w:vAlign w:val="bottom"/>
            <w:hideMark/>
          </w:tcPr>
          <w:p w14:paraId="22A7CB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336</w:t>
            </w:r>
          </w:p>
        </w:tc>
        <w:tc>
          <w:tcPr>
            <w:tcW w:w="1053" w:type="dxa"/>
            <w:tcBorders>
              <w:top w:val="nil"/>
              <w:left w:val="nil"/>
              <w:bottom w:val="double" w:sz="6" w:space="0" w:color="auto"/>
              <w:right w:val="nil"/>
            </w:tcBorders>
            <w:shd w:val="clear" w:color="auto" w:fill="auto"/>
            <w:noWrap/>
            <w:vAlign w:val="center"/>
            <w:hideMark/>
          </w:tcPr>
          <w:p w14:paraId="1A257217" w14:textId="0212241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2</w:t>
            </w:r>
            <w:r w:rsidR="001B5E6A">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40AAB19F"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1043CE1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686" w:type="dxa"/>
            <w:tcBorders>
              <w:top w:val="nil"/>
              <w:left w:val="nil"/>
              <w:bottom w:val="double" w:sz="6" w:space="0" w:color="auto"/>
              <w:right w:val="nil"/>
            </w:tcBorders>
            <w:shd w:val="clear" w:color="auto" w:fill="auto"/>
            <w:noWrap/>
            <w:vAlign w:val="bottom"/>
            <w:hideMark/>
          </w:tcPr>
          <w:p w14:paraId="1446F07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281</w:t>
            </w:r>
          </w:p>
        </w:tc>
        <w:tc>
          <w:tcPr>
            <w:tcW w:w="1053" w:type="dxa"/>
            <w:tcBorders>
              <w:top w:val="nil"/>
              <w:left w:val="nil"/>
              <w:bottom w:val="double" w:sz="6" w:space="0" w:color="auto"/>
              <w:right w:val="nil"/>
            </w:tcBorders>
            <w:shd w:val="clear" w:color="auto" w:fill="auto"/>
            <w:noWrap/>
            <w:vAlign w:val="center"/>
            <w:hideMark/>
          </w:tcPr>
          <w:p w14:paraId="008425CE" w14:textId="329D4CA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1B5E6A" w:rsidRPr="001C3EC8">
              <w:rPr>
                <w:rFonts w:eastAsia="Times New Roman"/>
                <w:b/>
                <w:bCs/>
                <w:color w:val="000000" w:themeColor="text1"/>
                <w:sz w:val="20"/>
                <w:szCs w:val="20"/>
                <w:lang w:eastAsia="cs-CZ"/>
              </w:rPr>
              <w:t>7</w:t>
            </w:r>
            <w:r w:rsidR="001B5E6A">
              <w:rPr>
                <w:rFonts w:eastAsia="Times New Roman"/>
                <w:b/>
                <w:bCs/>
                <w:color w:val="000000" w:themeColor="text1"/>
                <w:sz w:val="20"/>
                <w:szCs w:val="20"/>
                <w:lang w:eastAsia="cs-CZ"/>
              </w:rPr>
              <w:t> </w:t>
            </w:r>
            <w:r w:rsidRPr="001C3EC8">
              <w:rPr>
                <w:rFonts w:eastAsia="Times New Roman"/>
                <w:b/>
                <w:bCs/>
                <w:color w:val="000000" w:themeColor="text1"/>
                <w:sz w:val="20"/>
                <w:szCs w:val="20"/>
                <w:lang w:eastAsia="cs-CZ"/>
              </w:rPr>
              <w:t>%</w:t>
            </w:r>
          </w:p>
        </w:tc>
        <w:tc>
          <w:tcPr>
            <w:tcW w:w="685" w:type="dxa"/>
            <w:tcBorders>
              <w:top w:val="nil"/>
              <w:left w:val="single" w:sz="4" w:space="0" w:color="auto"/>
              <w:bottom w:val="double" w:sz="6" w:space="0" w:color="auto"/>
              <w:right w:val="nil"/>
            </w:tcBorders>
            <w:shd w:val="clear" w:color="auto" w:fill="auto"/>
            <w:noWrap/>
            <w:vAlign w:val="bottom"/>
            <w:hideMark/>
          </w:tcPr>
          <w:p w14:paraId="68AB0D2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172</w:t>
            </w:r>
          </w:p>
        </w:tc>
        <w:tc>
          <w:tcPr>
            <w:tcW w:w="878" w:type="dxa"/>
            <w:tcBorders>
              <w:top w:val="nil"/>
              <w:left w:val="nil"/>
              <w:bottom w:val="double" w:sz="6" w:space="0" w:color="auto"/>
              <w:right w:val="single" w:sz="4" w:space="0" w:color="auto"/>
            </w:tcBorders>
            <w:shd w:val="clear" w:color="auto" w:fill="auto"/>
            <w:noWrap/>
            <w:vAlign w:val="center"/>
            <w:hideMark/>
          </w:tcPr>
          <w:p w14:paraId="052374CC" w14:textId="654F8A8B"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1B5E6A" w:rsidRPr="001C3EC8">
              <w:rPr>
                <w:rFonts w:eastAsia="Times New Roman"/>
                <w:b/>
                <w:bCs/>
                <w:color w:val="000000" w:themeColor="text1"/>
                <w:sz w:val="20"/>
                <w:szCs w:val="20"/>
                <w:lang w:eastAsia="cs-CZ"/>
              </w:rPr>
              <w:t>1</w:t>
            </w:r>
            <w:r w:rsidR="001B5E6A">
              <w:rPr>
                <w:rFonts w:eastAsia="Times New Roman"/>
                <w:b/>
                <w:bCs/>
                <w:color w:val="000000" w:themeColor="text1"/>
                <w:sz w:val="20"/>
                <w:szCs w:val="20"/>
                <w:lang w:eastAsia="cs-CZ"/>
              </w:rPr>
              <w:t> </w:t>
            </w:r>
            <w:r w:rsidRPr="001C3EC8">
              <w:rPr>
                <w:rFonts w:eastAsia="Times New Roman"/>
                <w:b/>
                <w:bCs/>
                <w:color w:val="000000" w:themeColor="text1"/>
                <w:sz w:val="20"/>
                <w:szCs w:val="20"/>
                <w:lang w:eastAsia="cs-CZ"/>
              </w:rPr>
              <w:t>%</w:t>
            </w:r>
          </w:p>
        </w:tc>
        <w:tc>
          <w:tcPr>
            <w:tcW w:w="685" w:type="dxa"/>
            <w:tcBorders>
              <w:top w:val="nil"/>
              <w:left w:val="nil"/>
              <w:bottom w:val="double" w:sz="6" w:space="0" w:color="auto"/>
              <w:right w:val="nil"/>
            </w:tcBorders>
            <w:shd w:val="clear" w:color="auto" w:fill="auto"/>
            <w:noWrap/>
            <w:vAlign w:val="bottom"/>
            <w:hideMark/>
          </w:tcPr>
          <w:p w14:paraId="3C4471D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474</w:t>
            </w:r>
          </w:p>
        </w:tc>
        <w:tc>
          <w:tcPr>
            <w:tcW w:w="1053" w:type="dxa"/>
            <w:tcBorders>
              <w:top w:val="nil"/>
              <w:left w:val="nil"/>
              <w:bottom w:val="double" w:sz="6" w:space="0" w:color="auto"/>
              <w:right w:val="nil"/>
            </w:tcBorders>
            <w:shd w:val="clear" w:color="auto" w:fill="auto"/>
            <w:noWrap/>
            <w:vAlign w:val="center"/>
            <w:hideMark/>
          </w:tcPr>
          <w:p w14:paraId="28CFA2F1" w14:textId="6FC97E0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1B5E6A" w:rsidRPr="001C3EC8">
              <w:rPr>
                <w:rFonts w:eastAsia="Times New Roman"/>
                <w:b/>
                <w:bCs/>
                <w:color w:val="000000" w:themeColor="text1"/>
                <w:sz w:val="20"/>
                <w:szCs w:val="20"/>
                <w:lang w:eastAsia="cs-CZ"/>
              </w:rPr>
              <w:t>7</w:t>
            </w:r>
            <w:r w:rsidR="001B5E6A">
              <w:rPr>
                <w:rFonts w:eastAsia="Times New Roman"/>
                <w:b/>
                <w:bCs/>
                <w:color w:val="000000" w:themeColor="text1"/>
                <w:sz w:val="20"/>
                <w:szCs w:val="20"/>
                <w:lang w:eastAsia="cs-CZ"/>
              </w:rPr>
              <w:t> </w:t>
            </w:r>
            <w:r w:rsidRPr="001C3EC8">
              <w:rPr>
                <w:rFonts w:eastAsia="Times New Roman"/>
                <w:b/>
                <w:bCs/>
                <w:color w:val="000000" w:themeColor="text1"/>
                <w:sz w:val="20"/>
                <w:szCs w:val="20"/>
                <w:lang w:eastAsia="cs-CZ"/>
              </w:rPr>
              <w:t>%</w:t>
            </w:r>
          </w:p>
        </w:tc>
      </w:tr>
    </w:tbl>
    <w:p w14:paraId="6F6CF1D5" w14:textId="77777777" w:rsidR="008430BD" w:rsidRPr="001C3EC8" w:rsidRDefault="008430BD" w:rsidP="008430BD">
      <w:pPr>
        <w:pStyle w:val="OdstavecASR"/>
        <w:rPr>
          <w:color w:val="000000" w:themeColor="text1"/>
        </w:rPr>
      </w:pPr>
    </w:p>
    <w:p w14:paraId="418666C0" w14:textId="64BC3D84" w:rsidR="008430BD" w:rsidRPr="001C3EC8" w:rsidRDefault="008430BD" w:rsidP="008430BD">
      <w:pPr>
        <w:pStyle w:val="OdstavecASR"/>
        <w:rPr>
          <w:color w:val="000000" w:themeColor="text1"/>
        </w:rPr>
      </w:pPr>
      <w:r w:rsidRPr="001C3EC8">
        <w:rPr>
          <w:color w:val="000000" w:themeColor="text1"/>
        </w:rPr>
        <w:t>Z</w:t>
      </w:r>
      <w:r w:rsidR="001B5E6A">
        <w:rPr>
          <w:color w:val="000000" w:themeColor="text1"/>
        </w:rPr>
        <w:t> </w:t>
      </w:r>
      <w:r w:rsidRPr="001C3EC8">
        <w:rPr>
          <w:color w:val="000000" w:themeColor="text1"/>
        </w:rPr>
        <w:t>tabulky</w:t>
      </w:r>
      <w:r w:rsidR="001B5E6A">
        <w:rPr>
          <w:color w:val="000000" w:themeColor="text1"/>
        </w:rPr>
        <w:t> </w:t>
      </w:r>
      <w:r w:rsidR="001B5E6A" w:rsidRPr="001C3EC8">
        <w:rPr>
          <w:color w:val="000000" w:themeColor="text1"/>
        </w:rPr>
        <w:t>9</w:t>
      </w:r>
      <w:r w:rsidR="001B5E6A">
        <w:rPr>
          <w:color w:val="000000" w:themeColor="text1"/>
        </w:rPr>
        <w:t xml:space="preserve"> </w:t>
      </w:r>
      <w:r w:rsidRPr="001C3EC8">
        <w:rPr>
          <w:color w:val="000000" w:themeColor="text1"/>
        </w:rPr>
        <w:t>a grafu</w:t>
      </w:r>
      <w:r w:rsidR="001B5E6A">
        <w:rPr>
          <w:color w:val="000000" w:themeColor="text1"/>
        </w:rPr>
        <w:t> </w:t>
      </w:r>
      <w:r w:rsidRPr="001C3EC8">
        <w:rPr>
          <w:color w:val="000000" w:themeColor="text1"/>
        </w:rPr>
        <w:t xml:space="preserve">7 jasně vyplývá, že v roce 2020 stále existují výrazné rozdíly (variabilita) mezi soudními kraji a jednotlivými soudy. Nejrychlejší OS většinou spadají pod KS České Budějovice </w:t>
      </w:r>
      <w:r w:rsidRPr="001C3EC8">
        <w:rPr>
          <w:color w:val="000000" w:themeColor="text1"/>
        </w:rPr>
        <w:lastRenderedPageBreak/>
        <w:t>a KS Praha. Nejpomalejší soudy spadají pod KS Ústí nad Labem a KS Brno. Je však třeba zdůraznit, že významné délky řízení často nejsou způsobeny neefektivností daných soudů, ale velkou případovou zátěží z minulých let</w:t>
      </w:r>
      <w:r w:rsidR="005A1F05" w:rsidRPr="001C3EC8">
        <w:rPr>
          <w:color w:val="000000" w:themeColor="text1"/>
        </w:rPr>
        <w:t>.</w:t>
      </w:r>
      <w:r w:rsidRPr="001C3EC8">
        <w:rPr>
          <w:color w:val="000000" w:themeColor="text1"/>
        </w:rPr>
        <w:t xml:space="preserve"> </w:t>
      </w:r>
      <w:r w:rsidR="005A1F05" w:rsidRPr="001C3EC8">
        <w:rPr>
          <w:color w:val="000000" w:themeColor="text1"/>
        </w:rPr>
        <w:t>S</w:t>
      </w:r>
      <w:r w:rsidRPr="001C3EC8">
        <w:rPr>
          <w:color w:val="000000" w:themeColor="text1"/>
        </w:rPr>
        <w:t>tarší data totiž ukazují, že problémy začaly již v 90. letech. Již první pohled na data z posledních let ale naznačuje, že rozdíly mezi kraji a soudy se postupně zmenšoval</w:t>
      </w:r>
      <w:r w:rsidR="00E74BB3" w:rsidRPr="001C3EC8">
        <w:rPr>
          <w:color w:val="000000" w:themeColor="text1"/>
        </w:rPr>
        <w:t>y</w:t>
      </w:r>
      <w:r w:rsidRPr="001C3EC8">
        <w:rPr>
          <w:color w:val="000000" w:themeColor="text1"/>
        </w:rPr>
        <w:t xml:space="preserve">, a to díky snižování délek řízení u soudů, kde je tento ukazatel nejvyšší. To je vidět v grafu 8. Tento rok (na rozdíl od let předchozích) ovšem nedošlo </w:t>
      </w:r>
      <w:r w:rsidR="001B5E6A" w:rsidRPr="001C3EC8">
        <w:rPr>
          <w:color w:val="000000" w:themeColor="text1"/>
        </w:rPr>
        <w:t>k</w:t>
      </w:r>
      <w:r w:rsidR="001B5E6A">
        <w:rPr>
          <w:color w:val="000000" w:themeColor="text1"/>
        </w:rPr>
        <w:t> </w:t>
      </w:r>
      <w:r w:rsidRPr="001C3EC8">
        <w:rPr>
          <w:color w:val="000000" w:themeColor="text1"/>
        </w:rPr>
        <w:t xml:space="preserve">poklesu u soudů spadajících pod KS Ústí nad Labem </w:t>
      </w:r>
      <w:r w:rsidR="001B5E6A" w:rsidRPr="001C3EC8">
        <w:rPr>
          <w:color w:val="000000" w:themeColor="text1"/>
        </w:rPr>
        <w:t>a</w:t>
      </w:r>
      <w:r w:rsidR="001B5E6A">
        <w:rPr>
          <w:color w:val="000000" w:themeColor="text1"/>
        </w:rPr>
        <w:t> </w:t>
      </w:r>
      <w:r w:rsidRPr="001C3EC8">
        <w:rPr>
          <w:color w:val="000000" w:themeColor="text1"/>
        </w:rPr>
        <w:t xml:space="preserve">pod KS Brno. Mezi roky 2019 </w:t>
      </w:r>
      <w:r w:rsidR="001B5E6A" w:rsidRPr="001C3EC8">
        <w:rPr>
          <w:color w:val="000000" w:themeColor="text1"/>
        </w:rPr>
        <w:t>a</w:t>
      </w:r>
      <w:r w:rsidR="001B5E6A">
        <w:rPr>
          <w:color w:val="000000" w:themeColor="text1"/>
        </w:rPr>
        <w:t> </w:t>
      </w:r>
      <w:r w:rsidRPr="001C3EC8">
        <w:rPr>
          <w:color w:val="000000" w:themeColor="text1"/>
        </w:rPr>
        <w:t xml:space="preserve">2020 nedošlo </w:t>
      </w:r>
      <w:r w:rsidR="001B5E6A" w:rsidRPr="001C3EC8">
        <w:rPr>
          <w:color w:val="000000" w:themeColor="text1"/>
        </w:rPr>
        <w:t>u</w:t>
      </w:r>
      <w:r w:rsidR="001B5E6A">
        <w:rPr>
          <w:color w:val="000000" w:themeColor="text1"/>
        </w:rPr>
        <w:t> </w:t>
      </w:r>
      <w:r w:rsidRPr="001C3EC8">
        <w:rPr>
          <w:color w:val="000000" w:themeColor="text1"/>
        </w:rPr>
        <w:t xml:space="preserve">žádného ze soudů k výrazné změně. Nejvyšší nárůst můžeme pozorovat </w:t>
      </w:r>
      <w:r w:rsidR="001B5E6A" w:rsidRPr="001C3EC8">
        <w:rPr>
          <w:color w:val="000000" w:themeColor="text1"/>
        </w:rPr>
        <w:t>u</w:t>
      </w:r>
      <w:r w:rsidR="001B5E6A">
        <w:rPr>
          <w:color w:val="000000" w:themeColor="text1"/>
        </w:rPr>
        <w:t> </w:t>
      </w:r>
      <w:r w:rsidRPr="001C3EC8">
        <w:rPr>
          <w:color w:val="000000" w:themeColor="text1"/>
        </w:rPr>
        <w:t>soudů spadající</w:t>
      </w:r>
      <w:r w:rsidR="005A1F05" w:rsidRPr="001C3EC8">
        <w:rPr>
          <w:color w:val="000000" w:themeColor="text1"/>
        </w:rPr>
        <w:t>ch</w:t>
      </w:r>
      <w:r w:rsidRPr="001C3EC8">
        <w:rPr>
          <w:color w:val="000000" w:themeColor="text1"/>
        </w:rPr>
        <w:t xml:space="preserve"> pod oba pražské krajské soudy (MS v Praze </w:t>
      </w:r>
      <w:r w:rsidR="001B5E6A" w:rsidRPr="001C3EC8">
        <w:rPr>
          <w:color w:val="000000" w:themeColor="text1"/>
        </w:rPr>
        <w:t>i</w:t>
      </w:r>
      <w:r w:rsidR="001B5E6A">
        <w:rPr>
          <w:color w:val="000000" w:themeColor="text1"/>
        </w:rPr>
        <w:t> </w:t>
      </w:r>
      <w:r w:rsidRPr="001C3EC8">
        <w:rPr>
          <w:color w:val="000000" w:themeColor="text1"/>
        </w:rPr>
        <w:t>KS v Praze).</w:t>
      </w:r>
    </w:p>
    <w:p w14:paraId="5C209CA7" w14:textId="4980C4E1" w:rsidR="008430BD" w:rsidRPr="001C3EC8" w:rsidRDefault="008430BD" w:rsidP="008430BD">
      <w:pPr>
        <w:pStyle w:val="Podnadpis"/>
        <w:rPr>
          <w:color w:val="000000" w:themeColor="text1"/>
        </w:rPr>
      </w:pPr>
      <w:bookmarkStart w:id="87" w:name="_Toc43841387"/>
      <w:bookmarkStart w:id="88" w:name="_Toc75952187"/>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w:t>
      </w:r>
      <w:r w:rsidRPr="001C3EC8">
        <w:rPr>
          <w:color w:val="000000" w:themeColor="text1"/>
        </w:rPr>
        <w:fldChar w:fldCharType="end"/>
      </w:r>
      <w:r w:rsidRPr="001C3EC8">
        <w:rPr>
          <w:color w:val="000000" w:themeColor="text1"/>
        </w:rPr>
        <w:t>: OS – mediánové délky civilního řízení u jednotlivých soudů</w:t>
      </w:r>
      <w:bookmarkEnd w:id="87"/>
      <w:bookmarkEnd w:id="88"/>
    </w:p>
    <w:p w14:paraId="6A26A8C1" w14:textId="7190B8EA" w:rsidR="008430BD" w:rsidRPr="001C3EC8"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63360" behindDoc="0" locked="0" layoutInCell="1" allowOverlap="1" wp14:anchorId="413E672F" wp14:editId="120951DD">
            <wp:simplePos x="0" y="0"/>
            <wp:positionH relativeFrom="margin">
              <wp:align>right</wp:align>
            </wp:positionH>
            <wp:positionV relativeFrom="paragraph">
              <wp:posOffset>230505</wp:posOffset>
            </wp:positionV>
            <wp:extent cx="1260000" cy="918000"/>
            <wp:effectExtent l="0" t="0" r="0" b="0"/>
            <wp:wrapNone/>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0A965252" wp14:editId="43E0CEC2">
            <wp:extent cx="5759450" cy="3296019"/>
            <wp:effectExtent l="0" t="0" r="0" b="0"/>
            <wp:docPr id="316" name="Obráze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Pr="001C3EC8">
        <w:rPr>
          <w:color w:val="000000" w:themeColor="text1"/>
        </w:rPr>
        <w:t>Nejrychlejší soudy v roce 2020 byly OS pro Prahu</w:t>
      </w:r>
      <w:r w:rsidR="001B5E6A">
        <w:rPr>
          <w:color w:val="000000" w:themeColor="text1"/>
        </w:rPr>
        <w:t> </w:t>
      </w:r>
      <w:r w:rsidRPr="001C3EC8">
        <w:rPr>
          <w:color w:val="000000" w:themeColor="text1"/>
        </w:rPr>
        <w:t>5 (medián 94</w:t>
      </w:r>
      <w:r w:rsidR="001B5E6A">
        <w:rPr>
          <w:color w:val="000000" w:themeColor="text1"/>
        </w:rPr>
        <w:t> </w:t>
      </w:r>
      <w:r w:rsidRPr="001C3EC8">
        <w:rPr>
          <w:color w:val="000000" w:themeColor="text1"/>
        </w:rPr>
        <w:t>dnů), OS Kutná Hora (medián 97</w:t>
      </w:r>
      <w:r w:rsidR="001B5E6A">
        <w:rPr>
          <w:color w:val="000000" w:themeColor="text1"/>
        </w:rPr>
        <w:t> </w:t>
      </w:r>
      <w:r w:rsidRPr="001C3EC8">
        <w:rPr>
          <w:color w:val="000000" w:themeColor="text1"/>
        </w:rPr>
        <w:t>dnů), OS České Budějovice (103</w:t>
      </w:r>
      <w:r w:rsidR="001B5E6A">
        <w:rPr>
          <w:color w:val="000000" w:themeColor="text1"/>
        </w:rPr>
        <w:t> </w:t>
      </w:r>
      <w:r w:rsidRPr="001C3EC8">
        <w:rPr>
          <w:color w:val="000000" w:themeColor="text1"/>
        </w:rPr>
        <w:t>dnů). Naopak nejpomalejší jsou OS pro Prahu 7 (419</w:t>
      </w:r>
      <w:r w:rsidR="001B5E6A">
        <w:rPr>
          <w:color w:val="000000" w:themeColor="text1"/>
        </w:rPr>
        <w:t> </w:t>
      </w:r>
      <w:r w:rsidRPr="001C3EC8">
        <w:rPr>
          <w:color w:val="000000" w:themeColor="text1"/>
        </w:rPr>
        <w:t xml:space="preserve">dnů), OS Liberec (331 dnů) </w:t>
      </w:r>
      <w:r w:rsidR="001B5E6A" w:rsidRPr="001C3EC8">
        <w:rPr>
          <w:color w:val="000000" w:themeColor="text1"/>
        </w:rPr>
        <w:t>a</w:t>
      </w:r>
      <w:r w:rsidR="001B5E6A">
        <w:rPr>
          <w:color w:val="000000" w:themeColor="text1"/>
        </w:rPr>
        <w:t> </w:t>
      </w:r>
      <w:r w:rsidRPr="001C3EC8">
        <w:rPr>
          <w:color w:val="000000" w:themeColor="text1"/>
        </w:rPr>
        <w:t>OS Břeclav (327 dnů). Za zmínku rozhodně stojí OS Chomutov</w:t>
      </w:r>
      <w:r w:rsidR="00AB5B6B" w:rsidRPr="001C3EC8">
        <w:rPr>
          <w:color w:val="000000" w:themeColor="text1"/>
        </w:rPr>
        <w:t>, který</w:t>
      </w:r>
      <w:r w:rsidR="00315CAB" w:rsidRPr="001C3EC8">
        <w:rPr>
          <w:color w:val="000000" w:themeColor="text1"/>
        </w:rPr>
        <w:t xml:space="preserve"> </w:t>
      </w:r>
      <w:r w:rsidRPr="001C3EC8">
        <w:rPr>
          <w:color w:val="000000" w:themeColor="text1"/>
        </w:rPr>
        <w:t>v roce 2017 vykázal délku řízení 682 kal</w:t>
      </w:r>
      <w:r w:rsidR="00060F97" w:rsidRPr="001C3EC8">
        <w:rPr>
          <w:color w:val="000000" w:themeColor="text1"/>
        </w:rPr>
        <w:t>endářních</w:t>
      </w:r>
      <w:r w:rsidRPr="001C3EC8">
        <w:rPr>
          <w:color w:val="000000" w:themeColor="text1"/>
        </w:rPr>
        <w:t xml:space="preserve"> dnů, v roce 2018 délku 401 dnů, v roce 2019 délku 334 dnů </w:t>
      </w:r>
      <w:r w:rsidR="001B5E6A" w:rsidRPr="001C3EC8">
        <w:rPr>
          <w:color w:val="000000" w:themeColor="text1"/>
        </w:rPr>
        <w:t>a</w:t>
      </w:r>
      <w:r w:rsidR="001B5E6A">
        <w:rPr>
          <w:color w:val="000000" w:themeColor="text1"/>
        </w:rPr>
        <w:t> </w:t>
      </w:r>
      <w:r w:rsidRPr="001C3EC8">
        <w:rPr>
          <w:color w:val="000000" w:themeColor="text1"/>
        </w:rPr>
        <w:t xml:space="preserve">v roce 2020 délku 300 dnů. Je třeba zmínit, že zhoršení OS pro Prahu </w:t>
      </w:r>
      <w:r w:rsidR="001B5E6A" w:rsidRPr="001C3EC8">
        <w:rPr>
          <w:color w:val="000000" w:themeColor="text1"/>
        </w:rPr>
        <w:t>7</w:t>
      </w:r>
      <w:r w:rsidR="001B5E6A">
        <w:rPr>
          <w:color w:val="000000" w:themeColor="text1"/>
        </w:rPr>
        <w:t xml:space="preserve"> </w:t>
      </w:r>
      <w:r w:rsidRPr="001C3EC8">
        <w:rPr>
          <w:color w:val="000000" w:themeColor="text1"/>
        </w:rPr>
        <w:t xml:space="preserve">má svůj důvod – jedná se </w:t>
      </w:r>
      <w:r w:rsidR="001B5E6A" w:rsidRPr="001C3EC8">
        <w:rPr>
          <w:color w:val="000000" w:themeColor="text1"/>
        </w:rPr>
        <w:t>o</w:t>
      </w:r>
      <w:r w:rsidR="001B5E6A">
        <w:rPr>
          <w:color w:val="000000" w:themeColor="text1"/>
        </w:rPr>
        <w:t> </w:t>
      </w:r>
      <w:r w:rsidRPr="001C3EC8">
        <w:rPr>
          <w:color w:val="000000" w:themeColor="text1"/>
        </w:rPr>
        <w:t xml:space="preserve">malý soud </w:t>
      </w:r>
      <w:r w:rsidR="001B5E6A" w:rsidRPr="001C3EC8">
        <w:rPr>
          <w:color w:val="000000" w:themeColor="text1"/>
        </w:rPr>
        <w:t>a</w:t>
      </w:r>
      <w:r w:rsidR="001B5E6A">
        <w:rPr>
          <w:color w:val="000000" w:themeColor="text1"/>
        </w:rPr>
        <w:t> </w:t>
      </w:r>
      <w:r w:rsidRPr="001C3EC8">
        <w:rPr>
          <w:color w:val="000000" w:themeColor="text1"/>
        </w:rPr>
        <w:t>„vypadl</w:t>
      </w:r>
      <w:r w:rsidR="00060F97" w:rsidRPr="001C3EC8">
        <w:rPr>
          <w:color w:val="000000" w:themeColor="text1"/>
        </w:rPr>
        <w:t>“</w:t>
      </w:r>
      <w:r w:rsidRPr="001C3EC8">
        <w:rPr>
          <w:color w:val="000000" w:themeColor="text1"/>
        </w:rPr>
        <w:t xml:space="preserve"> </w:t>
      </w:r>
      <w:r w:rsidR="001B5E6A" w:rsidRPr="001C3EC8">
        <w:rPr>
          <w:color w:val="000000" w:themeColor="text1"/>
        </w:rPr>
        <w:t>u</w:t>
      </w:r>
      <w:r w:rsidR="001B5E6A">
        <w:rPr>
          <w:color w:val="000000" w:themeColor="text1"/>
        </w:rPr>
        <w:t> </w:t>
      </w:r>
      <w:r w:rsidR="005A1F05" w:rsidRPr="001C3EC8">
        <w:rPr>
          <w:color w:val="000000" w:themeColor="text1"/>
        </w:rPr>
        <w:t xml:space="preserve">něj </w:t>
      </w:r>
      <w:r w:rsidRPr="001C3EC8">
        <w:rPr>
          <w:color w:val="000000" w:themeColor="text1"/>
        </w:rPr>
        <w:t>jeden soudce.</w:t>
      </w:r>
    </w:p>
    <w:p w14:paraId="6824D824" w14:textId="77777777" w:rsidR="008430BD" w:rsidRPr="001C3EC8" w:rsidRDefault="008430BD" w:rsidP="008430BD">
      <w:pPr>
        <w:pStyle w:val="OdstavecASR"/>
        <w:rPr>
          <w:color w:val="000000" w:themeColor="text1"/>
        </w:rPr>
      </w:pPr>
      <w:r w:rsidRPr="001C3EC8">
        <w:rPr>
          <w:color w:val="000000" w:themeColor="text1"/>
        </w:rPr>
        <w:t>Hypotézu snižování rozdílů mezi soudy můžeme jednoduše potvrdit pomocí krabicových grafů (graf </w:t>
      </w:r>
      <w:r w:rsidRPr="001C3EC8">
        <w:rPr>
          <w:noProof/>
          <w:color w:val="000000" w:themeColor="text1"/>
        </w:rPr>
        <w:t>8</w:t>
      </w:r>
      <w:r w:rsidRPr="001C3EC8">
        <w:rPr>
          <w:color w:val="000000" w:themeColor="text1"/>
        </w:rPr>
        <w:t>). Krabicový graf je blíže popsán v seznamu použitých pojmů v příloze. V grafu jsou vedle sebe znázorněny krabicové grafy pro roky 2008–2020 s mediánovými délkami řízení jednotlivých soudů.</w:t>
      </w:r>
    </w:p>
    <w:p w14:paraId="6884C9B9" w14:textId="46F38A47" w:rsidR="008430BD" w:rsidRPr="001C3EC8" w:rsidRDefault="008430BD" w:rsidP="008430BD">
      <w:pPr>
        <w:pStyle w:val="OdstavecASR"/>
        <w:rPr>
          <w:color w:val="000000" w:themeColor="text1"/>
        </w:rPr>
      </w:pPr>
      <w:r w:rsidRPr="001C3EC8">
        <w:rPr>
          <w:color w:val="000000" w:themeColor="text1"/>
        </w:rPr>
        <w:t xml:space="preserve">Graf potvrzuje to, co již naznačují výše uvedená data. Jasně </w:t>
      </w:r>
      <w:r w:rsidR="001B5E6A" w:rsidRPr="001C3EC8">
        <w:rPr>
          <w:color w:val="000000" w:themeColor="text1"/>
        </w:rPr>
        <w:t>z</w:t>
      </w:r>
      <w:r w:rsidR="001B5E6A">
        <w:rPr>
          <w:color w:val="000000" w:themeColor="text1"/>
        </w:rPr>
        <w:t> </w:t>
      </w:r>
      <w:r w:rsidRPr="001C3EC8">
        <w:rPr>
          <w:color w:val="000000" w:themeColor="text1"/>
        </w:rPr>
        <w:t xml:space="preserve">něj vyplývá, že v letech s nejvyšší mediánovou délkou řízení (úsečka uvnitř šedého boxu, kdy box znázorňuje 25 % počtu OS pod mediánem a 25 % OS nad mediánem, celkem tedy 43 soudů) byla variabilita mezi soudy výrazně vyšší (vyjádřená délkou tzv. vousů). </w:t>
      </w:r>
      <w:r w:rsidR="005A1F05" w:rsidRPr="001C3EC8">
        <w:rPr>
          <w:color w:val="000000" w:themeColor="text1"/>
        </w:rPr>
        <w:t>Vysoké</w:t>
      </w:r>
      <w:r w:rsidRPr="001C3EC8">
        <w:rPr>
          <w:color w:val="000000" w:themeColor="text1"/>
        </w:rPr>
        <w:t xml:space="preserve"> délky řízení byly tedy způsobeny malou skupinou soudů (znázorněny jako tečky, z nichž každá představuje jeden OS s extrémní délkou řízení) především v Severočeském a Jihomoravském kraji. Proto tyto soudy Ministerstvo spravedlnosti v několika etapách jmenování soudců personálně posílilo, aby mohly lépe vyřídit své nedodělky.</w:t>
      </w:r>
    </w:p>
    <w:p w14:paraId="08044A44" w14:textId="5489A323" w:rsidR="00B07E76" w:rsidRDefault="008430BD" w:rsidP="008430BD">
      <w:pPr>
        <w:pStyle w:val="OdstavecASR"/>
        <w:rPr>
          <w:color w:val="000000" w:themeColor="text1"/>
        </w:rPr>
      </w:pPr>
      <w:r w:rsidRPr="001C3EC8">
        <w:rPr>
          <w:color w:val="000000" w:themeColor="text1"/>
        </w:rPr>
        <w:lastRenderedPageBreak/>
        <w:t xml:space="preserve">Graf také potvrzuje hypotézu snižování rozdílů mezi soudy. Délky řízení i jejich variabilita se v posledních letech postupně snižovaly, </w:t>
      </w:r>
      <w:r w:rsidR="001B5E6A" w:rsidRPr="001C3EC8">
        <w:rPr>
          <w:color w:val="000000" w:themeColor="text1"/>
        </w:rPr>
        <w:t>a</w:t>
      </w:r>
      <w:r w:rsidR="001B5E6A">
        <w:rPr>
          <w:color w:val="000000" w:themeColor="text1"/>
        </w:rPr>
        <w:t> </w:t>
      </w:r>
      <w:r w:rsidRPr="001C3EC8">
        <w:rPr>
          <w:color w:val="000000" w:themeColor="text1"/>
        </w:rPr>
        <w:t xml:space="preserve">to až do roku 2019. V krabicových grafech to je zcela jasně vidět – zmenšuje se box, zkracují se vousy a odlehlé hodnoty se přibližují. V roce 2018 byly v datech pouze </w:t>
      </w:r>
      <w:r w:rsidR="001B5E6A" w:rsidRPr="001C3EC8">
        <w:rPr>
          <w:color w:val="000000" w:themeColor="text1"/>
        </w:rPr>
        <w:t>4</w:t>
      </w:r>
      <w:r w:rsidR="001B5E6A">
        <w:rPr>
          <w:color w:val="000000" w:themeColor="text1"/>
        </w:rPr>
        <w:t> </w:t>
      </w:r>
      <w:r w:rsidRPr="001C3EC8">
        <w:rPr>
          <w:color w:val="000000" w:themeColor="text1"/>
        </w:rPr>
        <w:t xml:space="preserve">odlehlé hodnoty </w:t>
      </w:r>
      <w:r w:rsidR="001B5E6A" w:rsidRPr="001C3EC8">
        <w:rPr>
          <w:color w:val="000000" w:themeColor="text1"/>
        </w:rPr>
        <w:t>a</w:t>
      </w:r>
      <w:r w:rsidR="001B5E6A">
        <w:rPr>
          <w:color w:val="000000" w:themeColor="text1"/>
        </w:rPr>
        <w:t> </w:t>
      </w:r>
      <w:r w:rsidRPr="001C3EC8">
        <w:rPr>
          <w:color w:val="000000" w:themeColor="text1"/>
        </w:rPr>
        <w:t xml:space="preserve">všechny </w:t>
      </w:r>
      <w:r w:rsidR="001B5E6A" w:rsidRPr="001C3EC8">
        <w:rPr>
          <w:color w:val="000000" w:themeColor="text1"/>
        </w:rPr>
        <w:t>4</w:t>
      </w:r>
      <w:r w:rsidR="001B5E6A">
        <w:rPr>
          <w:color w:val="000000" w:themeColor="text1"/>
        </w:rPr>
        <w:t> </w:t>
      </w:r>
      <w:r w:rsidRPr="001C3EC8">
        <w:rPr>
          <w:color w:val="000000" w:themeColor="text1"/>
        </w:rPr>
        <w:t xml:space="preserve">leží poměrně blízko horní přilehlé hodnotě. V roce 2019 se dvě nejodlehlejší hodnoty (Chomutov </w:t>
      </w:r>
      <w:r w:rsidR="001B5E6A" w:rsidRPr="001C3EC8">
        <w:rPr>
          <w:color w:val="000000" w:themeColor="text1"/>
        </w:rPr>
        <w:t>a</w:t>
      </w:r>
      <w:r w:rsidR="001B5E6A">
        <w:rPr>
          <w:color w:val="000000" w:themeColor="text1"/>
        </w:rPr>
        <w:t> </w:t>
      </w:r>
      <w:r w:rsidRPr="001C3EC8">
        <w:rPr>
          <w:color w:val="000000" w:themeColor="text1"/>
        </w:rPr>
        <w:t xml:space="preserve">Břeclav) opět přiblížily k boxu. </w:t>
      </w:r>
      <w:r w:rsidR="005A1F05" w:rsidRPr="001C3EC8">
        <w:rPr>
          <w:color w:val="000000" w:themeColor="text1"/>
        </w:rPr>
        <w:t>V</w:t>
      </w:r>
      <w:r w:rsidRPr="001C3EC8">
        <w:rPr>
          <w:color w:val="000000" w:themeColor="text1"/>
        </w:rPr>
        <w:t xml:space="preserve"> roce 2020 se opět jedna hodnota oddálila od boxu. Jedná se </w:t>
      </w:r>
      <w:r w:rsidR="001B5E6A" w:rsidRPr="001C3EC8">
        <w:rPr>
          <w:color w:val="000000" w:themeColor="text1"/>
        </w:rPr>
        <w:t>o</w:t>
      </w:r>
      <w:r w:rsidR="001B5E6A">
        <w:rPr>
          <w:color w:val="000000" w:themeColor="text1"/>
        </w:rPr>
        <w:t> </w:t>
      </w:r>
      <w:r w:rsidR="005A1F05" w:rsidRPr="001C3EC8">
        <w:rPr>
          <w:color w:val="000000" w:themeColor="text1"/>
        </w:rPr>
        <w:t xml:space="preserve">již zmiňovaný </w:t>
      </w:r>
      <w:r w:rsidRPr="001C3EC8">
        <w:rPr>
          <w:color w:val="000000" w:themeColor="text1"/>
        </w:rPr>
        <w:t>OS pro Prahu 7, kde mediánová délka řízení vzrostla z 316 dnů na 419 dnů.</w:t>
      </w:r>
    </w:p>
    <w:p w14:paraId="10727CF2" w14:textId="442985F1" w:rsidR="008430BD" w:rsidRPr="001C3EC8" w:rsidRDefault="008430BD" w:rsidP="008430BD">
      <w:pPr>
        <w:pStyle w:val="Podnadpis"/>
        <w:rPr>
          <w:color w:val="000000" w:themeColor="text1"/>
        </w:rPr>
      </w:pPr>
      <w:bookmarkStart w:id="89" w:name="_Ref509212914"/>
      <w:bookmarkStart w:id="90" w:name="_Toc515871333"/>
      <w:bookmarkStart w:id="91" w:name="_Toc11135069"/>
      <w:bookmarkStart w:id="92" w:name="_Toc43841388"/>
      <w:bookmarkStart w:id="93" w:name="_Toc7595218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w:t>
      </w:r>
      <w:r w:rsidRPr="001C3EC8">
        <w:rPr>
          <w:color w:val="000000" w:themeColor="text1"/>
        </w:rPr>
        <w:fldChar w:fldCharType="end"/>
      </w:r>
      <w:bookmarkEnd w:id="89"/>
      <w:r w:rsidRPr="001C3EC8">
        <w:rPr>
          <w:color w:val="000000" w:themeColor="text1"/>
        </w:rPr>
        <w:t>: OS – krabicové grafy, mediánové délky civilního řízení</w:t>
      </w:r>
      <w:bookmarkEnd w:id="90"/>
      <w:bookmarkEnd w:id="91"/>
      <w:bookmarkEnd w:id="92"/>
      <w:bookmarkEnd w:id="93"/>
    </w:p>
    <w:p w14:paraId="13300916"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2268C072" wp14:editId="27AB9255">
            <wp:extent cx="5112385" cy="3745230"/>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34D95B2C" w14:textId="269726CE" w:rsidR="008430BD" w:rsidRPr="001C3EC8" w:rsidRDefault="008430BD" w:rsidP="008430BD">
      <w:pPr>
        <w:pStyle w:val="OdstavecASR"/>
        <w:rPr>
          <w:color w:val="000000" w:themeColor="text1"/>
        </w:rPr>
      </w:pPr>
      <w:r w:rsidRPr="001C3EC8">
        <w:rPr>
          <w:color w:val="000000" w:themeColor="text1"/>
        </w:rPr>
        <w:t xml:space="preserve">Zkracující se délka řízení v letech 2014 </w:t>
      </w:r>
      <w:r w:rsidR="001B5E6A" w:rsidRPr="001C3EC8">
        <w:rPr>
          <w:color w:val="000000" w:themeColor="text1"/>
        </w:rPr>
        <w:t>a</w:t>
      </w:r>
      <w:r w:rsidR="001B5E6A">
        <w:rPr>
          <w:color w:val="000000" w:themeColor="text1"/>
        </w:rPr>
        <w:t> </w:t>
      </w:r>
      <w:r w:rsidRPr="001C3EC8">
        <w:rPr>
          <w:color w:val="000000" w:themeColor="text1"/>
        </w:rPr>
        <w:t>2019 (a také snižující se počet nevyřízených věcí, který je zachycen v následujících podkapitolách) má tři hlavní důvody:</w:t>
      </w:r>
    </w:p>
    <w:p w14:paraId="118B7A15" w14:textId="77777777" w:rsidR="008430BD" w:rsidRPr="001C3EC8" w:rsidRDefault="008430BD" w:rsidP="008430BD">
      <w:pPr>
        <w:pStyle w:val="Odstavecseseznamem"/>
        <w:numPr>
          <w:ilvl w:val="0"/>
          <w:numId w:val="5"/>
        </w:numPr>
        <w:rPr>
          <w:color w:val="000000" w:themeColor="text1"/>
        </w:rPr>
      </w:pPr>
      <w:r w:rsidRPr="001C3EC8">
        <w:rPr>
          <w:color w:val="000000" w:themeColor="text1"/>
        </w:rPr>
        <w:t>Zefektivnění práce soudů s velkým množstvím nevyřízených věcí a značnými délkami řízení.</w:t>
      </w:r>
    </w:p>
    <w:p w14:paraId="2ED73BF7" w14:textId="77777777" w:rsidR="008430BD" w:rsidRPr="001C3EC8" w:rsidRDefault="008430BD" w:rsidP="008430BD">
      <w:pPr>
        <w:pStyle w:val="Odstavecseseznamem"/>
        <w:numPr>
          <w:ilvl w:val="0"/>
          <w:numId w:val="5"/>
        </w:numPr>
        <w:rPr>
          <w:color w:val="000000" w:themeColor="text1"/>
        </w:rPr>
      </w:pPr>
      <w:r w:rsidRPr="001C3EC8">
        <w:rPr>
          <w:color w:val="000000" w:themeColor="text1"/>
        </w:rPr>
        <w:t>Personální posilování těchto soudů.</w:t>
      </w:r>
    </w:p>
    <w:p w14:paraId="12243F63" w14:textId="77777777" w:rsidR="008430BD" w:rsidRPr="001C3EC8" w:rsidRDefault="008430BD" w:rsidP="008430BD">
      <w:pPr>
        <w:pStyle w:val="Odstavecseseznamem"/>
        <w:numPr>
          <w:ilvl w:val="0"/>
          <w:numId w:val="5"/>
        </w:numPr>
        <w:rPr>
          <w:color w:val="000000" w:themeColor="text1"/>
        </w:rPr>
      </w:pPr>
      <w:r w:rsidRPr="001C3EC8">
        <w:rPr>
          <w:color w:val="000000" w:themeColor="text1"/>
        </w:rPr>
        <w:t>Celorepublikový pokles v počtu napadlých věcí.</w:t>
      </w:r>
    </w:p>
    <w:p w14:paraId="061F8EA9" w14:textId="78E0446F" w:rsidR="00B07E76" w:rsidRDefault="008430BD" w:rsidP="008430BD">
      <w:pPr>
        <w:pStyle w:val="OdstavecASR"/>
        <w:rPr>
          <w:color w:val="000000" w:themeColor="text1"/>
        </w:rPr>
      </w:pPr>
      <w:r w:rsidRPr="001C3EC8">
        <w:rPr>
          <w:color w:val="000000" w:themeColor="text1"/>
        </w:rPr>
        <w:t xml:space="preserve">Mírný nárůst v roce 2020 může být způsoben tím, že soudy již vyčerpaly své možnosti zlepšování </w:t>
      </w:r>
      <w:r w:rsidR="001B5E6A" w:rsidRPr="001C3EC8">
        <w:rPr>
          <w:color w:val="000000" w:themeColor="text1"/>
        </w:rPr>
        <w:t>a</w:t>
      </w:r>
      <w:r w:rsidR="001B5E6A">
        <w:rPr>
          <w:color w:val="000000" w:themeColor="text1"/>
        </w:rPr>
        <w:t> </w:t>
      </w:r>
      <w:r w:rsidRPr="001C3EC8">
        <w:rPr>
          <w:color w:val="000000" w:themeColor="text1"/>
        </w:rPr>
        <w:t xml:space="preserve">délky řízení </w:t>
      </w:r>
      <w:r w:rsidR="001B5E6A" w:rsidRPr="001C3EC8">
        <w:rPr>
          <w:color w:val="000000" w:themeColor="text1"/>
        </w:rPr>
        <w:t>a</w:t>
      </w:r>
      <w:r w:rsidR="001B5E6A">
        <w:rPr>
          <w:color w:val="000000" w:themeColor="text1"/>
        </w:rPr>
        <w:t> </w:t>
      </w:r>
      <w:r w:rsidRPr="001C3EC8">
        <w:rPr>
          <w:color w:val="000000" w:themeColor="text1"/>
        </w:rPr>
        <w:t xml:space="preserve">situace </w:t>
      </w:r>
      <w:r w:rsidR="001B5E6A" w:rsidRPr="001C3EC8">
        <w:rPr>
          <w:color w:val="000000" w:themeColor="text1"/>
        </w:rPr>
        <w:t>u</w:t>
      </w:r>
      <w:r w:rsidR="001B5E6A">
        <w:rPr>
          <w:color w:val="000000" w:themeColor="text1"/>
        </w:rPr>
        <w:t> </w:t>
      </w:r>
      <w:r w:rsidRPr="001C3EC8">
        <w:rPr>
          <w:color w:val="000000" w:themeColor="text1"/>
        </w:rPr>
        <w:t xml:space="preserve">soudů se nyní nachází v jakémsi dlouhodobém rovnovážném stavu. Některé soudy se zlepšují, jiné naopak zhoršují. Vliv na délku </w:t>
      </w:r>
      <w:proofErr w:type="gramStart"/>
      <w:r w:rsidRPr="001C3EC8">
        <w:rPr>
          <w:color w:val="000000" w:themeColor="text1"/>
        </w:rPr>
        <w:t>řízení</w:t>
      </w:r>
      <w:proofErr w:type="gramEnd"/>
      <w:r w:rsidRPr="001C3EC8">
        <w:rPr>
          <w:color w:val="000000" w:themeColor="text1"/>
        </w:rPr>
        <w:t xml:space="preserve"> ale může mít </w:t>
      </w:r>
      <w:r w:rsidR="001B5E6A" w:rsidRPr="001C3EC8">
        <w:rPr>
          <w:color w:val="000000" w:themeColor="text1"/>
        </w:rPr>
        <w:t>i</w:t>
      </w:r>
      <w:r w:rsidR="001B5E6A">
        <w:rPr>
          <w:color w:val="000000" w:themeColor="text1"/>
        </w:rPr>
        <w:t> </w:t>
      </w:r>
      <w:r w:rsidR="00DC2377" w:rsidRPr="001C3EC8">
        <w:rPr>
          <w:color w:val="000000" w:themeColor="text1"/>
        </w:rPr>
        <w:t xml:space="preserve">pandemie </w:t>
      </w:r>
      <w:r w:rsidR="000C3B1E">
        <w:rPr>
          <w:color w:val="000000" w:themeColor="text1"/>
        </w:rPr>
        <w:t>COVID</w:t>
      </w:r>
      <w:r w:rsidR="000C3B1E">
        <w:rPr>
          <w:color w:val="000000" w:themeColor="text1"/>
        </w:rPr>
        <w:noBreakHyphen/>
        <w:t>19</w:t>
      </w:r>
      <w:r w:rsidRPr="001C3EC8">
        <w:rPr>
          <w:color w:val="000000" w:themeColor="text1"/>
        </w:rPr>
        <w:t xml:space="preserve"> a restrikce ke zbrzdění </w:t>
      </w:r>
      <w:r w:rsidR="00DC2377" w:rsidRPr="001C3EC8">
        <w:rPr>
          <w:color w:val="000000" w:themeColor="text1"/>
        </w:rPr>
        <w:t xml:space="preserve">jejího </w:t>
      </w:r>
      <w:r w:rsidRPr="001C3EC8">
        <w:rPr>
          <w:color w:val="000000" w:themeColor="text1"/>
        </w:rPr>
        <w:t>šíření.</w:t>
      </w:r>
    </w:p>
    <w:p w14:paraId="0B61A8C1" w14:textId="27A1D2C5" w:rsidR="008430BD" w:rsidRPr="001C3EC8" w:rsidRDefault="008430BD" w:rsidP="008430BD">
      <w:pPr>
        <w:pStyle w:val="OdstavecASR"/>
        <w:rPr>
          <w:color w:val="000000" w:themeColor="text1"/>
        </w:rPr>
      </w:pPr>
      <w:r w:rsidRPr="001C3EC8">
        <w:rPr>
          <w:color w:val="000000" w:themeColor="text1"/>
        </w:rPr>
        <w:t>Na délky řízení v roce 2020 se nakonec podíváme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 Například:</w:t>
      </w:r>
    </w:p>
    <w:p w14:paraId="3C93A6C4" w14:textId="02FD3268" w:rsidR="008430BD" w:rsidRPr="001C3EC8" w:rsidRDefault="008430BD" w:rsidP="008430BD">
      <w:pPr>
        <w:pStyle w:val="Odstavecseseznamem"/>
        <w:numPr>
          <w:ilvl w:val="0"/>
          <w:numId w:val="9"/>
        </w:numPr>
        <w:rPr>
          <w:color w:val="000000" w:themeColor="text1"/>
        </w:rPr>
      </w:pPr>
      <w:r w:rsidRPr="001C3EC8">
        <w:rPr>
          <w:color w:val="000000" w:themeColor="text1"/>
        </w:rPr>
        <w:lastRenderedPageBreak/>
        <w:t xml:space="preserve">Jen asi 4 % věcí byla vyřízena za více než </w:t>
      </w:r>
      <w:r w:rsidR="001B5E6A" w:rsidRPr="001C3EC8">
        <w:rPr>
          <w:color w:val="000000" w:themeColor="text1"/>
        </w:rPr>
        <w:t>1</w:t>
      </w:r>
      <w:r w:rsidR="001B5E6A">
        <w:rPr>
          <w:color w:val="000000" w:themeColor="text1"/>
        </w:rPr>
        <w:t> </w:t>
      </w:r>
      <w:r w:rsidRPr="001C3EC8">
        <w:rPr>
          <w:color w:val="000000" w:themeColor="text1"/>
        </w:rPr>
        <w:t>000 dnů.</w:t>
      </w:r>
    </w:p>
    <w:p w14:paraId="07717EF4" w14:textId="77777777" w:rsidR="008430BD" w:rsidRPr="001C3EC8" w:rsidRDefault="008430BD" w:rsidP="008430BD">
      <w:pPr>
        <w:pStyle w:val="Odstavecseseznamem"/>
        <w:numPr>
          <w:ilvl w:val="0"/>
          <w:numId w:val="8"/>
        </w:numPr>
        <w:ind w:left="714" w:hanging="357"/>
        <w:jc w:val="left"/>
        <w:rPr>
          <w:color w:val="000000" w:themeColor="text1"/>
        </w:rPr>
      </w:pPr>
      <w:r w:rsidRPr="001C3EC8">
        <w:rPr>
          <w:color w:val="000000" w:themeColor="text1"/>
        </w:rPr>
        <w:t>Přibližně 7 % věcí bylo vyřízeno velice rychle – do 80 dnů.</w:t>
      </w:r>
    </w:p>
    <w:p w14:paraId="282010A3" w14:textId="77777777" w:rsidR="008430BD" w:rsidRPr="001C3EC8" w:rsidRDefault="008430BD" w:rsidP="008430BD">
      <w:pPr>
        <w:pStyle w:val="Odstavecseseznamem"/>
        <w:numPr>
          <w:ilvl w:val="0"/>
          <w:numId w:val="8"/>
        </w:numPr>
        <w:ind w:left="714" w:hanging="357"/>
        <w:rPr>
          <w:color w:val="000000" w:themeColor="text1"/>
        </w:rPr>
      </w:pPr>
      <w:r w:rsidRPr="001C3EC8">
        <w:rPr>
          <w:color w:val="000000" w:themeColor="text1"/>
        </w:rPr>
        <w:t>Největší skupina věcí (asi 19 %) byla vyřízena za 121 až 160 dnů.</w:t>
      </w:r>
    </w:p>
    <w:p w14:paraId="712B0751" w14:textId="77777777" w:rsidR="008430BD" w:rsidRPr="001C3EC8" w:rsidRDefault="008430BD" w:rsidP="008430BD">
      <w:pPr>
        <w:pStyle w:val="OdstavecASR"/>
        <w:rPr>
          <w:color w:val="000000" w:themeColor="text1"/>
        </w:rPr>
      </w:pPr>
      <w:r w:rsidRPr="001C3EC8">
        <w:rPr>
          <w:color w:val="000000" w:themeColor="text1"/>
        </w:rPr>
        <w:t>Oproti roku 2019 se rozdělení délek řízení v roce 2020 takřka nezměnilo.</w:t>
      </w:r>
    </w:p>
    <w:p w14:paraId="1AC4A0EB" w14:textId="074228B4" w:rsidR="008430BD" w:rsidRPr="001C3EC8" w:rsidRDefault="008430BD" w:rsidP="008430BD">
      <w:pPr>
        <w:pStyle w:val="Podnadpis"/>
        <w:rPr>
          <w:color w:val="000000" w:themeColor="text1"/>
        </w:rPr>
      </w:pPr>
      <w:bookmarkStart w:id="94" w:name="_Toc11135070"/>
      <w:bookmarkStart w:id="95" w:name="_Toc43841389"/>
      <w:bookmarkStart w:id="96" w:name="_Toc7595218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w:t>
      </w:r>
      <w:r w:rsidRPr="001C3EC8">
        <w:rPr>
          <w:color w:val="000000" w:themeColor="text1"/>
        </w:rPr>
        <w:fldChar w:fldCharType="end"/>
      </w:r>
      <w:r w:rsidRPr="001C3EC8">
        <w:rPr>
          <w:color w:val="000000" w:themeColor="text1"/>
        </w:rPr>
        <w:t>: OS – distribuce délek civilního řízení</w:t>
      </w:r>
      <w:bookmarkEnd w:id="94"/>
      <w:bookmarkEnd w:id="95"/>
      <w:bookmarkEnd w:id="96"/>
    </w:p>
    <w:p w14:paraId="045E1FD5"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7C199434" wp14:editId="7C577A1C">
            <wp:extent cx="5112385" cy="3745230"/>
            <wp:effectExtent l="0" t="0" r="0" b="762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29F7D44B" w14:textId="77777777" w:rsidR="008430BD" w:rsidRPr="001C3EC8" w:rsidRDefault="008430BD" w:rsidP="008430BD">
      <w:pPr>
        <w:pStyle w:val="Nadpis3"/>
        <w:numPr>
          <w:ilvl w:val="2"/>
          <w:numId w:val="1"/>
        </w:numPr>
        <w:rPr>
          <w:color w:val="000000" w:themeColor="text1"/>
        </w:rPr>
      </w:pPr>
      <w:bookmarkStart w:id="97" w:name="_Ref509669257"/>
      <w:bookmarkStart w:id="98" w:name="_Toc515871222"/>
      <w:bookmarkStart w:id="99" w:name="_Toc75952058"/>
      <w:r w:rsidRPr="001C3EC8">
        <w:rPr>
          <w:color w:val="000000" w:themeColor="text1"/>
        </w:rPr>
        <w:t>Vyřizování věcí</w:t>
      </w:r>
      <w:bookmarkEnd w:id="97"/>
      <w:bookmarkEnd w:id="98"/>
      <w:bookmarkEnd w:id="99"/>
    </w:p>
    <w:p w14:paraId="2928AC91" w14:textId="66434801" w:rsidR="00B07E76" w:rsidRDefault="008430BD" w:rsidP="008430BD">
      <w:pPr>
        <w:pStyle w:val="OdstavecASR"/>
        <w:rPr>
          <w:color w:val="000000" w:themeColor="text1"/>
        </w:rPr>
      </w:pPr>
      <w:r w:rsidRPr="001C3EC8">
        <w:rPr>
          <w:color w:val="000000" w:themeColor="text1"/>
        </w:rPr>
        <w:t>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Graf </w:t>
      </w:r>
      <w:r w:rsidRPr="001C3EC8">
        <w:rPr>
          <w:noProof/>
          <w:color w:val="000000" w:themeColor="text1"/>
        </w:rPr>
        <w:t>10</w:t>
      </w:r>
      <w:r w:rsidRPr="001C3EC8">
        <w:rPr>
          <w:color w:val="000000" w:themeColor="text1"/>
        </w:rPr>
        <w:t xml:space="preserve"> ukazuje vývoj těchto proměnných v letech 2008–2020. Z grafu je patrné, že počet příchozích (nápad + obživa) a vyřízených věcí jsou silně korelovány. Vztah je v tomto případě kauzální (příčinný). Velký nárůst v počtu napadlých (a tedy i vyřízených) věcí v roce 2009 je způsoben zavedením elektronického platebního rozkazu a změnami ve vedení statistik. Na rozdíl od dat ze SL nelze v tomto případě data o tyto věci očistit (tj. odstranit z dat příslušná pozorování). Nárůst v roce 2013 pravděpodobně způsobilo snížení soudních poplatků za podání EPR. Část věcí z EPR, které neskončí pravomocným elektronickým platebním rozkazem, je následně převedena do rejstříku C. Rejstříku EPR se více věnuje následující kapitola. Od roku 2014 převyšuje počet vyřízených věcí počet věcí příchozích, třebaže v letech 2017 </w:t>
      </w:r>
      <w:r w:rsidR="001B5E6A" w:rsidRPr="001C3EC8">
        <w:rPr>
          <w:color w:val="000000" w:themeColor="text1"/>
        </w:rPr>
        <w:t>a</w:t>
      </w:r>
      <w:r w:rsidR="001B5E6A">
        <w:rPr>
          <w:color w:val="000000" w:themeColor="text1"/>
        </w:rPr>
        <w:t> </w:t>
      </w:r>
      <w:r w:rsidRPr="001C3EC8">
        <w:rPr>
          <w:color w:val="000000" w:themeColor="text1"/>
        </w:rPr>
        <w:t>2018 jen velmi mírně. V roce 2019 opět došlo k navýšení rozdílu mezi příchozími a vyřízenými věcmi. Díky tomu se v posledních letech dařilo snižovat počet nevyřízených věcí. Tento výsledek plně koresponduje se snižováním délek řízení. Důvody pro snižování počtu nevyřízených věcí jsou logicky stejné jako u délky řízení.</w:t>
      </w:r>
    </w:p>
    <w:p w14:paraId="1CCFB29E" w14:textId="14802EDB" w:rsidR="008430BD" w:rsidRPr="001C3EC8" w:rsidRDefault="005A1F05" w:rsidP="008430BD">
      <w:pPr>
        <w:pStyle w:val="OdstavecASR"/>
        <w:rPr>
          <w:color w:val="000000" w:themeColor="text1"/>
          <w:highlight w:val="yellow"/>
        </w:rPr>
      </w:pPr>
      <w:r w:rsidRPr="001C3EC8">
        <w:rPr>
          <w:color w:val="000000" w:themeColor="text1"/>
        </w:rPr>
        <w:t>V roce 2020 došlo s</w:t>
      </w:r>
      <w:r w:rsidR="008430BD" w:rsidRPr="001C3EC8">
        <w:rPr>
          <w:color w:val="000000" w:themeColor="text1"/>
        </w:rPr>
        <w:t xml:space="preserve">tejně jako </w:t>
      </w:r>
      <w:r w:rsidR="001B5E6A" w:rsidRPr="001C3EC8">
        <w:rPr>
          <w:color w:val="000000" w:themeColor="text1"/>
        </w:rPr>
        <w:t>u</w:t>
      </w:r>
      <w:r w:rsidR="001B5E6A">
        <w:rPr>
          <w:color w:val="000000" w:themeColor="text1"/>
        </w:rPr>
        <w:t> </w:t>
      </w:r>
      <w:r w:rsidR="008430BD" w:rsidRPr="001C3EC8">
        <w:rPr>
          <w:color w:val="000000" w:themeColor="text1"/>
        </w:rPr>
        <w:t xml:space="preserve">délek řízení po </w:t>
      </w:r>
      <w:r w:rsidR="001B5E6A" w:rsidRPr="001C3EC8">
        <w:rPr>
          <w:color w:val="000000" w:themeColor="text1"/>
        </w:rPr>
        <w:t>6</w:t>
      </w:r>
      <w:r w:rsidR="001B5E6A">
        <w:rPr>
          <w:color w:val="000000" w:themeColor="text1"/>
        </w:rPr>
        <w:t> </w:t>
      </w:r>
      <w:r w:rsidR="008430BD" w:rsidRPr="001C3EC8">
        <w:rPr>
          <w:color w:val="000000" w:themeColor="text1"/>
        </w:rPr>
        <w:t>letech k</w:t>
      </w:r>
      <w:r w:rsidRPr="001C3EC8">
        <w:rPr>
          <w:color w:val="000000" w:themeColor="text1"/>
        </w:rPr>
        <w:t xml:space="preserve"> mírnému </w:t>
      </w:r>
      <w:r w:rsidR="008430BD" w:rsidRPr="001C3EC8">
        <w:rPr>
          <w:color w:val="000000" w:themeColor="text1"/>
        </w:rPr>
        <w:t xml:space="preserve">nárůstu </w:t>
      </w:r>
      <w:r w:rsidRPr="001C3EC8">
        <w:rPr>
          <w:color w:val="000000" w:themeColor="text1"/>
        </w:rPr>
        <w:t xml:space="preserve">počtu </w:t>
      </w:r>
      <w:r w:rsidR="008430BD" w:rsidRPr="001C3EC8">
        <w:rPr>
          <w:color w:val="000000" w:themeColor="text1"/>
        </w:rPr>
        <w:t>nevyřízených věcí. Všechny kraje měl</w:t>
      </w:r>
      <w:r w:rsidR="00DC2377" w:rsidRPr="001C3EC8">
        <w:rPr>
          <w:color w:val="000000" w:themeColor="text1"/>
        </w:rPr>
        <w:t>y</w:t>
      </w:r>
      <w:r w:rsidR="008430BD" w:rsidRPr="001C3EC8">
        <w:rPr>
          <w:color w:val="000000" w:themeColor="text1"/>
        </w:rPr>
        <w:t xml:space="preserve"> míru vyřizování pod 100</w:t>
      </w:r>
      <w:r w:rsidR="001B5E6A">
        <w:rPr>
          <w:color w:val="000000" w:themeColor="text1"/>
        </w:rPr>
        <w:t> </w:t>
      </w:r>
      <w:r w:rsidR="008430BD" w:rsidRPr="001C3EC8">
        <w:rPr>
          <w:color w:val="000000" w:themeColor="text1"/>
        </w:rPr>
        <w:t xml:space="preserve">%. Ve všech krajích klesl počet vyřízených věcí </w:t>
      </w:r>
      <w:r w:rsidR="001B5E6A" w:rsidRPr="001C3EC8">
        <w:rPr>
          <w:color w:val="000000" w:themeColor="text1"/>
        </w:rPr>
        <w:lastRenderedPageBreak/>
        <w:t>a</w:t>
      </w:r>
      <w:r w:rsidR="001B5E6A">
        <w:rPr>
          <w:color w:val="000000" w:themeColor="text1"/>
        </w:rPr>
        <w:t> </w:t>
      </w:r>
      <w:r w:rsidR="008430BD" w:rsidRPr="001C3EC8">
        <w:rPr>
          <w:color w:val="000000" w:themeColor="text1"/>
        </w:rPr>
        <w:t xml:space="preserve">ve všech krajích s výjimkou kraje Západočeského klesl počet příchozích věcí. Většina </w:t>
      </w:r>
      <w:r w:rsidRPr="001C3EC8">
        <w:rPr>
          <w:color w:val="000000" w:themeColor="text1"/>
        </w:rPr>
        <w:t>těchto okolností</w:t>
      </w:r>
      <w:r w:rsidR="008430BD" w:rsidRPr="001C3EC8">
        <w:rPr>
          <w:color w:val="000000" w:themeColor="text1"/>
        </w:rPr>
        <w:t xml:space="preserve"> (pokles příchozích věcí, pokles vyřízených věcí, nárůst nevyřízených věcí) ukazuje na to, že soudy byly ovlivněny nemocí </w:t>
      </w:r>
      <w:r w:rsidR="000C3B1E">
        <w:rPr>
          <w:color w:val="000000" w:themeColor="text1"/>
        </w:rPr>
        <w:t>COVID</w:t>
      </w:r>
      <w:r w:rsidR="000C3B1E">
        <w:rPr>
          <w:color w:val="000000" w:themeColor="text1"/>
        </w:rPr>
        <w:noBreakHyphen/>
        <w:t>19</w:t>
      </w:r>
      <w:r w:rsidR="008430BD" w:rsidRPr="001C3EC8">
        <w:rPr>
          <w:color w:val="000000" w:themeColor="text1"/>
        </w:rPr>
        <w:t xml:space="preserve"> </w:t>
      </w:r>
      <w:r w:rsidR="001B5E6A" w:rsidRPr="001C3EC8">
        <w:rPr>
          <w:color w:val="000000" w:themeColor="text1"/>
        </w:rPr>
        <w:t>a</w:t>
      </w:r>
      <w:r w:rsidR="001B5E6A">
        <w:rPr>
          <w:color w:val="000000" w:themeColor="text1"/>
        </w:rPr>
        <w:t> </w:t>
      </w:r>
      <w:r w:rsidR="008430BD" w:rsidRPr="001C3EC8">
        <w:rPr>
          <w:color w:val="000000" w:themeColor="text1"/>
        </w:rPr>
        <w:t>vládních restrikcí ke zbrzdění jeho šíření.</w:t>
      </w:r>
      <w:r w:rsidR="00DC2377" w:rsidRPr="001C3EC8">
        <w:rPr>
          <w:color w:val="000000" w:themeColor="text1"/>
        </w:rPr>
        <w:t xml:space="preserve"> Onemocnění </w:t>
      </w:r>
      <w:r w:rsidR="000C3B1E">
        <w:rPr>
          <w:color w:val="000000" w:themeColor="text1"/>
        </w:rPr>
        <w:t>COVID</w:t>
      </w:r>
      <w:r w:rsidR="000C3B1E">
        <w:rPr>
          <w:color w:val="000000" w:themeColor="text1"/>
        </w:rPr>
        <w:noBreakHyphen/>
        <w:t>19</w:t>
      </w:r>
      <w:r w:rsidR="008430BD" w:rsidRPr="001C3EC8">
        <w:rPr>
          <w:color w:val="000000" w:themeColor="text1"/>
        </w:rPr>
        <w:t xml:space="preserve"> zřejmě způsobil</w:t>
      </w:r>
      <w:r w:rsidR="00DC2377" w:rsidRPr="001C3EC8">
        <w:rPr>
          <w:color w:val="000000" w:themeColor="text1"/>
        </w:rPr>
        <w:t>o</w:t>
      </w:r>
      <w:r w:rsidR="008430BD" w:rsidRPr="001C3EC8">
        <w:rPr>
          <w:color w:val="000000" w:themeColor="text1"/>
        </w:rPr>
        <w:t xml:space="preserve"> pokles v nápadu </w:t>
      </w:r>
      <w:r w:rsidR="001B5E6A" w:rsidRPr="001C3EC8">
        <w:rPr>
          <w:color w:val="000000" w:themeColor="text1"/>
        </w:rPr>
        <w:t>a</w:t>
      </w:r>
      <w:r w:rsidR="001B5E6A">
        <w:rPr>
          <w:color w:val="000000" w:themeColor="text1"/>
        </w:rPr>
        <w:t> </w:t>
      </w:r>
      <w:r w:rsidR="008430BD" w:rsidRPr="001C3EC8">
        <w:rPr>
          <w:color w:val="000000" w:themeColor="text1"/>
        </w:rPr>
        <w:t>rovněž byla omezena funkčnost soudů</w:t>
      </w:r>
      <w:r w:rsidRPr="001C3EC8">
        <w:rPr>
          <w:color w:val="000000" w:themeColor="text1"/>
        </w:rPr>
        <w:t>,</w:t>
      </w:r>
      <w:r w:rsidR="008430BD" w:rsidRPr="001C3EC8">
        <w:rPr>
          <w:color w:val="000000" w:themeColor="text1"/>
        </w:rPr>
        <w:t xml:space="preserve"> z </w:t>
      </w:r>
      <w:r w:rsidRPr="001C3EC8">
        <w:rPr>
          <w:color w:val="000000" w:themeColor="text1"/>
        </w:rPr>
        <w:t>čehož</w:t>
      </w:r>
      <w:r w:rsidR="008430BD" w:rsidRPr="001C3EC8">
        <w:rPr>
          <w:color w:val="000000" w:themeColor="text1"/>
        </w:rPr>
        <w:t xml:space="preserve"> plyne pokles v počtu vyřízených věcí.</w:t>
      </w:r>
    </w:p>
    <w:p w14:paraId="6704082D" w14:textId="4E620423" w:rsidR="008430BD" w:rsidRPr="001C3EC8" w:rsidRDefault="008430BD" w:rsidP="008430BD">
      <w:pPr>
        <w:pStyle w:val="Podnadpis"/>
        <w:rPr>
          <w:color w:val="000000" w:themeColor="text1"/>
        </w:rPr>
      </w:pPr>
      <w:bookmarkStart w:id="100" w:name="_Ref509225924"/>
      <w:bookmarkStart w:id="101" w:name="_Toc515871335"/>
      <w:bookmarkStart w:id="102" w:name="_Toc11135071"/>
      <w:bookmarkStart w:id="103" w:name="_Toc43841390"/>
      <w:bookmarkStart w:id="104" w:name="_Toc75952190"/>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w:t>
      </w:r>
      <w:r w:rsidRPr="001C3EC8">
        <w:rPr>
          <w:color w:val="000000" w:themeColor="text1"/>
        </w:rPr>
        <w:fldChar w:fldCharType="end"/>
      </w:r>
      <w:bookmarkEnd w:id="100"/>
      <w:r w:rsidRPr="001C3EC8">
        <w:rPr>
          <w:color w:val="000000" w:themeColor="text1"/>
        </w:rPr>
        <w:t>: OS – vyřizování civilních věcí v letech 2008–20</w:t>
      </w:r>
      <w:bookmarkEnd w:id="101"/>
      <w:bookmarkEnd w:id="102"/>
      <w:bookmarkEnd w:id="103"/>
      <w:r w:rsidRPr="001C3EC8">
        <w:rPr>
          <w:color w:val="000000" w:themeColor="text1"/>
        </w:rPr>
        <w:t>20</w:t>
      </w:r>
      <w:bookmarkEnd w:id="104"/>
    </w:p>
    <w:p w14:paraId="20BA89B4"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42F481AD" wp14:editId="391FAD47">
            <wp:extent cx="5112385" cy="3745230"/>
            <wp:effectExtent l="0" t="0" r="0" b="762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2F4192B0" w14:textId="77777777" w:rsidR="008430BD" w:rsidRPr="001C3EC8" w:rsidRDefault="008430BD" w:rsidP="008430BD">
      <w:pPr>
        <w:rPr>
          <w:color w:val="000000" w:themeColor="text1"/>
          <w:highlight w:val="yellow"/>
        </w:rPr>
      </w:pPr>
    </w:p>
    <w:p w14:paraId="01A52AAE" w14:textId="684102BE" w:rsidR="008430BD" w:rsidRPr="001C3EC8" w:rsidRDefault="008430BD" w:rsidP="008430BD">
      <w:pPr>
        <w:pStyle w:val="Podnadpis"/>
        <w:rPr>
          <w:color w:val="000000" w:themeColor="text1"/>
        </w:rPr>
      </w:pPr>
      <w:bookmarkStart w:id="105" w:name="_Ref509226700"/>
      <w:bookmarkStart w:id="106" w:name="_Toc515871441"/>
      <w:bookmarkStart w:id="107" w:name="_Toc11133210"/>
      <w:bookmarkStart w:id="108" w:name="_Toc43931183"/>
      <w:bookmarkStart w:id="109" w:name="_Toc75952313"/>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10</w:t>
      </w:r>
      <w:r w:rsidRPr="001C3EC8">
        <w:rPr>
          <w:noProof/>
          <w:color w:val="000000" w:themeColor="text1"/>
        </w:rPr>
        <w:fldChar w:fldCharType="end"/>
      </w:r>
      <w:bookmarkEnd w:id="105"/>
      <w:r w:rsidRPr="001C3EC8">
        <w:rPr>
          <w:color w:val="000000" w:themeColor="text1"/>
        </w:rPr>
        <w:t>: OS – vyřizování civilních věcí dle krajů</w:t>
      </w:r>
      <w:bookmarkEnd w:id="106"/>
      <w:bookmarkEnd w:id="107"/>
      <w:bookmarkEnd w:id="108"/>
      <w:bookmarkEnd w:id="109"/>
    </w:p>
    <w:tbl>
      <w:tblPr>
        <w:tblW w:w="9140" w:type="dxa"/>
        <w:tblCellMar>
          <w:left w:w="70" w:type="dxa"/>
          <w:right w:w="70" w:type="dxa"/>
        </w:tblCellMar>
        <w:tblLook w:val="04A0" w:firstRow="1" w:lastRow="0" w:firstColumn="1" w:lastColumn="0" w:noHBand="0" w:noVBand="1"/>
      </w:tblPr>
      <w:tblGrid>
        <w:gridCol w:w="2020"/>
        <w:gridCol w:w="1084"/>
        <w:gridCol w:w="725"/>
        <w:gridCol w:w="1083"/>
        <w:gridCol w:w="761"/>
        <w:gridCol w:w="1057"/>
        <w:gridCol w:w="870"/>
        <w:gridCol w:w="1540"/>
      </w:tblGrid>
      <w:tr w:rsidR="008430BD" w:rsidRPr="001C3EC8" w14:paraId="5023ACC3"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863064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49F51DC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5B831E0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7819BC94"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03A793D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09" w:type="dxa"/>
            <w:gridSpan w:val="2"/>
            <w:tcBorders>
              <w:top w:val="nil"/>
              <w:left w:val="nil"/>
              <w:bottom w:val="double" w:sz="6" w:space="0" w:color="auto"/>
              <w:right w:val="nil"/>
            </w:tcBorders>
            <w:shd w:val="clear" w:color="auto" w:fill="auto"/>
            <w:noWrap/>
            <w:vAlign w:val="center"/>
            <w:hideMark/>
          </w:tcPr>
          <w:p w14:paraId="4EDFD1F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4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B8693F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27" w:type="dxa"/>
            <w:gridSpan w:val="2"/>
            <w:tcBorders>
              <w:top w:val="nil"/>
              <w:left w:val="nil"/>
              <w:bottom w:val="double" w:sz="6" w:space="0" w:color="auto"/>
              <w:right w:val="single" w:sz="4" w:space="0" w:color="000000"/>
            </w:tcBorders>
            <w:shd w:val="clear" w:color="auto" w:fill="auto"/>
            <w:noWrap/>
            <w:vAlign w:val="center"/>
            <w:hideMark/>
          </w:tcPr>
          <w:p w14:paraId="74E692F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4CA1D94A"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040D4603"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E646BA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84" w:type="dxa"/>
            <w:tcBorders>
              <w:top w:val="single" w:sz="4" w:space="0" w:color="auto"/>
              <w:left w:val="nil"/>
              <w:bottom w:val="single" w:sz="4" w:space="0" w:color="auto"/>
              <w:right w:val="nil"/>
            </w:tcBorders>
            <w:shd w:val="clear" w:color="auto" w:fill="auto"/>
            <w:noWrap/>
            <w:vAlign w:val="bottom"/>
            <w:hideMark/>
          </w:tcPr>
          <w:p w14:paraId="3D82E97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70 368</w:t>
            </w:r>
          </w:p>
        </w:tc>
        <w:tc>
          <w:tcPr>
            <w:tcW w:w="725" w:type="dxa"/>
            <w:tcBorders>
              <w:top w:val="single" w:sz="4" w:space="0" w:color="auto"/>
              <w:left w:val="nil"/>
              <w:bottom w:val="single" w:sz="4" w:space="0" w:color="auto"/>
              <w:right w:val="nil"/>
            </w:tcBorders>
            <w:shd w:val="clear" w:color="auto" w:fill="auto"/>
            <w:noWrap/>
            <w:vAlign w:val="center"/>
            <w:hideMark/>
          </w:tcPr>
          <w:p w14:paraId="62436779" w14:textId="1D49BA1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8</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single" w:sz="4" w:space="0" w:color="auto"/>
              <w:left w:val="single" w:sz="4" w:space="0" w:color="auto"/>
              <w:bottom w:val="single" w:sz="4" w:space="0" w:color="auto"/>
              <w:right w:val="nil"/>
            </w:tcBorders>
            <w:shd w:val="clear" w:color="auto" w:fill="auto"/>
            <w:noWrap/>
            <w:vAlign w:val="bottom"/>
            <w:hideMark/>
          </w:tcPr>
          <w:p w14:paraId="4EE586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68 894</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14:paraId="566DFAB0" w14:textId="71F03D89"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-13</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single" w:sz="4" w:space="0" w:color="auto"/>
              <w:left w:val="nil"/>
              <w:bottom w:val="single" w:sz="4" w:space="0" w:color="auto"/>
              <w:right w:val="nil"/>
            </w:tcBorders>
            <w:shd w:val="clear" w:color="auto" w:fill="auto"/>
            <w:noWrap/>
            <w:vAlign w:val="bottom"/>
            <w:hideMark/>
          </w:tcPr>
          <w:p w14:paraId="5437147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39 012</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601913F6" w14:textId="7AB8045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3D1FB270" w14:textId="4FAFA12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w:t>
            </w:r>
            <w:r w:rsidR="001B5E6A" w:rsidRPr="001C3EC8">
              <w:rPr>
                <w:rFonts w:eastAsia="Times New Roman"/>
                <w:color w:val="000000" w:themeColor="text1"/>
                <w:szCs w:val="24"/>
                <w:lang w:eastAsia="cs-CZ"/>
              </w:rPr>
              <w:t>9</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1C675D3C"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C4393F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84" w:type="dxa"/>
            <w:tcBorders>
              <w:top w:val="nil"/>
              <w:left w:val="nil"/>
              <w:bottom w:val="single" w:sz="4" w:space="0" w:color="auto"/>
              <w:right w:val="nil"/>
            </w:tcBorders>
            <w:shd w:val="clear" w:color="auto" w:fill="auto"/>
            <w:noWrap/>
            <w:vAlign w:val="bottom"/>
            <w:hideMark/>
          </w:tcPr>
          <w:p w14:paraId="1790516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35 768</w:t>
            </w:r>
          </w:p>
        </w:tc>
        <w:tc>
          <w:tcPr>
            <w:tcW w:w="725" w:type="dxa"/>
            <w:tcBorders>
              <w:top w:val="nil"/>
              <w:left w:val="nil"/>
              <w:bottom w:val="single" w:sz="4" w:space="0" w:color="auto"/>
              <w:right w:val="nil"/>
            </w:tcBorders>
            <w:shd w:val="clear" w:color="auto" w:fill="auto"/>
            <w:noWrap/>
            <w:vAlign w:val="center"/>
            <w:hideMark/>
          </w:tcPr>
          <w:p w14:paraId="168EF099" w14:textId="2C4EDA07"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single" w:sz="4" w:space="0" w:color="auto"/>
              <w:right w:val="nil"/>
            </w:tcBorders>
            <w:shd w:val="clear" w:color="auto" w:fill="auto"/>
            <w:noWrap/>
            <w:vAlign w:val="bottom"/>
            <w:hideMark/>
          </w:tcPr>
          <w:p w14:paraId="04B0E8D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34 638</w:t>
            </w:r>
          </w:p>
        </w:tc>
        <w:tc>
          <w:tcPr>
            <w:tcW w:w="761" w:type="dxa"/>
            <w:tcBorders>
              <w:top w:val="nil"/>
              <w:left w:val="nil"/>
              <w:bottom w:val="single" w:sz="4" w:space="0" w:color="auto"/>
              <w:right w:val="single" w:sz="4" w:space="0" w:color="auto"/>
            </w:tcBorders>
            <w:shd w:val="clear" w:color="auto" w:fill="auto"/>
            <w:noWrap/>
            <w:vAlign w:val="center"/>
            <w:hideMark/>
          </w:tcPr>
          <w:p w14:paraId="11E03521" w14:textId="0DF1D85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8</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nil"/>
              <w:left w:val="nil"/>
              <w:bottom w:val="single" w:sz="4" w:space="0" w:color="auto"/>
              <w:right w:val="nil"/>
            </w:tcBorders>
            <w:shd w:val="clear" w:color="auto" w:fill="auto"/>
            <w:noWrap/>
            <w:vAlign w:val="bottom"/>
            <w:hideMark/>
          </w:tcPr>
          <w:p w14:paraId="6162E3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10 184</w:t>
            </w:r>
          </w:p>
        </w:tc>
        <w:tc>
          <w:tcPr>
            <w:tcW w:w="870" w:type="dxa"/>
            <w:tcBorders>
              <w:top w:val="nil"/>
              <w:left w:val="nil"/>
              <w:bottom w:val="single" w:sz="4" w:space="0" w:color="auto"/>
              <w:right w:val="single" w:sz="4" w:space="0" w:color="auto"/>
            </w:tcBorders>
            <w:shd w:val="clear" w:color="auto" w:fill="auto"/>
            <w:noWrap/>
            <w:vAlign w:val="center"/>
            <w:hideMark/>
          </w:tcPr>
          <w:p w14:paraId="29D1592C" w14:textId="4F17AF9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5F56B4EA" w14:textId="2F83D12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w:t>
            </w:r>
            <w:r w:rsidR="001B5E6A" w:rsidRPr="001C3EC8">
              <w:rPr>
                <w:rFonts w:eastAsia="Times New Roman"/>
                <w:color w:val="000000" w:themeColor="text1"/>
                <w:szCs w:val="24"/>
                <w:lang w:eastAsia="cs-CZ"/>
              </w:rPr>
              <w:t>8</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25E5A852"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447093A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84" w:type="dxa"/>
            <w:tcBorders>
              <w:top w:val="nil"/>
              <w:left w:val="nil"/>
              <w:bottom w:val="single" w:sz="4" w:space="0" w:color="auto"/>
              <w:right w:val="nil"/>
            </w:tcBorders>
            <w:shd w:val="clear" w:color="auto" w:fill="auto"/>
            <w:noWrap/>
            <w:vAlign w:val="bottom"/>
            <w:hideMark/>
          </w:tcPr>
          <w:p w14:paraId="2DDE154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14 949</w:t>
            </w:r>
          </w:p>
        </w:tc>
        <w:tc>
          <w:tcPr>
            <w:tcW w:w="725" w:type="dxa"/>
            <w:tcBorders>
              <w:top w:val="nil"/>
              <w:left w:val="nil"/>
              <w:bottom w:val="single" w:sz="4" w:space="0" w:color="auto"/>
              <w:right w:val="nil"/>
            </w:tcBorders>
            <w:shd w:val="clear" w:color="auto" w:fill="auto"/>
            <w:noWrap/>
            <w:vAlign w:val="center"/>
            <w:hideMark/>
          </w:tcPr>
          <w:p w14:paraId="3BE274C5" w14:textId="6227B78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7</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single" w:sz="4" w:space="0" w:color="auto"/>
              <w:right w:val="nil"/>
            </w:tcBorders>
            <w:shd w:val="clear" w:color="auto" w:fill="auto"/>
            <w:noWrap/>
            <w:vAlign w:val="bottom"/>
            <w:hideMark/>
          </w:tcPr>
          <w:p w14:paraId="79A683B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14 384</w:t>
            </w:r>
          </w:p>
        </w:tc>
        <w:tc>
          <w:tcPr>
            <w:tcW w:w="761" w:type="dxa"/>
            <w:tcBorders>
              <w:top w:val="nil"/>
              <w:left w:val="nil"/>
              <w:bottom w:val="single" w:sz="4" w:space="0" w:color="auto"/>
              <w:right w:val="single" w:sz="4" w:space="0" w:color="auto"/>
            </w:tcBorders>
            <w:shd w:val="clear" w:color="auto" w:fill="auto"/>
            <w:noWrap/>
            <w:vAlign w:val="center"/>
            <w:hideMark/>
          </w:tcPr>
          <w:p w14:paraId="04177DF1" w14:textId="72E278F3"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-11</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nil"/>
              <w:left w:val="nil"/>
              <w:bottom w:val="single" w:sz="4" w:space="0" w:color="auto"/>
              <w:right w:val="nil"/>
            </w:tcBorders>
            <w:shd w:val="clear" w:color="auto" w:fill="auto"/>
            <w:noWrap/>
            <w:vAlign w:val="bottom"/>
            <w:hideMark/>
          </w:tcPr>
          <w:p w14:paraId="1447293F" w14:textId="190A58BF" w:rsidR="008430BD" w:rsidRPr="001C3EC8" w:rsidRDefault="001B5E6A"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r>
              <w:rPr>
                <w:rFonts w:eastAsia="Times New Roman"/>
                <w:color w:val="000000" w:themeColor="text1"/>
                <w:szCs w:val="24"/>
                <w:lang w:eastAsia="cs-CZ"/>
              </w:rPr>
              <w:t> </w:t>
            </w:r>
            <w:r w:rsidR="008430BD" w:rsidRPr="001C3EC8">
              <w:rPr>
                <w:rFonts w:eastAsia="Times New Roman"/>
                <w:color w:val="000000" w:themeColor="text1"/>
                <w:szCs w:val="24"/>
                <w:lang w:eastAsia="cs-CZ"/>
              </w:rPr>
              <w:t>677</w:t>
            </w:r>
          </w:p>
        </w:tc>
        <w:tc>
          <w:tcPr>
            <w:tcW w:w="870" w:type="dxa"/>
            <w:tcBorders>
              <w:top w:val="nil"/>
              <w:left w:val="nil"/>
              <w:bottom w:val="single" w:sz="4" w:space="0" w:color="auto"/>
              <w:right w:val="single" w:sz="4" w:space="0" w:color="auto"/>
            </w:tcBorders>
            <w:shd w:val="clear" w:color="auto" w:fill="auto"/>
            <w:noWrap/>
            <w:vAlign w:val="center"/>
            <w:hideMark/>
          </w:tcPr>
          <w:p w14:paraId="09060D30" w14:textId="54326B3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8349FDC" w14:textId="3E66D77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w:t>
            </w:r>
            <w:r w:rsidR="001B5E6A" w:rsidRPr="001C3EC8">
              <w:rPr>
                <w:rFonts w:eastAsia="Times New Roman"/>
                <w:color w:val="000000" w:themeColor="text1"/>
                <w:szCs w:val="24"/>
                <w:lang w:eastAsia="cs-CZ"/>
              </w:rPr>
              <w:t>2</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69BA088F"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6770CC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84" w:type="dxa"/>
            <w:tcBorders>
              <w:top w:val="nil"/>
              <w:left w:val="nil"/>
              <w:bottom w:val="single" w:sz="4" w:space="0" w:color="auto"/>
              <w:right w:val="nil"/>
            </w:tcBorders>
            <w:shd w:val="clear" w:color="auto" w:fill="auto"/>
            <w:noWrap/>
            <w:vAlign w:val="bottom"/>
            <w:hideMark/>
          </w:tcPr>
          <w:p w14:paraId="503146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28 489</w:t>
            </w:r>
          </w:p>
        </w:tc>
        <w:tc>
          <w:tcPr>
            <w:tcW w:w="725" w:type="dxa"/>
            <w:tcBorders>
              <w:top w:val="nil"/>
              <w:left w:val="nil"/>
              <w:bottom w:val="single" w:sz="4" w:space="0" w:color="auto"/>
              <w:right w:val="nil"/>
            </w:tcBorders>
            <w:shd w:val="clear" w:color="auto" w:fill="auto"/>
            <w:noWrap/>
            <w:vAlign w:val="center"/>
            <w:hideMark/>
          </w:tcPr>
          <w:p w14:paraId="0D68407C" w14:textId="1FD02B13"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single" w:sz="4" w:space="0" w:color="auto"/>
              <w:right w:val="nil"/>
            </w:tcBorders>
            <w:shd w:val="clear" w:color="auto" w:fill="auto"/>
            <w:noWrap/>
            <w:vAlign w:val="bottom"/>
            <w:hideMark/>
          </w:tcPr>
          <w:p w14:paraId="737E89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26 773</w:t>
            </w:r>
          </w:p>
        </w:tc>
        <w:tc>
          <w:tcPr>
            <w:tcW w:w="761" w:type="dxa"/>
            <w:tcBorders>
              <w:top w:val="nil"/>
              <w:left w:val="nil"/>
              <w:bottom w:val="single" w:sz="4" w:space="0" w:color="auto"/>
              <w:right w:val="single" w:sz="4" w:space="0" w:color="auto"/>
            </w:tcBorders>
            <w:shd w:val="clear" w:color="auto" w:fill="auto"/>
            <w:noWrap/>
            <w:vAlign w:val="center"/>
            <w:hideMark/>
          </w:tcPr>
          <w:p w14:paraId="587EEBE5" w14:textId="398DC92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9</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nil"/>
              <w:left w:val="nil"/>
              <w:bottom w:val="single" w:sz="4" w:space="0" w:color="auto"/>
              <w:right w:val="nil"/>
            </w:tcBorders>
            <w:shd w:val="clear" w:color="auto" w:fill="auto"/>
            <w:noWrap/>
            <w:vAlign w:val="bottom"/>
            <w:hideMark/>
          </w:tcPr>
          <w:p w14:paraId="182C8816" w14:textId="07AEE472" w:rsidR="008430BD" w:rsidRPr="001C3EC8" w:rsidRDefault="001B5E6A"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r>
              <w:rPr>
                <w:rFonts w:eastAsia="Times New Roman"/>
                <w:color w:val="000000" w:themeColor="text1"/>
                <w:szCs w:val="24"/>
                <w:lang w:eastAsia="cs-CZ"/>
              </w:rPr>
              <w:t> </w:t>
            </w:r>
            <w:r w:rsidR="008430BD" w:rsidRPr="001C3EC8">
              <w:rPr>
                <w:rFonts w:eastAsia="Times New Roman"/>
                <w:color w:val="000000" w:themeColor="text1"/>
                <w:szCs w:val="24"/>
                <w:lang w:eastAsia="cs-CZ"/>
              </w:rPr>
              <w:t>194</w:t>
            </w:r>
          </w:p>
        </w:tc>
        <w:tc>
          <w:tcPr>
            <w:tcW w:w="870" w:type="dxa"/>
            <w:tcBorders>
              <w:top w:val="nil"/>
              <w:left w:val="nil"/>
              <w:bottom w:val="single" w:sz="4" w:space="0" w:color="auto"/>
              <w:right w:val="single" w:sz="4" w:space="0" w:color="auto"/>
            </w:tcBorders>
            <w:shd w:val="clear" w:color="auto" w:fill="auto"/>
            <w:noWrap/>
            <w:vAlign w:val="center"/>
            <w:hideMark/>
          </w:tcPr>
          <w:p w14:paraId="7F6D69F0" w14:textId="2405E9A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+23</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23861400" w14:textId="17CEC35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w:t>
            </w:r>
            <w:r w:rsidR="001B5E6A" w:rsidRPr="001C3EC8">
              <w:rPr>
                <w:rFonts w:eastAsia="Times New Roman"/>
                <w:color w:val="000000" w:themeColor="text1"/>
                <w:szCs w:val="24"/>
                <w:lang w:eastAsia="cs-CZ"/>
              </w:rPr>
              <w:t>0</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7EA32D0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0E7378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84" w:type="dxa"/>
            <w:tcBorders>
              <w:top w:val="nil"/>
              <w:left w:val="nil"/>
              <w:bottom w:val="single" w:sz="4" w:space="0" w:color="auto"/>
              <w:right w:val="nil"/>
            </w:tcBorders>
            <w:shd w:val="clear" w:color="auto" w:fill="auto"/>
            <w:noWrap/>
            <w:vAlign w:val="bottom"/>
            <w:hideMark/>
          </w:tcPr>
          <w:p w14:paraId="61493CB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44 681</w:t>
            </w:r>
          </w:p>
        </w:tc>
        <w:tc>
          <w:tcPr>
            <w:tcW w:w="725" w:type="dxa"/>
            <w:tcBorders>
              <w:top w:val="nil"/>
              <w:left w:val="nil"/>
              <w:bottom w:val="single" w:sz="4" w:space="0" w:color="auto"/>
              <w:right w:val="nil"/>
            </w:tcBorders>
            <w:shd w:val="clear" w:color="auto" w:fill="auto"/>
            <w:noWrap/>
            <w:vAlign w:val="center"/>
            <w:hideMark/>
          </w:tcPr>
          <w:p w14:paraId="51ABCF37" w14:textId="08A2C94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single" w:sz="4" w:space="0" w:color="auto"/>
              <w:right w:val="nil"/>
            </w:tcBorders>
            <w:shd w:val="clear" w:color="auto" w:fill="auto"/>
            <w:noWrap/>
            <w:vAlign w:val="bottom"/>
            <w:hideMark/>
          </w:tcPr>
          <w:p w14:paraId="47393F6E" w14:textId="2E4B778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r w:rsidR="0055295C">
              <w:rPr>
                <w:rFonts w:eastAsia="Times New Roman"/>
                <w:color w:val="000000" w:themeColor="text1"/>
                <w:szCs w:val="24"/>
                <w:lang w:eastAsia="cs-CZ"/>
              </w:rPr>
              <w:t xml:space="preserve"> </w:t>
            </w:r>
            <w:r w:rsidRPr="001C3EC8">
              <w:rPr>
                <w:rFonts w:eastAsia="Times New Roman"/>
                <w:color w:val="000000" w:themeColor="text1"/>
                <w:szCs w:val="24"/>
                <w:lang w:eastAsia="cs-CZ"/>
              </w:rPr>
              <w:t>658</w:t>
            </w:r>
          </w:p>
        </w:tc>
        <w:tc>
          <w:tcPr>
            <w:tcW w:w="761" w:type="dxa"/>
            <w:tcBorders>
              <w:top w:val="nil"/>
              <w:left w:val="nil"/>
              <w:bottom w:val="single" w:sz="4" w:space="0" w:color="auto"/>
              <w:right w:val="single" w:sz="4" w:space="0" w:color="auto"/>
            </w:tcBorders>
            <w:shd w:val="clear" w:color="auto" w:fill="auto"/>
            <w:noWrap/>
            <w:vAlign w:val="center"/>
            <w:hideMark/>
          </w:tcPr>
          <w:p w14:paraId="7A433F9D" w14:textId="1815D94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9</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nil"/>
              <w:left w:val="nil"/>
              <w:bottom w:val="single" w:sz="4" w:space="0" w:color="auto"/>
              <w:right w:val="nil"/>
            </w:tcBorders>
            <w:shd w:val="clear" w:color="auto" w:fill="auto"/>
            <w:noWrap/>
            <w:vAlign w:val="bottom"/>
            <w:hideMark/>
          </w:tcPr>
          <w:p w14:paraId="00EC766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21 299</w:t>
            </w:r>
          </w:p>
        </w:tc>
        <w:tc>
          <w:tcPr>
            <w:tcW w:w="870" w:type="dxa"/>
            <w:tcBorders>
              <w:top w:val="nil"/>
              <w:left w:val="nil"/>
              <w:bottom w:val="single" w:sz="4" w:space="0" w:color="auto"/>
              <w:right w:val="single" w:sz="4" w:space="0" w:color="auto"/>
            </w:tcBorders>
            <w:shd w:val="clear" w:color="auto" w:fill="auto"/>
            <w:noWrap/>
            <w:vAlign w:val="center"/>
            <w:hideMark/>
          </w:tcPr>
          <w:p w14:paraId="0A8622F6" w14:textId="32CD040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56F7E1ED" w14:textId="7B60120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w:t>
            </w:r>
            <w:r w:rsidR="001B5E6A" w:rsidRPr="001C3EC8">
              <w:rPr>
                <w:rFonts w:eastAsia="Times New Roman"/>
                <w:color w:val="000000" w:themeColor="text1"/>
                <w:szCs w:val="24"/>
                <w:lang w:eastAsia="cs-CZ"/>
              </w:rPr>
              <w:t>9</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5D4DFCFE"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55036BA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84" w:type="dxa"/>
            <w:tcBorders>
              <w:top w:val="nil"/>
              <w:left w:val="nil"/>
              <w:bottom w:val="single" w:sz="4" w:space="0" w:color="auto"/>
              <w:right w:val="nil"/>
            </w:tcBorders>
            <w:shd w:val="clear" w:color="auto" w:fill="auto"/>
            <w:noWrap/>
            <w:vAlign w:val="bottom"/>
            <w:hideMark/>
          </w:tcPr>
          <w:p w14:paraId="7F4637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25 407</w:t>
            </w:r>
          </w:p>
        </w:tc>
        <w:tc>
          <w:tcPr>
            <w:tcW w:w="725" w:type="dxa"/>
            <w:tcBorders>
              <w:top w:val="nil"/>
              <w:left w:val="nil"/>
              <w:bottom w:val="single" w:sz="4" w:space="0" w:color="auto"/>
              <w:right w:val="nil"/>
            </w:tcBorders>
            <w:shd w:val="clear" w:color="auto" w:fill="auto"/>
            <w:noWrap/>
            <w:vAlign w:val="center"/>
            <w:hideMark/>
          </w:tcPr>
          <w:p w14:paraId="43DEDFF1" w14:textId="16382B2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single" w:sz="4" w:space="0" w:color="auto"/>
              <w:right w:val="nil"/>
            </w:tcBorders>
            <w:shd w:val="clear" w:color="auto" w:fill="auto"/>
            <w:noWrap/>
            <w:vAlign w:val="bottom"/>
            <w:hideMark/>
          </w:tcPr>
          <w:p w14:paraId="584204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25 063</w:t>
            </w:r>
          </w:p>
        </w:tc>
        <w:tc>
          <w:tcPr>
            <w:tcW w:w="761" w:type="dxa"/>
            <w:tcBorders>
              <w:top w:val="nil"/>
              <w:left w:val="nil"/>
              <w:bottom w:val="single" w:sz="4" w:space="0" w:color="auto"/>
              <w:right w:val="single" w:sz="4" w:space="0" w:color="auto"/>
            </w:tcBorders>
            <w:shd w:val="clear" w:color="auto" w:fill="auto"/>
            <w:noWrap/>
            <w:vAlign w:val="center"/>
            <w:hideMark/>
          </w:tcPr>
          <w:p w14:paraId="77AB0EED" w14:textId="3E7052E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6</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nil"/>
              <w:left w:val="nil"/>
              <w:bottom w:val="single" w:sz="4" w:space="0" w:color="auto"/>
              <w:right w:val="nil"/>
            </w:tcBorders>
            <w:shd w:val="clear" w:color="auto" w:fill="auto"/>
            <w:noWrap/>
            <w:vAlign w:val="bottom"/>
            <w:hideMark/>
          </w:tcPr>
          <w:p w14:paraId="786892F4" w14:textId="789812BC" w:rsidR="008430BD" w:rsidRPr="001C3EC8" w:rsidRDefault="001B5E6A"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r>
              <w:rPr>
                <w:rFonts w:eastAsia="Times New Roman"/>
                <w:color w:val="000000" w:themeColor="text1"/>
                <w:szCs w:val="24"/>
                <w:lang w:eastAsia="cs-CZ"/>
              </w:rPr>
              <w:t> </w:t>
            </w:r>
            <w:r w:rsidR="008430BD" w:rsidRPr="001C3EC8">
              <w:rPr>
                <w:rFonts w:eastAsia="Times New Roman"/>
                <w:color w:val="000000" w:themeColor="text1"/>
                <w:szCs w:val="24"/>
                <w:lang w:eastAsia="cs-CZ"/>
              </w:rPr>
              <w:t>558</w:t>
            </w:r>
          </w:p>
        </w:tc>
        <w:tc>
          <w:tcPr>
            <w:tcW w:w="870" w:type="dxa"/>
            <w:tcBorders>
              <w:top w:val="nil"/>
              <w:left w:val="nil"/>
              <w:bottom w:val="single" w:sz="4" w:space="0" w:color="auto"/>
              <w:right w:val="single" w:sz="4" w:space="0" w:color="auto"/>
            </w:tcBorders>
            <w:shd w:val="clear" w:color="auto" w:fill="auto"/>
            <w:noWrap/>
            <w:vAlign w:val="center"/>
            <w:hideMark/>
          </w:tcPr>
          <w:p w14:paraId="5EDA9A64" w14:textId="1E80A0D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0361E2FF" w14:textId="460DB61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98,6</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7915ADAB"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13EF8A7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84" w:type="dxa"/>
            <w:tcBorders>
              <w:top w:val="nil"/>
              <w:left w:val="nil"/>
              <w:bottom w:val="single" w:sz="4" w:space="0" w:color="auto"/>
              <w:right w:val="nil"/>
            </w:tcBorders>
            <w:shd w:val="clear" w:color="auto" w:fill="auto"/>
            <w:noWrap/>
            <w:vAlign w:val="bottom"/>
            <w:hideMark/>
          </w:tcPr>
          <w:p w14:paraId="67A0E50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40 441</w:t>
            </w:r>
          </w:p>
        </w:tc>
        <w:tc>
          <w:tcPr>
            <w:tcW w:w="725" w:type="dxa"/>
            <w:tcBorders>
              <w:top w:val="nil"/>
              <w:left w:val="nil"/>
              <w:bottom w:val="single" w:sz="4" w:space="0" w:color="auto"/>
              <w:right w:val="nil"/>
            </w:tcBorders>
            <w:shd w:val="clear" w:color="auto" w:fill="auto"/>
            <w:noWrap/>
            <w:vAlign w:val="center"/>
            <w:hideMark/>
          </w:tcPr>
          <w:p w14:paraId="227F34E8" w14:textId="506A04A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7</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single" w:sz="4" w:space="0" w:color="auto"/>
              <w:right w:val="nil"/>
            </w:tcBorders>
            <w:shd w:val="clear" w:color="auto" w:fill="auto"/>
            <w:noWrap/>
            <w:vAlign w:val="bottom"/>
            <w:hideMark/>
          </w:tcPr>
          <w:p w14:paraId="051D695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39 964</w:t>
            </w:r>
          </w:p>
        </w:tc>
        <w:tc>
          <w:tcPr>
            <w:tcW w:w="761" w:type="dxa"/>
            <w:tcBorders>
              <w:top w:val="nil"/>
              <w:left w:val="nil"/>
              <w:bottom w:val="single" w:sz="4" w:space="0" w:color="auto"/>
              <w:right w:val="single" w:sz="4" w:space="0" w:color="auto"/>
            </w:tcBorders>
            <w:shd w:val="clear" w:color="auto" w:fill="auto"/>
            <w:noWrap/>
            <w:vAlign w:val="center"/>
            <w:hideMark/>
          </w:tcPr>
          <w:p w14:paraId="545E3BBD" w14:textId="1A99E50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-14</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57" w:type="dxa"/>
            <w:tcBorders>
              <w:top w:val="nil"/>
              <w:left w:val="nil"/>
              <w:bottom w:val="single" w:sz="4" w:space="0" w:color="auto"/>
              <w:right w:val="nil"/>
            </w:tcBorders>
            <w:shd w:val="clear" w:color="auto" w:fill="auto"/>
            <w:noWrap/>
            <w:vAlign w:val="bottom"/>
            <w:hideMark/>
          </w:tcPr>
          <w:p w14:paraId="3E26B0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20 599</w:t>
            </w:r>
          </w:p>
        </w:tc>
        <w:tc>
          <w:tcPr>
            <w:tcW w:w="870" w:type="dxa"/>
            <w:tcBorders>
              <w:top w:val="nil"/>
              <w:left w:val="nil"/>
              <w:bottom w:val="single" w:sz="4" w:space="0" w:color="auto"/>
              <w:right w:val="single" w:sz="4" w:space="0" w:color="auto"/>
            </w:tcBorders>
            <w:shd w:val="clear" w:color="auto" w:fill="auto"/>
            <w:noWrap/>
            <w:vAlign w:val="center"/>
            <w:hideMark/>
          </w:tcPr>
          <w:p w14:paraId="6D4A4B16" w14:textId="7FB6CAF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+2</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562F8BDE" w14:textId="6ABCA3F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98,8</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31E1533F"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4FB47A2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84" w:type="dxa"/>
            <w:tcBorders>
              <w:top w:val="nil"/>
              <w:left w:val="nil"/>
              <w:bottom w:val="double" w:sz="6" w:space="0" w:color="auto"/>
              <w:right w:val="nil"/>
            </w:tcBorders>
            <w:shd w:val="clear" w:color="auto" w:fill="auto"/>
            <w:noWrap/>
            <w:vAlign w:val="bottom"/>
            <w:hideMark/>
          </w:tcPr>
          <w:p w14:paraId="59BED58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46 422</w:t>
            </w:r>
          </w:p>
        </w:tc>
        <w:tc>
          <w:tcPr>
            <w:tcW w:w="725" w:type="dxa"/>
            <w:tcBorders>
              <w:top w:val="nil"/>
              <w:left w:val="nil"/>
              <w:bottom w:val="double" w:sz="6" w:space="0" w:color="auto"/>
              <w:right w:val="nil"/>
            </w:tcBorders>
            <w:shd w:val="clear" w:color="auto" w:fill="auto"/>
            <w:noWrap/>
            <w:vAlign w:val="center"/>
            <w:hideMark/>
          </w:tcPr>
          <w:p w14:paraId="09136296" w14:textId="4F135C5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83" w:type="dxa"/>
            <w:tcBorders>
              <w:top w:val="nil"/>
              <w:left w:val="single" w:sz="4" w:space="0" w:color="auto"/>
              <w:bottom w:val="double" w:sz="6" w:space="0" w:color="auto"/>
              <w:right w:val="nil"/>
            </w:tcBorders>
            <w:shd w:val="clear" w:color="auto" w:fill="auto"/>
            <w:noWrap/>
            <w:vAlign w:val="bottom"/>
            <w:hideMark/>
          </w:tcPr>
          <w:p w14:paraId="47B9B83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44 565</w:t>
            </w:r>
          </w:p>
        </w:tc>
        <w:tc>
          <w:tcPr>
            <w:tcW w:w="761" w:type="dxa"/>
            <w:tcBorders>
              <w:top w:val="nil"/>
              <w:left w:val="nil"/>
              <w:bottom w:val="double" w:sz="6" w:space="0" w:color="auto"/>
              <w:right w:val="single" w:sz="4" w:space="0" w:color="auto"/>
            </w:tcBorders>
            <w:shd w:val="clear" w:color="auto" w:fill="auto"/>
            <w:noWrap/>
            <w:vAlign w:val="center"/>
            <w:hideMark/>
          </w:tcPr>
          <w:p w14:paraId="3ADDA1ED" w14:textId="371E1BC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-11</w:t>
            </w:r>
            <w:r w:rsidR="001B5E6A">
              <w:rPr>
                <w:rFonts w:eastAsia="Times New Roman"/>
                <w:color w:val="000000" w:themeColor="text1"/>
                <w:sz w:val="20"/>
                <w:szCs w:val="20"/>
                <w:lang w:eastAsia="cs-CZ"/>
              </w:rPr>
              <w:t xml:space="preserve"> </w:t>
            </w:r>
            <w:r w:rsidR="00B07E76">
              <w:rPr>
                <w:rFonts w:eastAsia="Times New Roman"/>
                <w:color w:val="000000" w:themeColor="text1"/>
                <w:sz w:val="20"/>
                <w:szCs w:val="20"/>
                <w:lang w:eastAsia="cs-CZ"/>
              </w:rPr>
              <w:t>%</w:t>
            </w:r>
          </w:p>
        </w:tc>
        <w:tc>
          <w:tcPr>
            <w:tcW w:w="1057" w:type="dxa"/>
            <w:tcBorders>
              <w:top w:val="nil"/>
              <w:left w:val="nil"/>
              <w:bottom w:val="double" w:sz="6" w:space="0" w:color="auto"/>
              <w:right w:val="nil"/>
            </w:tcBorders>
            <w:shd w:val="clear" w:color="auto" w:fill="auto"/>
            <w:noWrap/>
            <w:vAlign w:val="bottom"/>
            <w:hideMark/>
          </w:tcPr>
          <w:p w14:paraId="6399C98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17 819</w:t>
            </w:r>
          </w:p>
        </w:tc>
        <w:tc>
          <w:tcPr>
            <w:tcW w:w="870" w:type="dxa"/>
            <w:tcBorders>
              <w:top w:val="nil"/>
              <w:left w:val="nil"/>
              <w:bottom w:val="double" w:sz="6" w:space="0" w:color="auto"/>
              <w:right w:val="single" w:sz="4" w:space="0" w:color="auto"/>
            </w:tcBorders>
            <w:shd w:val="clear" w:color="auto" w:fill="auto"/>
            <w:noWrap/>
            <w:vAlign w:val="center"/>
            <w:hideMark/>
          </w:tcPr>
          <w:p w14:paraId="1DD618DE" w14:textId="5E50D01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+12</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3984ACAE" w14:textId="0688C09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96,0</w:t>
            </w:r>
            <w:r w:rsidR="001B5E6A">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2B90BD76"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2C436F0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84" w:type="dxa"/>
            <w:tcBorders>
              <w:top w:val="nil"/>
              <w:left w:val="nil"/>
              <w:bottom w:val="double" w:sz="6" w:space="0" w:color="auto"/>
              <w:right w:val="nil"/>
            </w:tcBorders>
            <w:shd w:val="clear" w:color="auto" w:fill="auto"/>
            <w:noWrap/>
            <w:vAlign w:val="bottom"/>
            <w:hideMark/>
          </w:tcPr>
          <w:p w14:paraId="320742E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306 525</w:t>
            </w:r>
          </w:p>
        </w:tc>
        <w:tc>
          <w:tcPr>
            <w:tcW w:w="725" w:type="dxa"/>
            <w:tcBorders>
              <w:top w:val="nil"/>
              <w:left w:val="nil"/>
              <w:bottom w:val="double" w:sz="6" w:space="0" w:color="auto"/>
              <w:right w:val="nil"/>
            </w:tcBorders>
            <w:shd w:val="clear" w:color="auto" w:fill="auto"/>
            <w:noWrap/>
            <w:vAlign w:val="center"/>
            <w:hideMark/>
          </w:tcPr>
          <w:p w14:paraId="5B9E45D9" w14:textId="07750D70"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1B5E6A" w:rsidRPr="001C3EC8">
              <w:rPr>
                <w:rFonts w:eastAsia="Times New Roman"/>
                <w:b/>
                <w:bCs/>
                <w:color w:val="000000" w:themeColor="text1"/>
                <w:sz w:val="20"/>
                <w:szCs w:val="20"/>
                <w:lang w:eastAsia="cs-CZ"/>
              </w:rPr>
              <w:t>5</w:t>
            </w:r>
            <w:r w:rsidR="001B5E6A">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1083" w:type="dxa"/>
            <w:tcBorders>
              <w:top w:val="nil"/>
              <w:left w:val="single" w:sz="4" w:space="0" w:color="auto"/>
              <w:bottom w:val="double" w:sz="6" w:space="0" w:color="auto"/>
              <w:right w:val="nil"/>
            </w:tcBorders>
            <w:shd w:val="clear" w:color="auto" w:fill="auto"/>
            <w:noWrap/>
            <w:vAlign w:val="bottom"/>
            <w:hideMark/>
          </w:tcPr>
          <w:p w14:paraId="61EA7CE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298 939</w:t>
            </w:r>
          </w:p>
        </w:tc>
        <w:tc>
          <w:tcPr>
            <w:tcW w:w="761" w:type="dxa"/>
            <w:tcBorders>
              <w:top w:val="nil"/>
              <w:left w:val="nil"/>
              <w:bottom w:val="double" w:sz="6" w:space="0" w:color="auto"/>
              <w:right w:val="single" w:sz="4" w:space="0" w:color="auto"/>
            </w:tcBorders>
            <w:shd w:val="clear" w:color="auto" w:fill="auto"/>
            <w:noWrap/>
            <w:vAlign w:val="center"/>
            <w:hideMark/>
          </w:tcPr>
          <w:p w14:paraId="7BC7B443" w14:textId="1231A507"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-11</w:t>
            </w:r>
            <w:r w:rsidR="001B5E6A">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1057" w:type="dxa"/>
            <w:tcBorders>
              <w:top w:val="nil"/>
              <w:left w:val="nil"/>
              <w:bottom w:val="double" w:sz="6" w:space="0" w:color="auto"/>
              <w:right w:val="nil"/>
            </w:tcBorders>
            <w:shd w:val="clear" w:color="auto" w:fill="auto"/>
            <w:noWrap/>
            <w:vAlign w:val="bottom"/>
            <w:hideMark/>
          </w:tcPr>
          <w:p w14:paraId="375B6D9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130 342</w:t>
            </w:r>
          </w:p>
        </w:tc>
        <w:tc>
          <w:tcPr>
            <w:tcW w:w="870" w:type="dxa"/>
            <w:tcBorders>
              <w:top w:val="nil"/>
              <w:left w:val="nil"/>
              <w:bottom w:val="double" w:sz="6" w:space="0" w:color="auto"/>
              <w:right w:val="single" w:sz="4" w:space="0" w:color="auto"/>
            </w:tcBorders>
            <w:shd w:val="clear" w:color="auto" w:fill="auto"/>
            <w:noWrap/>
            <w:vAlign w:val="center"/>
            <w:hideMark/>
          </w:tcPr>
          <w:p w14:paraId="49873E00" w14:textId="52E29306"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+6</w:t>
            </w:r>
            <w:r w:rsidR="001B5E6A">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6462562C" w14:textId="4BE0B2D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97,5</w:t>
            </w:r>
            <w:r w:rsidR="001B5E6A">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bl>
    <w:p w14:paraId="6AC12BC9" w14:textId="77777777" w:rsidR="008430BD" w:rsidRPr="001C3EC8" w:rsidRDefault="008430BD" w:rsidP="008430BD">
      <w:pPr>
        <w:rPr>
          <w:color w:val="000000" w:themeColor="text1"/>
          <w:highlight w:val="yellow"/>
        </w:rPr>
      </w:pPr>
    </w:p>
    <w:p w14:paraId="0FB9A8A5" w14:textId="77777777" w:rsidR="008430BD" w:rsidRPr="001C3EC8" w:rsidRDefault="008430BD" w:rsidP="008430BD">
      <w:pPr>
        <w:rPr>
          <w:color w:val="000000" w:themeColor="text1"/>
        </w:rPr>
      </w:pPr>
      <w:r w:rsidRPr="001C3EC8">
        <w:rPr>
          <w:color w:val="000000" w:themeColor="text1"/>
        </w:rPr>
        <w:t xml:space="preserve">Tabulka </w:t>
      </w:r>
      <w:r w:rsidRPr="001C3EC8">
        <w:rPr>
          <w:noProof/>
          <w:color w:val="000000" w:themeColor="text1"/>
        </w:rPr>
        <w:t>10</w:t>
      </w:r>
      <w:r w:rsidRPr="001C3EC8">
        <w:rPr>
          <w:color w:val="000000" w:themeColor="text1"/>
        </w:rPr>
        <w:t xml:space="preserve"> tedy zachycuje vyřizování věcí dle krajů v roce 2020. Počet napadlých, vyřízených a částečně i nevyřízených věci se odvíjí od velikosti soudu. Nelze tedy nijak porovnávat zatížení a výkonnost soudů bez toho, že budou data normalizována, tedy dokud nebude zohledněna </w:t>
      </w:r>
      <w:r w:rsidRPr="001C3EC8">
        <w:rPr>
          <w:color w:val="000000" w:themeColor="text1"/>
        </w:rPr>
        <w:lastRenderedPageBreak/>
        <w:t>velikost soudů. K tomu slouží dvě následující části této kapitoly. Z tohoto důvodu dále nezkoumáme jednotlivé okresní soudy pomocí kartogramu a krabicového grafu.</w:t>
      </w:r>
    </w:p>
    <w:p w14:paraId="608787A0" w14:textId="7EC62C80" w:rsidR="008430BD" w:rsidRPr="001C3EC8" w:rsidRDefault="008430BD" w:rsidP="008430BD">
      <w:pPr>
        <w:rPr>
          <w:color w:val="000000" w:themeColor="text1"/>
        </w:rPr>
      </w:pPr>
      <w:r w:rsidRPr="001C3EC8">
        <w:rPr>
          <w:color w:val="000000" w:themeColor="text1"/>
        </w:rPr>
        <w:t xml:space="preserve">Nakonec se v této kapitole podíváme na to, jak věci na soudě napadaly v roce 2020 po měsících. Graf níže porovnává nápad v roce 2020 </w:t>
      </w:r>
      <w:r w:rsidR="001B5E6A" w:rsidRPr="001C3EC8">
        <w:rPr>
          <w:color w:val="000000" w:themeColor="text1"/>
        </w:rPr>
        <w:t>s</w:t>
      </w:r>
      <w:r w:rsidR="001B5E6A">
        <w:rPr>
          <w:color w:val="000000" w:themeColor="text1"/>
        </w:rPr>
        <w:t> </w:t>
      </w:r>
      <w:r w:rsidRPr="001C3EC8">
        <w:rPr>
          <w:color w:val="000000" w:themeColor="text1"/>
        </w:rPr>
        <w:t>průměrným nápadem za tři předcházející roky (2017 až 2019). Účelem je ukázat, zda se</w:t>
      </w:r>
      <w:r w:rsidR="00DC2377" w:rsidRPr="001C3EC8">
        <w:rPr>
          <w:color w:val="000000" w:themeColor="text1"/>
        </w:rPr>
        <w:t xml:space="preserve"> pandemie</w:t>
      </w:r>
      <w:r w:rsidRPr="001C3EC8">
        <w:rPr>
          <w:color w:val="000000" w:themeColor="text1"/>
        </w:rPr>
        <w:t xml:space="preserve"> </w:t>
      </w:r>
      <w:r w:rsidR="000C3B1E">
        <w:rPr>
          <w:color w:val="000000" w:themeColor="text1"/>
        </w:rPr>
        <w:t>COVID</w:t>
      </w:r>
      <w:r w:rsidR="000C3B1E">
        <w:rPr>
          <w:color w:val="000000" w:themeColor="text1"/>
        </w:rPr>
        <w:noBreakHyphen/>
        <w:t>19</w:t>
      </w:r>
      <w:r w:rsidRPr="001C3EC8">
        <w:rPr>
          <w:color w:val="000000" w:themeColor="text1"/>
        </w:rPr>
        <w:t xml:space="preserve">, vládní restrikce </w:t>
      </w:r>
      <w:r w:rsidR="001B5E6A" w:rsidRPr="001C3EC8">
        <w:rPr>
          <w:color w:val="000000" w:themeColor="text1"/>
        </w:rPr>
        <w:t>a</w:t>
      </w:r>
      <w:r w:rsidR="001B5E6A">
        <w:rPr>
          <w:color w:val="000000" w:themeColor="text1"/>
        </w:rPr>
        <w:t> </w:t>
      </w:r>
      <w:r w:rsidRPr="001C3EC8">
        <w:rPr>
          <w:color w:val="000000" w:themeColor="text1"/>
        </w:rPr>
        <w:t>nouzový stav odrazily na nápadu v roce 2020</w:t>
      </w:r>
      <w:r w:rsidR="005A1F05" w:rsidRPr="001C3EC8">
        <w:rPr>
          <w:color w:val="000000" w:themeColor="text1"/>
        </w:rPr>
        <w:t>,</w:t>
      </w:r>
      <w:r w:rsidRPr="001C3EC8">
        <w:rPr>
          <w:color w:val="000000" w:themeColor="text1"/>
        </w:rPr>
        <w:t xml:space="preserve"> </w:t>
      </w:r>
      <w:r w:rsidR="005A1F05" w:rsidRPr="001C3EC8">
        <w:rPr>
          <w:color w:val="000000" w:themeColor="text1"/>
        </w:rPr>
        <w:t>t</w:t>
      </w:r>
      <w:r w:rsidRPr="001C3EC8">
        <w:rPr>
          <w:color w:val="000000" w:themeColor="text1"/>
        </w:rPr>
        <w:t xml:space="preserve">edy zda je </w:t>
      </w:r>
      <w:r w:rsidR="005A1F05" w:rsidRPr="001C3EC8">
        <w:rPr>
          <w:color w:val="000000" w:themeColor="text1"/>
        </w:rPr>
        <w:t xml:space="preserve">nápad </w:t>
      </w:r>
      <w:r w:rsidRPr="001C3EC8">
        <w:rPr>
          <w:color w:val="000000" w:themeColor="text1"/>
        </w:rPr>
        <w:t xml:space="preserve">proporcionálně menší ve všech měsících </w:t>
      </w:r>
      <w:r w:rsidR="001B5E6A" w:rsidRPr="001C3EC8">
        <w:rPr>
          <w:color w:val="000000" w:themeColor="text1"/>
        </w:rPr>
        <w:t>a</w:t>
      </w:r>
      <w:r w:rsidR="001B5E6A">
        <w:rPr>
          <w:color w:val="000000" w:themeColor="text1"/>
        </w:rPr>
        <w:t> </w:t>
      </w:r>
      <w:r w:rsidRPr="001C3EC8">
        <w:rPr>
          <w:color w:val="000000" w:themeColor="text1"/>
        </w:rPr>
        <w:t>zda se liší měsíc od měsíce</w:t>
      </w:r>
    </w:p>
    <w:p w14:paraId="4A6ADC1E" w14:textId="130A4FC1" w:rsidR="008430BD" w:rsidRPr="001C3EC8" w:rsidRDefault="008430BD" w:rsidP="008430BD">
      <w:pPr>
        <w:pStyle w:val="Podnadpis"/>
        <w:rPr>
          <w:color w:val="000000" w:themeColor="text1"/>
        </w:rPr>
      </w:pPr>
      <w:bookmarkStart w:id="110" w:name="_Toc7595219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11</w:t>
      </w:r>
      <w:r w:rsidRPr="001C3EC8">
        <w:rPr>
          <w:color w:val="000000" w:themeColor="text1"/>
        </w:rPr>
        <w:fldChar w:fldCharType="end"/>
      </w:r>
      <w:r w:rsidRPr="001C3EC8">
        <w:rPr>
          <w:color w:val="000000" w:themeColor="text1"/>
        </w:rPr>
        <w:t>: OS – měsíční nápad civilních věcí</w:t>
      </w:r>
      <w:bookmarkEnd w:id="110"/>
    </w:p>
    <w:p w14:paraId="008B4052"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0F47580F" wp14:editId="3F09F411">
            <wp:extent cx="5115560" cy="3743960"/>
            <wp:effectExtent l="0" t="0" r="0" b="889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792F3FF6" w14:textId="77777777" w:rsidR="008430BD" w:rsidRPr="001C3EC8" w:rsidRDefault="008430BD" w:rsidP="008430BD">
      <w:pPr>
        <w:rPr>
          <w:color w:val="000000" w:themeColor="text1"/>
          <w:highlight w:val="yellow"/>
        </w:rPr>
      </w:pPr>
    </w:p>
    <w:p w14:paraId="24B5A6B9" w14:textId="1423B4C2" w:rsidR="008430BD" w:rsidRPr="001C3EC8" w:rsidRDefault="008430BD" w:rsidP="008430BD">
      <w:pPr>
        <w:rPr>
          <w:color w:val="000000" w:themeColor="text1"/>
        </w:rPr>
      </w:pPr>
      <w:r w:rsidRPr="001C3EC8">
        <w:rPr>
          <w:color w:val="000000" w:themeColor="text1"/>
        </w:rPr>
        <w:t xml:space="preserve">Výsledky v grafu jsou velmi zajímavé. První nouzový stav byl </w:t>
      </w:r>
      <w:r w:rsidR="00DC2377" w:rsidRPr="001C3EC8">
        <w:rPr>
          <w:color w:val="000000" w:themeColor="text1"/>
        </w:rPr>
        <w:t xml:space="preserve">vyhlášen </w:t>
      </w:r>
      <w:r w:rsidRPr="001C3EC8">
        <w:rPr>
          <w:color w:val="000000" w:themeColor="text1"/>
        </w:rPr>
        <w:t>od 12. března do 17.</w:t>
      </w:r>
      <w:r w:rsidR="00327D79" w:rsidRPr="001C3EC8">
        <w:rPr>
          <w:color w:val="000000" w:themeColor="text1"/>
        </w:rPr>
        <w:t> </w:t>
      </w:r>
      <w:r w:rsidRPr="001C3EC8">
        <w:rPr>
          <w:color w:val="000000" w:themeColor="text1"/>
        </w:rPr>
        <w:t>května</w:t>
      </w:r>
      <w:r w:rsidR="00327D79" w:rsidRPr="001C3EC8">
        <w:rPr>
          <w:color w:val="000000" w:themeColor="text1"/>
        </w:rPr>
        <w:t> </w:t>
      </w:r>
      <w:r w:rsidRPr="001C3EC8">
        <w:rPr>
          <w:color w:val="000000" w:themeColor="text1"/>
        </w:rPr>
        <w:t>2020.</w:t>
      </w:r>
      <w:r w:rsidR="00A74487">
        <w:rPr>
          <w:color w:val="000000" w:themeColor="text1"/>
        </w:rPr>
        <w:t xml:space="preserve"> </w:t>
      </w:r>
      <w:r w:rsidR="001B5E6A" w:rsidRPr="001C3EC8">
        <w:rPr>
          <w:color w:val="000000" w:themeColor="text1"/>
        </w:rPr>
        <w:t>V</w:t>
      </w:r>
      <w:r w:rsidR="001B5E6A">
        <w:rPr>
          <w:color w:val="000000" w:themeColor="text1"/>
        </w:rPr>
        <w:t> </w:t>
      </w:r>
      <w:r w:rsidRPr="001C3EC8">
        <w:rPr>
          <w:color w:val="000000" w:themeColor="text1"/>
        </w:rPr>
        <w:t xml:space="preserve">těchto měsících je vidět citelný pokles v porovnání s průměrem za roky 2017 až 2019. Nápad byl nižší </w:t>
      </w:r>
      <w:r w:rsidR="001B5E6A" w:rsidRPr="001C3EC8">
        <w:rPr>
          <w:color w:val="000000" w:themeColor="text1"/>
        </w:rPr>
        <w:t>o</w:t>
      </w:r>
      <w:r w:rsidR="001B5E6A">
        <w:rPr>
          <w:color w:val="000000" w:themeColor="text1"/>
        </w:rPr>
        <w:t> </w:t>
      </w:r>
      <w:r w:rsidRPr="001C3EC8">
        <w:rPr>
          <w:color w:val="000000" w:themeColor="text1"/>
        </w:rPr>
        <w:t>čtyři až pět tisíc věcí. Vidíme tedy, že lidé na první nouzový stav reagovali. Druhý nouzový stav byl platný od 5.</w:t>
      </w:r>
      <w:r w:rsidR="001B5E6A">
        <w:rPr>
          <w:color w:val="000000" w:themeColor="text1"/>
        </w:rPr>
        <w:t> </w:t>
      </w:r>
      <w:r w:rsidRPr="001C3EC8">
        <w:rPr>
          <w:color w:val="000000" w:themeColor="text1"/>
        </w:rPr>
        <w:t xml:space="preserve">října až do konce roku 2020. Zde již ale není patrný obdobný pokles jako v březnu až v květnu. Rozhodně zaujme prosinec, kdy každoročně dochází k poklesu nápadu kvůli Vánocům. </w:t>
      </w:r>
      <w:r w:rsidR="001B5E6A" w:rsidRPr="001C3EC8">
        <w:rPr>
          <w:color w:val="000000" w:themeColor="text1"/>
        </w:rPr>
        <w:t>V</w:t>
      </w:r>
      <w:r w:rsidR="001B5E6A">
        <w:rPr>
          <w:color w:val="000000" w:themeColor="text1"/>
        </w:rPr>
        <w:t> </w:t>
      </w:r>
      <w:r w:rsidRPr="001C3EC8">
        <w:rPr>
          <w:color w:val="000000" w:themeColor="text1"/>
        </w:rPr>
        <w:t>roce 2020 došlo v prosinci k výrazně nižšímu poklesu oproti listopadu</w:t>
      </w:r>
      <w:r w:rsidR="005A1F05" w:rsidRPr="001C3EC8">
        <w:rPr>
          <w:color w:val="000000" w:themeColor="text1"/>
        </w:rPr>
        <w:t xml:space="preserve">: </w:t>
      </w:r>
      <w:r w:rsidRPr="001C3EC8">
        <w:rPr>
          <w:color w:val="000000" w:themeColor="text1"/>
        </w:rPr>
        <w:t xml:space="preserve">počet příchozích věcí byl </w:t>
      </w:r>
      <w:r w:rsidR="001B5E6A" w:rsidRPr="001C3EC8">
        <w:rPr>
          <w:color w:val="000000" w:themeColor="text1"/>
        </w:rPr>
        <w:t>v</w:t>
      </w:r>
      <w:r w:rsidR="001B5E6A">
        <w:rPr>
          <w:color w:val="000000" w:themeColor="text1"/>
        </w:rPr>
        <w:t> </w:t>
      </w:r>
      <w:r w:rsidRPr="001C3EC8">
        <w:rPr>
          <w:color w:val="000000" w:themeColor="text1"/>
        </w:rPr>
        <w:t xml:space="preserve">prosinci </w:t>
      </w:r>
      <w:r w:rsidR="001B5E6A" w:rsidRPr="001C3EC8">
        <w:rPr>
          <w:color w:val="000000" w:themeColor="text1"/>
        </w:rPr>
        <w:t>o</w:t>
      </w:r>
      <w:r w:rsidR="001B5E6A">
        <w:rPr>
          <w:color w:val="000000" w:themeColor="text1"/>
        </w:rPr>
        <w:t> </w:t>
      </w:r>
      <w:r w:rsidRPr="001C3EC8">
        <w:rPr>
          <w:color w:val="000000" w:themeColor="text1"/>
        </w:rPr>
        <w:t>15,</w:t>
      </w:r>
      <w:r w:rsidR="001B5E6A" w:rsidRPr="001C3EC8">
        <w:rPr>
          <w:color w:val="000000" w:themeColor="text1"/>
        </w:rPr>
        <w:t>7</w:t>
      </w:r>
      <w:r w:rsidR="001B5E6A">
        <w:rPr>
          <w:color w:val="000000" w:themeColor="text1"/>
        </w:rPr>
        <w:t> </w:t>
      </w:r>
      <w:r w:rsidRPr="001C3EC8">
        <w:rPr>
          <w:color w:val="000000" w:themeColor="text1"/>
        </w:rPr>
        <w:t xml:space="preserve">% vyšší než průměr za předchozích </w:t>
      </w:r>
      <w:r w:rsidR="001B5E6A" w:rsidRPr="001C3EC8">
        <w:rPr>
          <w:color w:val="000000" w:themeColor="text1"/>
        </w:rPr>
        <w:t>5</w:t>
      </w:r>
      <w:r w:rsidR="001B5E6A">
        <w:rPr>
          <w:color w:val="000000" w:themeColor="text1"/>
        </w:rPr>
        <w:t> </w:t>
      </w:r>
      <w:r w:rsidRPr="001C3EC8">
        <w:rPr>
          <w:color w:val="000000" w:themeColor="text1"/>
        </w:rPr>
        <w:t xml:space="preserve">let. Pro vysvětlení tohoto vývoje však justiční statistika nemá dostatek statistických informací, </w:t>
      </w:r>
      <w:r w:rsidR="001B5E6A" w:rsidRPr="001C3EC8">
        <w:rPr>
          <w:color w:val="000000" w:themeColor="text1"/>
        </w:rPr>
        <w:t>i</w:t>
      </w:r>
      <w:r w:rsidR="001B5E6A">
        <w:rPr>
          <w:color w:val="000000" w:themeColor="text1"/>
        </w:rPr>
        <w:t> </w:t>
      </w:r>
      <w:r w:rsidRPr="001C3EC8">
        <w:rPr>
          <w:color w:val="000000" w:themeColor="text1"/>
        </w:rPr>
        <w:t>když souvislost s pandemií se nabízí.</w:t>
      </w:r>
    </w:p>
    <w:p w14:paraId="67C9CADD" w14:textId="77777777" w:rsidR="008430BD" w:rsidRPr="001C3EC8" w:rsidRDefault="008430BD" w:rsidP="008430BD">
      <w:pPr>
        <w:pStyle w:val="Nadpis3"/>
        <w:numPr>
          <w:ilvl w:val="2"/>
          <w:numId w:val="1"/>
        </w:numPr>
        <w:rPr>
          <w:color w:val="000000" w:themeColor="text1"/>
        </w:rPr>
      </w:pPr>
      <w:bookmarkStart w:id="111" w:name="_Toc515871223"/>
      <w:bookmarkStart w:id="112" w:name="_Toc75952059"/>
      <w:r w:rsidRPr="001C3EC8">
        <w:rPr>
          <w:color w:val="000000" w:themeColor="text1"/>
        </w:rPr>
        <w:t>Vyřizování věcí v přepočtu na soudce</w:t>
      </w:r>
      <w:bookmarkEnd w:id="111"/>
      <w:bookmarkEnd w:id="112"/>
    </w:p>
    <w:p w14:paraId="43788150" w14:textId="5FF386A2" w:rsidR="008430BD" w:rsidRPr="001C3EC8" w:rsidRDefault="008430BD" w:rsidP="008430BD">
      <w:pPr>
        <w:rPr>
          <w:color w:val="000000" w:themeColor="text1"/>
        </w:rPr>
      </w:pPr>
      <w:r w:rsidRPr="001C3EC8">
        <w:rPr>
          <w:color w:val="000000" w:themeColor="text1"/>
        </w:rPr>
        <w:t xml:space="preserve">Ministerstvo spravedlnosti má k dispozici přesnější data </w:t>
      </w:r>
      <w:r w:rsidR="001B5E6A" w:rsidRPr="001C3EC8">
        <w:rPr>
          <w:color w:val="000000" w:themeColor="text1"/>
        </w:rPr>
        <w:t>o</w:t>
      </w:r>
      <w:r w:rsidR="001B5E6A">
        <w:rPr>
          <w:color w:val="000000" w:themeColor="text1"/>
        </w:rPr>
        <w:t> </w:t>
      </w:r>
      <w:r w:rsidRPr="001C3EC8">
        <w:rPr>
          <w:color w:val="000000" w:themeColor="text1"/>
        </w:rPr>
        <w:t>počtu soudců, konkrétně data o skutečném počtu úvazků, která budou využita pro přepočet. Skutečný poče</w:t>
      </w:r>
      <w:r w:rsidR="005A1F05" w:rsidRPr="001C3EC8">
        <w:rPr>
          <w:color w:val="000000" w:themeColor="text1"/>
        </w:rPr>
        <w:t>t</w:t>
      </w:r>
      <w:r w:rsidRPr="001C3EC8">
        <w:rPr>
          <w:color w:val="000000" w:themeColor="text1"/>
        </w:rPr>
        <w:t xml:space="preserve"> úvazků je </w:t>
      </w:r>
      <w:r w:rsidR="005A1F05" w:rsidRPr="001C3EC8">
        <w:rPr>
          <w:color w:val="000000" w:themeColor="text1"/>
        </w:rPr>
        <w:t xml:space="preserve">získáván </w:t>
      </w:r>
      <w:r w:rsidRPr="001C3EC8">
        <w:rPr>
          <w:color w:val="000000" w:themeColor="text1"/>
        </w:rPr>
        <w:t xml:space="preserve">dotazníkovým šetřením </w:t>
      </w:r>
      <w:r w:rsidR="001B5E6A" w:rsidRPr="001C3EC8">
        <w:rPr>
          <w:color w:val="000000" w:themeColor="text1"/>
        </w:rPr>
        <w:t>u</w:t>
      </w:r>
      <w:r w:rsidR="001B5E6A">
        <w:rPr>
          <w:color w:val="000000" w:themeColor="text1"/>
        </w:rPr>
        <w:t> </w:t>
      </w:r>
      <w:r w:rsidRPr="001C3EC8">
        <w:rPr>
          <w:color w:val="000000" w:themeColor="text1"/>
        </w:rPr>
        <w:t xml:space="preserve">soudů </w:t>
      </w:r>
      <w:r w:rsidR="001B5E6A" w:rsidRPr="001C3EC8">
        <w:rPr>
          <w:color w:val="000000" w:themeColor="text1"/>
        </w:rPr>
        <w:t>a</w:t>
      </w:r>
      <w:r w:rsidR="001B5E6A">
        <w:rPr>
          <w:color w:val="000000" w:themeColor="text1"/>
        </w:rPr>
        <w:t> </w:t>
      </w:r>
      <w:r w:rsidR="006C17E6" w:rsidRPr="001C3EC8">
        <w:rPr>
          <w:color w:val="000000" w:themeColor="text1"/>
        </w:rPr>
        <w:t xml:space="preserve">zahrnuje </w:t>
      </w:r>
      <w:r w:rsidRPr="001C3EC8">
        <w:rPr>
          <w:color w:val="000000" w:themeColor="text1"/>
        </w:rPr>
        <w:t>pouze soudc</w:t>
      </w:r>
      <w:r w:rsidR="006C17E6" w:rsidRPr="001C3EC8">
        <w:rPr>
          <w:color w:val="000000" w:themeColor="text1"/>
        </w:rPr>
        <w:t>e</w:t>
      </w:r>
      <w:r w:rsidRPr="001C3EC8">
        <w:rPr>
          <w:color w:val="000000" w:themeColor="text1"/>
        </w:rPr>
        <w:t>, kteří dan</w:t>
      </w:r>
      <w:r w:rsidR="006C17E6" w:rsidRPr="001C3EC8">
        <w:rPr>
          <w:color w:val="000000" w:themeColor="text1"/>
        </w:rPr>
        <w:t>o</w:t>
      </w:r>
      <w:r w:rsidRPr="001C3EC8">
        <w:rPr>
          <w:color w:val="000000" w:themeColor="text1"/>
        </w:rPr>
        <w:t xml:space="preserve">u agendu v příslušném roce </w:t>
      </w:r>
      <w:r w:rsidR="006C17E6" w:rsidRPr="001C3EC8">
        <w:rPr>
          <w:color w:val="000000" w:themeColor="text1"/>
        </w:rPr>
        <w:t xml:space="preserve">reálně </w:t>
      </w:r>
      <w:r w:rsidRPr="001C3EC8">
        <w:rPr>
          <w:color w:val="000000" w:themeColor="text1"/>
        </w:rPr>
        <w:t xml:space="preserve">vyřizovali. Na rozdíl od evidenčního počtu soudců tedy nejsou zahrnuti dlouhodobě nepřítomní soudci (na MD/RD, dlouhodobě nemocní, dočasně zproštěni výkonu funkce soudce </w:t>
      </w:r>
      <w:r w:rsidRPr="001C3EC8">
        <w:rPr>
          <w:color w:val="000000" w:themeColor="text1"/>
        </w:rPr>
        <w:lastRenderedPageBreak/>
        <w:t>(§</w:t>
      </w:r>
      <w:r w:rsidR="00F41AA8" w:rsidRPr="001C3EC8">
        <w:rPr>
          <w:color w:val="000000" w:themeColor="text1"/>
        </w:rPr>
        <w:t> </w:t>
      </w:r>
      <w:r w:rsidRPr="001C3EC8">
        <w:rPr>
          <w:color w:val="000000" w:themeColor="text1"/>
        </w:rPr>
        <w:t>99, 100 a</w:t>
      </w:r>
      <w:r w:rsidR="00F41AA8" w:rsidRPr="001C3EC8">
        <w:rPr>
          <w:color w:val="000000" w:themeColor="text1"/>
        </w:rPr>
        <w:t> </w:t>
      </w:r>
      <w:proofErr w:type="gramStart"/>
      <w:r w:rsidRPr="001C3EC8">
        <w:rPr>
          <w:color w:val="000000" w:themeColor="text1"/>
        </w:rPr>
        <w:t>100a</w:t>
      </w:r>
      <w:proofErr w:type="gramEnd"/>
      <w:r w:rsidRPr="001C3EC8">
        <w:rPr>
          <w:color w:val="000000" w:themeColor="text1"/>
        </w:rPr>
        <w:t xml:space="preserve"> zák. č.</w:t>
      </w:r>
      <w:r w:rsidR="00F41AA8" w:rsidRPr="001C3EC8">
        <w:rPr>
          <w:color w:val="000000" w:themeColor="text1"/>
        </w:rPr>
        <w:t> </w:t>
      </w:r>
      <w:r w:rsidRPr="001C3EC8">
        <w:rPr>
          <w:color w:val="000000" w:themeColor="text1"/>
        </w:rPr>
        <w:t>6/2002</w:t>
      </w:r>
      <w:r w:rsidR="00F41AA8" w:rsidRPr="001C3EC8">
        <w:rPr>
          <w:color w:val="000000" w:themeColor="text1"/>
        </w:rPr>
        <w:t> </w:t>
      </w:r>
      <w:r w:rsidRPr="001C3EC8">
        <w:rPr>
          <w:color w:val="000000" w:themeColor="text1"/>
        </w:rPr>
        <w:t xml:space="preserve">Sb.) nebo dočasně přeloženi </w:t>
      </w:r>
      <w:r w:rsidR="001B5E6A" w:rsidRPr="001C3EC8">
        <w:rPr>
          <w:color w:val="000000" w:themeColor="text1"/>
        </w:rPr>
        <w:t>k</w:t>
      </w:r>
      <w:r w:rsidR="001B5E6A">
        <w:rPr>
          <w:color w:val="000000" w:themeColor="text1"/>
        </w:rPr>
        <w:t> </w:t>
      </w:r>
      <w:r w:rsidRPr="001C3EC8">
        <w:rPr>
          <w:color w:val="000000" w:themeColor="text1"/>
        </w:rPr>
        <w:t xml:space="preserve">jinému soudu (stáž)). Údaje jsou s přesností na desetinu soudce </w:t>
      </w:r>
      <w:r w:rsidR="001B5E6A" w:rsidRPr="001C3EC8">
        <w:rPr>
          <w:color w:val="000000" w:themeColor="text1"/>
        </w:rPr>
        <w:t>a</w:t>
      </w:r>
      <w:r w:rsidR="001B5E6A">
        <w:rPr>
          <w:color w:val="000000" w:themeColor="text1"/>
        </w:rPr>
        <w:t> </w:t>
      </w:r>
      <w:r w:rsidRPr="001C3EC8">
        <w:rPr>
          <w:color w:val="000000" w:themeColor="text1"/>
        </w:rPr>
        <w:t>jsou podrobněji členěn</w:t>
      </w:r>
      <w:r w:rsidR="00DD65CC" w:rsidRPr="001C3EC8">
        <w:rPr>
          <w:color w:val="000000" w:themeColor="text1"/>
        </w:rPr>
        <w:t>y</w:t>
      </w:r>
      <w:r w:rsidRPr="001C3EC8">
        <w:rPr>
          <w:color w:val="000000" w:themeColor="text1"/>
        </w:rPr>
        <w:t xml:space="preserve"> dle úseků </w:t>
      </w:r>
      <w:r w:rsidR="001B5E6A" w:rsidRPr="001C3EC8">
        <w:rPr>
          <w:color w:val="000000" w:themeColor="text1"/>
        </w:rPr>
        <w:t>a</w:t>
      </w:r>
      <w:r w:rsidR="001B5E6A">
        <w:rPr>
          <w:color w:val="000000" w:themeColor="text1"/>
        </w:rPr>
        <w:t> </w:t>
      </w:r>
      <w:r w:rsidRPr="001C3EC8">
        <w:rPr>
          <w:color w:val="000000" w:themeColor="text1"/>
        </w:rPr>
        <w:t>agendy, které se věnují.</w:t>
      </w:r>
    </w:p>
    <w:p w14:paraId="0105ABAA" w14:textId="0F2CB75A" w:rsidR="008430BD" w:rsidRPr="001C3EC8" w:rsidRDefault="008430BD" w:rsidP="008430BD">
      <w:pPr>
        <w:rPr>
          <w:color w:val="000000" w:themeColor="text1"/>
        </w:rPr>
      </w:pPr>
      <w:r w:rsidRPr="001C3EC8">
        <w:rPr>
          <w:color w:val="000000" w:themeColor="text1"/>
        </w:rPr>
        <w:t xml:space="preserve">Tato data byla poprvé sbírána k lednu 2020 </w:t>
      </w:r>
      <w:r w:rsidR="001B5E6A" w:rsidRPr="001C3EC8">
        <w:rPr>
          <w:color w:val="000000" w:themeColor="text1"/>
        </w:rPr>
        <w:t>a</w:t>
      </w:r>
      <w:r w:rsidR="001B5E6A">
        <w:rPr>
          <w:color w:val="000000" w:themeColor="text1"/>
        </w:rPr>
        <w:t> </w:t>
      </w:r>
      <w:r w:rsidRPr="001C3EC8">
        <w:rPr>
          <w:color w:val="000000" w:themeColor="text1"/>
        </w:rPr>
        <w:t>nejsou tedy k dispozici v řádných časových řadách. Je možné pouze srovnat letošní a loňský rok. Jejich výrazným přínosem je ale jejich podstatně vyšší přesnost, protože:</w:t>
      </w:r>
    </w:p>
    <w:p w14:paraId="519744D1" w14:textId="6A44A70A" w:rsidR="008430BD" w:rsidRPr="001C3EC8" w:rsidRDefault="008430BD" w:rsidP="008430BD">
      <w:pPr>
        <w:pStyle w:val="Odstavecseseznamem"/>
        <w:numPr>
          <w:ilvl w:val="0"/>
          <w:numId w:val="16"/>
        </w:numPr>
        <w:rPr>
          <w:color w:val="000000" w:themeColor="text1"/>
        </w:rPr>
      </w:pPr>
      <w:r w:rsidRPr="001C3EC8">
        <w:rPr>
          <w:color w:val="000000" w:themeColor="text1"/>
        </w:rPr>
        <w:t xml:space="preserve">Umožňují srovnání nejen relativních údajů mezi jednotlivými soudy, ale výrazně přesnější jsou nyní </w:t>
      </w:r>
      <w:r w:rsidR="001B5E6A" w:rsidRPr="001C3EC8">
        <w:rPr>
          <w:color w:val="000000" w:themeColor="text1"/>
        </w:rPr>
        <w:t>i</w:t>
      </w:r>
      <w:r w:rsidR="001B5E6A">
        <w:rPr>
          <w:color w:val="000000" w:themeColor="text1"/>
        </w:rPr>
        <w:t> </w:t>
      </w:r>
      <w:r w:rsidRPr="001C3EC8">
        <w:rPr>
          <w:color w:val="000000" w:themeColor="text1"/>
        </w:rPr>
        <w:t xml:space="preserve">absolutní čísla, byť se stále jedná </w:t>
      </w:r>
      <w:r w:rsidR="001B5E6A" w:rsidRPr="001C3EC8">
        <w:rPr>
          <w:color w:val="000000" w:themeColor="text1"/>
        </w:rPr>
        <w:t>o</w:t>
      </w:r>
      <w:r w:rsidR="001B5E6A">
        <w:rPr>
          <w:color w:val="000000" w:themeColor="text1"/>
        </w:rPr>
        <w:t> </w:t>
      </w:r>
      <w:r w:rsidRPr="001C3EC8">
        <w:rPr>
          <w:color w:val="000000" w:themeColor="text1"/>
        </w:rPr>
        <w:t xml:space="preserve">aproximaci. Především rozlišení opatrovnických soudců výpočet výrazně zpřesnilo. Rovněž fakt, že v počtu nejsou započteni například dlouhodobě nemocní soudci, částečně předsedové </w:t>
      </w:r>
      <w:r w:rsidR="001B5E6A" w:rsidRPr="001C3EC8">
        <w:rPr>
          <w:color w:val="000000" w:themeColor="text1"/>
        </w:rPr>
        <w:t>a</w:t>
      </w:r>
      <w:r w:rsidR="001B5E6A">
        <w:rPr>
          <w:color w:val="000000" w:themeColor="text1"/>
        </w:rPr>
        <w:t> </w:t>
      </w:r>
      <w:r w:rsidRPr="001C3EC8">
        <w:rPr>
          <w:color w:val="000000" w:themeColor="text1"/>
        </w:rPr>
        <w:t xml:space="preserve">místopředsedové </w:t>
      </w:r>
      <w:proofErr w:type="gramStart"/>
      <w:r w:rsidRPr="001C3EC8">
        <w:rPr>
          <w:color w:val="000000" w:themeColor="text1"/>
        </w:rPr>
        <w:t>soudů</w:t>
      </w:r>
      <w:proofErr w:type="gramEnd"/>
      <w:r w:rsidRPr="001C3EC8">
        <w:rPr>
          <w:color w:val="000000" w:themeColor="text1"/>
        </w:rPr>
        <w:t xml:space="preserve"> </w:t>
      </w:r>
      <w:r w:rsidR="001B5E6A" w:rsidRPr="001C3EC8">
        <w:rPr>
          <w:color w:val="000000" w:themeColor="text1"/>
        </w:rPr>
        <w:t>a</w:t>
      </w:r>
      <w:r w:rsidR="001B5E6A">
        <w:rPr>
          <w:color w:val="000000" w:themeColor="text1"/>
        </w:rPr>
        <w:t> </w:t>
      </w:r>
      <w:r w:rsidRPr="001C3EC8">
        <w:rPr>
          <w:color w:val="000000" w:themeColor="text1"/>
        </w:rPr>
        <w:t>především soudkyně či soudci na rodičovské/mateřské dovolené, údaje dále zpřesňuje.</w:t>
      </w:r>
    </w:p>
    <w:p w14:paraId="3337D846" w14:textId="262D6C43" w:rsidR="008430BD" w:rsidRPr="001C3EC8" w:rsidRDefault="001B5E6A" w:rsidP="008430BD">
      <w:pPr>
        <w:pStyle w:val="Odstavecseseznamem"/>
        <w:numPr>
          <w:ilvl w:val="0"/>
          <w:numId w:val="16"/>
        </w:numPr>
        <w:rPr>
          <w:color w:val="000000" w:themeColor="text1"/>
        </w:rPr>
      </w:pPr>
      <w:r w:rsidRPr="001C3EC8">
        <w:rPr>
          <w:color w:val="000000" w:themeColor="text1"/>
        </w:rPr>
        <w:t>I</w:t>
      </w:r>
      <w:r>
        <w:rPr>
          <w:color w:val="000000" w:themeColor="text1"/>
        </w:rPr>
        <w:t> </w:t>
      </w:r>
      <w:r w:rsidR="008430BD" w:rsidRPr="001C3EC8">
        <w:rPr>
          <w:color w:val="000000" w:themeColor="text1"/>
        </w:rPr>
        <w:t xml:space="preserve">samotné relativní srovnání mezi soudy </w:t>
      </w:r>
      <w:r w:rsidRPr="001C3EC8">
        <w:rPr>
          <w:color w:val="000000" w:themeColor="text1"/>
        </w:rPr>
        <w:t>a</w:t>
      </w:r>
      <w:r>
        <w:rPr>
          <w:color w:val="000000" w:themeColor="text1"/>
        </w:rPr>
        <w:t> </w:t>
      </w:r>
      <w:r w:rsidR="008430BD" w:rsidRPr="001C3EC8">
        <w:rPr>
          <w:color w:val="000000" w:themeColor="text1"/>
        </w:rPr>
        <w:t>kraji je přesnější. Především na úrovni soudců se v datech lépe promítnou například dlouhodobé absence.</w:t>
      </w:r>
    </w:p>
    <w:p w14:paraId="0070CC47" w14:textId="77777777" w:rsidR="008430BD" w:rsidRPr="001C3EC8" w:rsidRDefault="008430BD" w:rsidP="00E077F3">
      <w:pPr>
        <w:pStyle w:val="OdstavecASR"/>
        <w:rPr>
          <w:color w:val="000000" w:themeColor="text1"/>
        </w:rPr>
      </w:pPr>
      <w:bookmarkStart w:id="113" w:name="_Ref509301494"/>
      <w:bookmarkStart w:id="114" w:name="_Ref509301484"/>
      <w:bookmarkStart w:id="115" w:name="_Toc515871442"/>
      <w:bookmarkStart w:id="116" w:name="_Toc11133211"/>
      <w:bookmarkStart w:id="117" w:name="_Toc43931184"/>
    </w:p>
    <w:p w14:paraId="025960EA" w14:textId="4D267371" w:rsidR="008430BD" w:rsidRPr="001C3EC8" w:rsidRDefault="008430BD" w:rsidP="008430BD">
      <w:pPr>
        <w:pStyle w:val="Podnadpis"/>
        <w:rPr>
          <w:color w:val="000000" w:themeColor="text1"/>
        </w:rPr>
      </w:pPr>
      <w:bookmarkStart w:id="118" w:name="_Toc75952314"/>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11</w:t>
      </w:r>
      <w:r w:rsidRPr="001C3EC8">
        <w:rPr>
          <w:noProof/>
          <w:color w:val="000000" w:themeColor="text1"/>
        </w:rPr>
        <w:fldChar w:fldCharType="end"/>
      </w:r>
      <w:bookmarkEnd w:id="113"/>
      <w:r w:rsidRPr="001C3EC8">
        <w:rPr>
          <w:color w:val="000000" w:themeColor="text1"/>
        </w:rPr>
        <w:t xml:space="preserve">: OS – vyřizování civilních věcí na </w:t>
      </w:r>
      <w:r w:rsidR="00D110C7" w:rsidRPr="001C3EC8">
        <w:rPr>
          <w:color w:val="000000" w:themeColor="text1"/>
        </w:rPr>
        <w:t>úvazek</w:t>
      </w:r>
      <w:r w:rsidRPr="001C3EC8">
        <w:rPr>
          <w:color w:val="000000" w:themeColor="text1"/>
        </w:rPr>
        <w:t xml:space="preserve"> dle krajů</w:t>
      </w:r>
      <w:bookmarkEnd w:id="114"/>
      <w:bookmarkEnd w:id="115"/>
      <w:bookmarkEnd w:id="116"/>
      <w:bookmarkEnd w:id="117"/>
      <w:bookmarkEnd w:id="118"/>
    </w:p>
    <w:tbl>
      <w:tblPr>
        <w:tblW w:w="9072" w:type="dxa"/>
        <w:tblCellMar>
          <w:left w:w="70" w:type="dxa"/>
          <w:right w:w="70" w:type="dxa"/>
        </w:tblCellMar>
        <w:tblLook w:val="04A0" w:firstRow="1" w:lastRow="0" w:firstColumn="1" w:lastColumn="0" w:noHBand="0" w:noVBand="1"/>
      </w:tblPr>
      <w:tblGrid>
        <w:gridCol w:w="1820"/>
        <w:gridCol w:w="1299"/>
        <w:gridCol w:w="992"/>
        <w:gridCol w:w="992"/>
        <w:gridCol w:w="1134"/>
        <w:gridCol w:w="851"/>
        <w:gridCol w:w="992"/>
        <w:gridCol w:w="992"/>
      </w:tblGrid>
      <w:tr w:rsidR="00003FDE" w:rsidRPr="001C3EC8" w14:paraId="7EBEF700" w14:textId="77777777" w:rsidTr="000E6310">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52BA5BCB" w14:textId="77777777" w:rsidR="00003FDE" w:rsidRPr="001C3EC8" w:rsidRDefault="00003FDE" w:rsidP="00003FDE">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299" w:type="dxa"/>
            <w:vMerge w:val="restart"/>
            <w:tcBorders>
              <w:top w:val="double" w:sz="6" w:space="0" w:color="auto"/>
              <w:left w:val="nil"/>
              <w:bottom w:val="double" w:sz="6" w:space="0" w:color="000000"/>
              <w:right w:val="nil"/>
            </w:tcBorders>
            <w:shd w:val="clear" w:color="auto" w:fill="auto"/>
            <w:noWrap/>
            <w:vAlign w:val="center"/>
            <w:hideMark/>
          </w:tcPr>
          <w:p w14:paraId="52604C1E"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5953" w:type="dxa"/>
            <w:gridSpan w:val="6"/>
            <w:tcBorders>
              <w:top w:val="double" w:sz="6" w:space="0" w:color="auto"/>
              <w:left w:val="nil"/>
              <w:bottom w:val="nil"/>
              <w:right w:val="nil"/>
            </w:tcBorders>
            <w:shd w:val="clear" w:color="auto" w:fill="auto"/>
            <w:noWrap/>
            <w:vAlign w:val="center"/>
            <w:hideMark/>
          </w:tcPr>
          <w:p w14:paraId="5354FEC7"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 na úvazek</w:t>
            </w:r>
          </w:p>
        </w:tc>
      </w:tr>
      <w:tr w:rsidR="00003FDE" w:rsidRPr="001C3EC8" w14:paraId="5F15FEEB" w14:textId="77777777" w:rsidTr="000E6310">
        <w:trPr>
          <w:trHeight w:val="330"/>
        </w:trPr>
        <w:tc>
          <w:tcPr>
            <w:tcW w:w="1820" w:type="dxa"/>
            <w:vMerge/>
            <w:tcBorders>
              <w:top w:val="double" w:sz="6" w:space="0" w:color="auto"/>
              <w:left w:val="nil"/>
              <w:bottom w:val="double" w:sz="6" w:space="0" w:color="000000"/>
              <w:right w:val="nil"/>
            </w:tcBorders>
            <w:vAlign w:val="center"/>
            <w:hideMark/>
          </w:tcPr>
          <w:p w14:paraId="7F16AB9D" w14:textId="77777777" w:rsidR="00003FDE" w:rsidRPr="001C3EC8" w:rsidRDefault="00003FDE" w:rsidP="00003FDE">
            <w:pPr>
              <w:spacing w:line="240" w:lineRule="auto"/>
              <w:jc w:val="left"/>
              <w:rPr>
                <w:rFonts w:eastAsia="Times New Roman"/>
                <w:b/>
                <w:bCs/>
                <w:color w:val="000000" w:themeColor="text1"/>
                <w:szCs w:val="24"/>
                <w:lang w:eastAsia="cs-CZ"/>
              </w:rPr>
            </w:pPr>
          </w:p>
        </w:tc>
        <w:tc>
          <w:tcPr>
            <w:tcW w:w="1299" w:type="dxa"/>
            <w:vMerge/>
            <w:tcBorders>
              <w:top w:val="double" w:sz="6" w:space="0" w:color="auto"/>
              <w:left w:val="nil"/>
              <w:bottom w:val="double" w:sz="6" w:space="0" w:color="000000"/>
              <w:right w:val="nil"/>
            </w:tcBorders>
            <w:vAlign w:val="center"/>
            <w:hideMark/>
          </w:tcPr>
          <w:p w14:paraId="23C2A68A" w14:textId="77777777" w:rsidR="00003FDE" w:rsidRPr="001C3EC8" w:rsidRDefault="00003FDE" w:rsidP="00003FDE">
            <w:pPr>
              <w:spacing w:line="240" w:lineRule="auto"/>
              <w:jc w:val="left"/>
              <w:rPr>
                <w:rFonts w:eastAsia="Times New Roman"/>
                <w:b/>
                <w:bCs/>
                <w:color w:val="000000" w:themeColor="text1"/>
                <w:szCs w:val="24"/>
                <w:lang w:eastAsia="cs-CZ"/>
              </w:rPr>
            </w:pPr>
          </w:p>
        </w:tc>
        <w:tc>
          <w:tcPr>
            <w:tcW w:w="1984" w:type="dxa"/>
            <w:gridSpan w:val="2"/>
            <w:tcBorders>
              <w:top w:val="nil"/>
              <w:left w:val="nil"/>
              <w:bottom w:val="double" w:sz="6" w:space="0" w:color="auto"/>
              <w:right w:val="nil"/>
            </w:tcBorders>
            <w:shd w:val="clear" w:color="auto" w:fill="auto"/>
            <w:noWrap/>
            <w:vAlign w:val="center"/>
            <w:hideMark/>
          </w:tcPr>
          <w:p w14:paraId="7D7BC363"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003A334"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84" w:type="dxa"/>
            <w:gridSpan w:val="2"/>
            <w:tcBorders>
              <w:top w:val="nil"/>
              <w:left w:val="nil"/>
              <w:bottom w:val="double" w:sz="6" w:space="0" w:color="auto"/>
              <w:right w:val="nil"/>
            </w:tcBorders>
            <w:shd w:val="clear" w:color="auto" w:fill="auto"/>
            <w:noWrap/>
            <w:vAlign w:val="center"/>
            <w:hideMark/>
          </w:tcPr>
          <w:p w14:paraId="7698CDA4"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003FDE" w:rsidRPr="001C3EC8" w14:paraId="24F470FB" w14:textId="77777777" w:rsidTr="000E6310">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69E15E67"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99" w:type="dxa"/>
            <w:tcBorders>
              <w:top w:val="single" w:sz="4" w:space="0" w:color="auto"/>
              <w:left w:val="nil"/>
              <w:bottom w:val="single" w:sz="4" w:space="0" w:color="auto"/>
              <w:right w:val="nil"/>
            </w:tcBorders>
            <w:shd w:val="clear" w:color="auto" w:fill="auto"/>
            <w:noWrap/>
            <w:vAlign w:val="bottom"/>
            <w:hideMark/>
          </w:tcPr>
          <w:p w14:paraId="05EF77E1" w14:textId="44ED7B90"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164,7</w:t>
            </w:r>
          </w:p>
        </w:tc>
        <w:tc>
          <w:tcPr>
            <w:tcW w:w="992" w:type="dxa"/>
            <w:tcBorders>
              <w:top w:val="single" w:sz="4" w:space="0" w:color="auto"/>
              <w:left w:val="nil"/>
              <w:bottom w:val="single" w:sz="4" w:space="0" w:color="auto"/>
              <w:right w:val="nil"/>
            </w:tcBorders>
            <w:shd w:val="clear" w:color="auto" w:fill="auto"/>
            <w:noWrap/>
            <w:vAlign w:val="bottom"/>
            <w:hideMark/>
          </w:tcPr>
          <w:p w14:paraId="4ED699C6" w14:textId="4BFEDDE3"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427,25</w:t>
            </w:r>
          </w:p>
        </w:tc>
        <w:tc>
          <w:tcPr>
            <w:tcW w:w="992" w:type="dxa"/>
            <w:tcBorders>
              <w:top w:val="single" w:sz="4" w:space="0" w:color="auto"/>
              <w:left w:val="nil"/>
              <w:bottom w:val="single" w:sz="4" w:space="0" w:color="auto"/>
              <w:right w:val="nil"/>
            </w:tcBorders>
            <w:shd w:val="clear" w:color="auto" w:fill="auto"/>
            <w:noWrap/>
            <w:vAlign w:val="center"/>
            <w:hideMark/>
          </w:tcPr>
          <w:p w14:paraId="19D63320" w14:textId="4D196744"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3</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134" w:type="dxa"/>
            <w:tcBorders>
              <w:top w:val="nil"/>
              <w:left w:val="single" w:sz="4" w:space="0" w:color="auto"/>
              <w:bottom w:val="single" w:sz="4" w:space="0" w:color="auto"/>
              <w:right w:val="nil"/>
            </w:tcBorders>
            <w:shd w:val="clear" w:color="auto" w:fill="auto"/>
            <w:noWrap/>
            <w:vAlign w:val="bottom"/>
            <w:hideMark/>
          </w:tcPr>
          <w:p w14:paraId="4973FF35" w14:textId="2AB6063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418,30</w:t>
            </w:r>
          </w:p>
        </w:tc>
        <w:tc>
          <w:tcPr>
            <w:tcW w:w="851" w:type="dxa"/>
            <w:tcBorders>
              <w:top w:val="nil"/>
              <w:left w:val="nil"/>
              <w:bottom w:val="single" w:sz="4" w:space="0" w:color="auto"/>
              <w:right w:val="single" w:sz="4" w:space="0" w:color="auto"/>
            </w:tcBorders>
            <w:shd w:val="clear" w:color="auto" w:fill="auto"/>
            <w:noWrap/>
            <w:vAlign w:val="center"/>
            <w:hideMark/>
          </w:tcPr>
          <w:p w14:paraId="02127105" w14:textId="79977062"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3</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992" w:type="dxa"/>
            <w:tcBorders>
              <w:top w:val="single" w:sz="4" w:space="0" w:color="auto"/>
              <w:left w:val="nil"/>
              <w:bottom w:val="single" w:sz="4" w:space="0" w:color="auto"/>
              <w:right w:val="nil"/>
            </w:tcBorders>
            <w:shd w:val="clear" w:color="auto" w:fill="auto"/>
            <w:noWrap/>
            <w:vAlign w:val="bottom"/>
            <w:hideMark/>
          </w:tcPr>
          <w:p w14:paraId="18867B5A" w14:textId="7179ECF3"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236,87</w:t>
            </w:r>
          </w:p>
        </w:tc>
        <w:tc>
          <w:tcPr>
            <w:tcW w:w="992" w:type="dxa"/>
            <w:tcBorders>
              <w:top w:val="single" w:sz="4" w:space="0" w:color="auto"/>
              <w:left w:val="nil"/>
              <w:bottom w:val="single" w:sz="4" w:space="0" w:color="auto"/>
              <w:right w:val="nil"/>
            </w:tcBorders>
            <w:shd w:val="clear" w:color="auto" w:fill="auto"/>
            <w:noWrap/>
            <w:vAlign w:val="center"/>
            <w:hideMark/>
          </w:tcPr>
          <w:p w14:paraId="7A36D774" w14:textId="655090A8"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+16</w:t>
            </w:r>
            <w:r w:rsidR="001B5E6A">
              <w:rPr>
                <w:rFonts w:eastAsia="Times New Roman"/>
                <w:color w:val="000000" w:themeColor="text1"/>
                <w:sz w:val="20"/>
                <w:szCs w:val="20"/>
                <w:lang w:eastAsia="cs-CZ"/>
              </w:rPr>
              <w:t> %</w:t>
            </w:r>
          </w:p>
        </w:tc>
      </w:tr>
      <w:tr w:rsidR="00003FDE" w:rsidRPr="001C3EC8" w14:paraId="2569E50C" w14:textId="77777777" w:rsidTr="000E6310">
        <w:trPr>
          <w:trHeight w:val="315"/>
        </w:trPr>
        <w:tc>
          <w:tcPr>
            <w:tcW w:w="1820" w:type="dxa"/>
            <w:tcBorders>
              <w:top w:val="nil"/>
              <w:left w:val="nil"/>
              <w:bottom w:val="single" w:sz="4" w:space="0" w:color="auto"/>
              <w:right w:val="nil"/>
            </w:tcBorders>
            <w:shd w:val="clear" w:color="auto" w:fill="auto"/>
            <w:noWrap/>
            <w:vAlign w:val="bottom"/>
            <w:hideMark/>
          </w:tcPr>
          <w:p w14:paraId="509F2021"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99" w:type="dxa"/>
            <w:tcBorders>
              <w:top w:val="nil"/>
              <w:left w:val="nil"/>
              <w:bottom w:val="single" w:sz="4" w:space="0" w:color="auto"/>
              <w:right w:val="nil"/>
            </w:tcBorders>
            <w:shd w:val="clear" w:color="auto" w:fill="auto"/>
            <w:noWrap/>
            <w:vAlign w:val="bottom"/>
            <w:hideMark/>
          </w:tcPr>
          <w:p w14:paraId="03A06EC1" w14:textId="024F083A"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95,95</w:t>
            </w:r>
          </w:p>
        </w:tc>
        <w:tc>
          <w:tcPr>
            <w:tcW w:w="992" w:type="dxa"/>
            <w:tcBorders>
              <w:top w:val="nil"/>
              <w:left w:val="nil"/>
              <w:bottom w:val="single" w:sz="4" w:space="0" w:color="auto"/>
              <w:right w:val="nil"/>
            </w:tcBorders>
            <w:shd w:val="clear" w:color="auto" w:fill="auto"/>
            <w:noWrap/>
            <w:vAlign w:val="bottom"/>
            <w:hideMark/>
          </w:tcPr>
          <w:p w14:paraId="3CC590A5" w14:textId="3FCB6780"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372,78</w:t>
            </w:r>
          </w:p>
        </w:tc>
        <w:tc>
          <w:tcPr>
            <w:tcW w:w="992" w:type="dxa"/>
            <w:tcBorders>
              <w:top w:val="nil"/>
              <w:left w:val="nil"/>
              <w:bottom w:val="single" w:sz="4" w:space="0" w:color="auto"/>
              <w:right w:val="nil"/>
            </w:tcBorders>
            <w:shd w:val="clear" w:color="auto" w:fill="auto"/>
            <w:noWrap/>
            <w:vAlign w:val="center"/>
            <w:hideMark/>
          </w:tcPr>
          <w:p w14:paraId="024ADC11" w14:textId="618EA5D4"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B5E6A" w:rsidRPr="001C3EC8">
              <w:rPr>
                <w:rFonts w:eastAsia="Times New Roman"/>
                <w:color w:val="000000" w:themeColor="text1"/>
                <w:sz w:val="20"/>
                <w:szCs w:val="20"/>
                <w:lang w:eastAsia="cs-CZ"/>
              </w:rPr>
              <w:t>2</w:t>
            </w:r>
            <w:r w:rsidR="001B5E6A">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134" w:type="dxa"/>
            <w:tcBorders>
              <w:top w:val="nil"/>
              <w:left w:val="single" w:sz="4" w:space="0" w:color="auto"/>
              <w:bottom w:val="single" w:sz="4" w:space="0" w:color="auto"/>
              <w:right w:val="nil"/>
            </w:tcBorders>
            <w:shd w:val="clear" w:color="auto" w:fill="auto"/>
            <w:noWrap/>
            <w:vAlign w:val="bottom"/>
            <w:hideMark/>
          </w:tcPr>
          <w:p w14:paraId="0CE92EA7" w14:textId="501C144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361,00</w:t>
            </w:r>
          </w:p>
        </w:tc>
        <w:tc>
          <w:tcPr>
            <w:tcW w:w="851" w:type="dxa"/>
            <w:tcBorders>
              <w:top w:val="nil"/>
              <w:left w:val="nil"/>
              <w:bottom w:val="single" w:sz="4" w:space="0" w:color="auto"/>
              <w:right w:val="single" w:sz="4" w:space="0" w:color="auto"/>
            </w:tcBorders>
            <w:shd w:val="clear" w:color="auto" w:fill="auto"/>
            <w:noWrap/>
            <w:vAlign w:val="center"/>
            <w:hideMark/>
          </w:tcPr>
          <w:p w14:paraId="68AF722B" w14:textId="16A0F61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-7</w:t>
            </w:r>
            <w:r w:rsidR="001B5E6A">
              <w:rPr>
                <w:rFonts w:eastAsia="Times New Roman"/>
                <w:color w:val="000000" w:themeColor="text1"/>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2DBBC09E" w14:textId="5919C7FC"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106,14</w:t>
            </w:r>
          </w:p>
        </w:tc>
        <w:tc>
          <w:tcPr>
            <w:tcW w:w="992" w:type="dxa"/>
            <w:tcBorders>
              <w:top w:val="nil"/>
              <w:left w:val="nil"/>
              <w:bottom w:val="single" w:sz="4" w:space="0" w:color="auto"/>
              <w:right w:val="nil"/>
            </w:tcBorders>
            <w:shd w:val="clear" w:color="auto" w:fill="auto"/>
            <w:noWrap/>
            <w:vAlign w:val="center"/>
            <w:hideMark/>
          </w:tcPr>
          <w:p w14:paraId="16D93243" w14:textId="7728CF5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+14</w:t>
            </w:r>
            <w:r w:rsidR="001B5E6A">
              <w:rPr>
                <w:rFonts w:eastAsia="Times New Roman"/>
                <w:color w:val="000000" w:themeColor="text1"/>
                <w:sz w:val="20"/>
                <w:szCs w:val="20"/>
                <w:lang w:eastAsia="cs-CZ"/>
              </w:rPr>
              <w:t> %</w:t>
            </w:r>
          </w:p>
        </w:tc>
      </w:tr>
      <w:tr w:rsidR="00003FDE" w:rsidRPr="001C3EC8" w14:paraId="381E9CCE" w14:textId="77777777" w:rsidTr="000E6310">
        <w:trPr>
          <w:trHeight w:val="315"/>
        </w:trPr>
        <w:tc>
          <w:tcPr>
            <w:tcW w:w="1820" w:type="dxa"/>
            <w:tcBorders>
              <w:top w:val="nil"/>
              <w:left w:val="nil"/>
              <w:bottom w:val="single" w:sz="4" w:space="0" w:color="auto"/>
              <w:right w:val="nil"/>
            </w:tcBorders>
            <w:shd w:val="clear" w:color="auto" w:fill="auto"/>
            <w:noWrap/>
            <w:vAlign w:val="bottom"/>
            <w:hideMark/>
          </w:tcPr>
          <w:p w14:paraId="6A84B361"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99" w:type="dxa"/>
            <w:tcBorders>
              <w:top w:val="nil"/>
              <w:left w:val="nil"/>
              <w:bottom w:val="single" w:sz="4" w:space="0" w:color="auto"/>
              <w:right w:val="nil"/>
            </w:tcBorders>
            <w:shd w:val="clear" w:color="auto" w:fill="auto"/>
            <w:noWrap/>
            <w:vAlign w:val="bottom"/>
            <w:hideMark/>
          </w:tcPr>
          <w:p w14:paraId="7FE28F03" w14:textId="77989CC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42,9</w:t>
            </w:r>
          </w:p>
        </w:tc>
        <w:tc>
          <w:tcPr>
            <w:tcW w:w="992" w:type="dxa"/>
            <w:tcBorders>
              <w:top w:val="nil"/>
              <w:left w:val="nil"/>
              <w:bottom w:val="single" w:sz="4" w:space="0" w:color="auto"/>
              <w:right w:val="nil"/>
            </w:tcBorders>
            <w:shd w:val="clear" w:color="auto" w:fill="auto"/>
            <w:noWrap/>
            <w:vAlign w:val="bottom"/>
            <w:hideMark/>
          </w:tcPr>
          <w:p w14:paraId="3195732E" w14:textId="245ADB37"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348,46</w:t>
            </w:r>
          </w:p>
        </w:tc>
        <w:tc>
          <w:tcPr>
            <w:tcW w:w="992" w:type="dxa"/>
            <w:tcBorders>
              <w:top w:val="nil"/>
              <w:left w:val="nil"/>
              <w:bottom w:val="single" w:sz="4" w:space="0" w:color="auto"/>
              <w:right w:val="nil"/>
            </w:tcBorders>
            <w:shd w:val="clear" w:color="auto" w:fill="auto"/>
            <w:noWrap/>
            <w:vAlign w:val="center"/>
            <w:hideMark/>
          </w:tcPr>
          <w:p w14:paraId="4D7086C0" w14:textId="6A181C20"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w:t>
            </w:r>
            <w:r w:rsidR="001B5E6A">
              <w:rPr>
                <w:rFonts w:eastAsia="Times New Roman"/>
                <w:color w:val="000000" w:themeColor="text1"/>
                <w:sz w:val="20"/>
                <w:szCs w:val="20"/>
                <w:lang w:eastAsia="cs-CZ"/>
              </w:rPr>
              <w:t> %</w:t>
            </w:r>
          </w:p>
        </w:tc>
        <w:tc>
          <w:tcPr>
            <w:tcW w:w="1134" w:type="dxa"/>
            <w:tcBorders>
              <w:top w:val="nil"/>
              <w:left w:val="single" w:sz="4" w:space="0" w:color="auto"/>
              <w:bottom w:val="single" w:sz="4" w:space="0" w:color="auto"/>
              <w:right w:val="nil"/>
            </w:tcBorders>
            <w:shd w:val="clear" w:color="auto" w:fill="auto"/>
            <w:noWrap/>
            <w:vAlign w:val="bottom"/>
            <w:hideMark/>
          </w:tcPr>
          <w:p w14:paraId="70EE41D3" w14:textId="13E35EE4"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335,29</w:t>
            </w:r>
          </w:p>
        </w:tc>
        <w:tc>
          <w:tcPr>
            <w:tcW w:w="851" w:type="dxa"/>
            <w:tcBorders>
              <w:top w:val="nil"/>
              <w:left w:val="nil"/>
              <w:bottom w:val="single" w:sz="4" w:space="0" w:color="auto"/>
              <w:right w:val="single" w:sz="4" w:space="0" w:color="auto"/>
            </w:tcBorders>
            <w:shd w:val="clear" w:color="auto" w:fill="auto"/>
            <w:noWrap/>
            <w:vAlign w:val="center"/>
            <w:hideMark/>
          </w:tcPr>
          <w:p w14:paraId="7F601FD4" w14:textId="0EBBFB98"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w:t>
            </w:r>
            <w:r w:rsidR="001B5E6A">
              <w:rPr>
                <w:rFonts w:eastAsia="Times New Roman"/>
                <w:color w:val="000000" w:themeColor="text1"/>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25B202AD" w14:textId="0DD840AC"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85,71</w:t>
            </w:r>
          </w:p>
        </w:tc>
        <w:tc>
          <w:tcPr>
            <w:tcW w:w="992" w:type="dxa"/>
            <w:tcBorders>
              <w:top w:val="nil"/>
              <w:left w:val="nil"/>
              <w:bottom w:val="single" w:sz="4" w:space="0" w:color="auto"/>
              <w:right w:val="nil"/>
            </w:tcBorders>
            <w:shd w:val="clear" w:color="auto" w:fill="auto"/>
            <w:noWrap/>
            <w:vAlign w:val="center"/>
            <w:hideMark/>
          </w:tcPr>
          <w:p w14:paraId="391D67A9" w14:textId="58DD310B"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+34</w:t>
            </w:r>
            <w:r w:rsidR="001B5E6A">
              <w:rPr>
                <w:rFonts w:eastAsia="Times New Roman"/>
                <w:color w:val="000000" w:themeColor="text1"/>
                <w:sz w:val="20"/>
                <w:szCs w:val="20"/>
                <w:lang w:eastAsia="cs-CZ"/>
              </w:rPr>
              <w:t> %</w:t>
            </w:r>
          </w:p>
        </w:tc>
      </w:tr>
      <w:tr w:rsidR="00003FDE" w:rsidRPr="001C3EC8" w14:paraId="5E6602F9" w14:textId="77777777" w:rsidTr="000E6310">
        <w:trPr>
          <w:trHeight w:val="315"/>
        </w:trPr>
        <w:tc>
          <w:tcPr>
            <w:tcW w:w="1820" w:type="dxa"/>
            <w:tcBorders>
              <w:top w:val="nil"/>
              <w:left w:val="nil"/>
              <w:bottom w:val="single" w:sz="4" w:space="0" w:color="auto"/>
              <w:right w:val="nil"/>
            </w:tcBorders>
            <w:shd w:val="clear" w:color="auto" w:fill="auto"/>
            <w:noWrap/>
            <w:vAlign w:val="bottom"/>
            <w:hideMark/>
          </w:tcPr>
          <w:p w14:paraId="09725F95"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99" w:type="dxa"/>
            <w:tcBorders>
              <w:top w:val="nil"/>
              <w:left w:val="nil"/>
              <w:bottom w:val="single" w:sz="4" w:space="0" w:color="auto"/>
              <w:right w:val="nil"/>
            </w:tcBorders>
            <w:shd w:val="clear" w:color="auto" w:fill="auto"/>
            <w:noWrap/>
            <w:vAlign w:val="bottom"/>
            <w:hideMark/>
          </w:tcPr>
          <w:p w14:paraId="03C99B51" w14:textId="75AFF294"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73,5</w:t>
            </w:r>
          </w:p>
        </w:tc>
        <w:tc>
          <w:tcPr>
            <w:tcW w:w="992" w:type="dxa"/>
            <w:tcBorders>
              <w:top w:val="nil"/>
              <w:left w:val="nil"/>
              <w:bottom w:val="single" w:sz="4" w:space="0" w:color="auto"/>
              <w:right w:val="nil"/>
            </w:tcBorders>
            <w:shd w:val="clear" w:color="auto" w:fill="auto"/>
            <w:noWrap/>
            <w:vAlign w:val="bottom"/>
            <w:hideMark/>
          </w:tcPr>
          <w:p w14:paraId="68583123" w14:textId="078258C8"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387,61</w:t>
            </w:r>
          </w:p>
        </w:tc>
        <w:tc>
          <w:tcPr>
            <w:tcW w:w="992" w:type="dxa"/>
            <w:tcBorders>
              <w:top w:val="nil"/>
              <w:left w:val="nil"/>
              <w:bottom w:val="single" w:sz="4" w:space="0" w:color="auto"/>
              <w:right w:val="nil"/>
            </w:tcBorders>
            <w:shd w:val="clear" w:color="auto" w:fill="auto"/>
            <w:noWrap/>
            <w:vAlign w:val="center"/>
            <w:hideMark/>
          </w:tcPr>
          <w:p w14:paraId="1A620D32" w14:textId="3A4B669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w:t>
            </w:r>
            <w:r w:rsidR="001B5E6A">
              <w:rPr>
                <w:rFonts w:eastAsia="Times New Roman"/>
                <w:color w:val="000000" w:themeColor="text1"/>
                <w:sz w:val="20"/>
                <w:szCs w:val="20"/>
                <w:lang w:eastAsia="cs-CZ"/>
              </w:rPr>
              <w:t> %</w:t>
            </w:r>
          </w:p>
        </w:tc>
        <w:tc>
          <w:tcPr>
            <w:tcW w:w="1134" w:type="dxa"/>
            <w:tcBorders>
              <w:top w:val="nil"/>
              <w:left w:val="single" w:sz="4" w:space="0" w:color="auto"/>
              <w:bottom w:val="single" w:sz="4" w:space="0" w:color="auto"/>
              <w:right w:val="nil"/>
            </w:tcBorders>
            <w:shd w:val="clear" w:color="auto" w:fill="auto"/>
            <w:noWrap/>
            <w:vAlign w:val="bottom"/>
            <w:hideMark/>
          </w:tcPr>
          <w:p w14:paraId="3EA0E5D8" w14:textId="18CDEDFD"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364,26</w:t>
            </w:r>
          </w:p>
        </w:tc>
        <w:tc>
          <w:tcPr>
            <w:tcW w:w="851" w:type="dxa"/>
            <w:tcBorders>
              <w:top w:val="nil"/>
              <w:left w:val="nil"/>
              <w:bottom w:val="single" w:sz="4" w:space="0" w:color="auto"/>
              <w:right w:val="single" w:sz="4" w:space="0" w:color="auto"/>
            </w:tcBorders>
            <w:shd w:val="clear" w:color="auto" w:fill="auto"/>
            <w:noWrap/>
            <w:vAlign w:val="center"/>
            <w:hideMark/>
          </w:tcPr>
          <w:p w14:paraId="3D9E6F87" w14:textId="3B3F12B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022962A4" w14:textId="584BD968"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125,09</w:t>
            </w:r>
          </w:p>
        </w:tc>
        <w:tc>
          <w:tcPr>
            <w:tcW w:w="992" w:type="dxa"/>
            <w:tcBorders>
              <w:top w:val="nil"/>
              <w:left w:val="nil"/>
              <w:bottom w:val="single" w:sz="4" w:space="0" w:color="auto"/>
              <w:right w:val="nil"/>
            </w:tcBorders>
            <w:shd w:val="clear" w:color="auto" w:fill="auto"/>
            <w:noWrap/>
            <w:vAlign w:val="center"/>
            <w:hideMark/>
          </w:tcPr>
          <w:p w14:paraId="08B9E3D4" w14:textId="70396D28"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+29</w:t>
            </w:r>
            <w:r w:rsidR="001B5E6A">
              <w:rPr>
                <w:rFonts w:eastAsia="Times New Roman"/>
                <w:color w:val="000000" w:themeColor="text1"/>
                <w:sz w:val="20"/>
                <w:szCs w:val="20"/>
                <w:lang w:eastAsia="cs-CZ"/>
              </w:rPr>
              <w:t> %</w:t>
            </w:r>
          </w:p>
        </w:tc>
      </w:tr>
      <w:tr w:rsidR="00003FDE" w:rsidRPr="001C3EC8" w14:paraId="5672D72B" w14:textId="77777777" w:rsidTr="000E6310">
        <w:trPr>
          <w:trHeight w:val="315"/>
        </w:trPr>
        <w:tc>
          <w:tcPr>
            <w:tcW w:w="1820" w:type="dxa"/>
            <w:tcBorders>
              <w:top w:val="nil"/>
              <w:left w:val="nil"/>
              <w:bottom w:val="single" w:sz="4" w:space="0" w:color="auto"/>
              <w:right w:val="nil"/>
            </w:tcBorders>
            <w:shd w:val="clear" w:color="auto" w:fill="auto"/>
            <w:noWrap/>
            <w:vAlign w:val="bottom"/>
            <w:hideMark/>
          </w:tcPr>
          <w:p w14:paraId="0A8CFBD1"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99" w:type="dxa"/>
            <w:tcBorders>
              <w:top w:val="nil"/>
              <w:left w:val="nil"/>
              <w:bottom w:val="single" w:sz="4" w:space="0" w:color="auto"/>
              <w:right w:val="nil"/>
            </w:tcBorders>
            <w:shd w:val="clear" w:color="auto" w:fill="auto"/>
            <w:noWrap/>
            <w:vAlign w:val="bottom"/>
            <w:hideMark/>
          </w:tcPr>
          <w:p w14:paraId="5DA544A9" w14:textId="682548E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118,21</w:t>
            </w:r>
          </w:p>
        </w:tc>
        <w:tc>
          <w:tcPr>
            <w:tcW w:w="992" w:type="dxa"/>
            <w:tcBorders>
              <w:top w:val="nil"/>
              <w:left w:val="nil"/>
              <w:bottom w:val="single" w:sz="4" w:space="0" w:color="auto"/>
              <w:right w:val="nil"/>
            </w:tcBorders>
            <w:shd w:val="clear" w:color="auto" w:fill="auto"/>
            <w:noWrap/>
            <w:vAlign w:val="bottom"/>
            <w:hideMark/>
          </w:tcPr>
          <w:p w14:paraId="2847E907" w14:textId="6965A46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377,98</w:t>
            </w:r>
          </w:p>
        </w:tc>
        <w:tc>
          <w:tcPr>
            <w:tcW w:w="992" w:type="dxa"/>
            <w:tcBorders>
              <w:top w:val="nil"/>
              <w:left w:val="nil"/>
              <w:bottom w:val="single" w:sz="4" w:space="0" w:color="auto"/>
              <w:right w:val="nil"/>
            </w:tcBorders>
            <w:shd w:val="clear" w:color="auto" w:fill="auto"/>
            <w:noWrap/>
            <w:vAlign w:val="center"/>
            <w:hideMark/>
          </w:tcPr>
          <w:p w14:paraId="69C37F04" w14:textId="15CEF604"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p>
        </w:tc>
        <w:tc>
          <w:tcPr>
            <w:tcW w:w="1134" w:type="dxa"/>
            <w:tcBorders>
              <w:top w:val="nil"/>
              <w:left w:val="single" w:sz="4" w:space="0" w:color="auto"/>
              <w:bottom w:val="single" w:sz="4" w:space="0" w:color="auto"/>
              <w:right w:val="nil"/>
            </w:tcBorders>
            <w:shd w:val="clear" w:color="auto" w:fill="auto"/>
            <w:noWrap/>
            <w:vAlign w:val="bottom"/>
            <w:hideMark/>
          </w:tcPr>
          <w:p w14:paraId="0BECB59E" w14:textId="4C321460"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377,79</w:t>
            </w:r>
          </w:p>
        </w:tc>
        <w:tc>
          <w:tcPr>
            <w:tcW w:w="851" w:type="dxa"/>
            <w:tcBorders>
              <w:top w:val="nil"/>
              <w:left w:val="nil"/>
              <w:bottom w:val="single" w:sz="4" w:space="0" w:color="auto"/>
              <w:right w:val="single" w:sz="4" w:space="0" w:color="auto"/>
            </w:tcBorders>
            <w:shd w:val="clear" w:color="auto" w:fill="auto"/>
            <w:noWrap/>
            <w:vAlign w:val="center"/>
            <w:hideMark/>
          </w:tcPr>
          <w:p w14:paraId="130016DD" w14:textId="5EC04EBE"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0579D310" w14:textId="37443B9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180,18</w:t>
            </w:r>
          </w:p>
        </w:tc>
        <w:tc>
          <w:tcPr>
            <w:tcW w:w="992" w:type="dxa"/>
            <w:tcBorders>
              <w:top w:val="nil"/>
              <w:left w:val="nil"/>
              <w:bottom w:val="single" w:sz="4" w:space="0" w:color="auto"/>
              <w:right w:val="nil"/>
            </w:tcBorders>
            <w:shd w:val="clear" w:color="auto" w:fill="auto"/>
            <w:noWrap/>
            <w:vAlign w:val="center"/>
            <w:hideMark/>
          </w:tcPr>
          <w:p w14:paraId="2DA2B7D3" w14:textId="2D1DCA61"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w:t>
            </w:r>
            <w:r w:rsidR="001B5E6A">
              <w:rPr>
                <w:rFonts w:eastAsia="Times New Roman"/>
                <w:color w:val="000000" w:themeColor="text1"/>
                <w:sz w:val="20"/>
                <w:szCs w:val="20"/>
                <w:lang w:eastAsia="cs-CZ"/>
              </w:rPr>
              <w:t> %</w:t>
            </w:r>
          </w:p>
        </w:tc>
      </w:tr>
      <w:tr w:rsidR="00003FDE" w:rsidRPr="001C3EC8" w14:paraId="55301D7F" w14:textId="77777777" w:rsidTr="000E6310">
        <w:trPr>
          <w:trHeight w:val="315"/>
        </w:trPr>
        <w:tc>
          <w:tcPr>
            <w:tcW w:w="1820" w:type="dxa"/>
            <w:tcBorders>
              <w:top w:val="nil"/>
              <w:left w:val="nil"/>
              <w:bottom w:val="single" w:sz="4" w:space="0" w:color="auto"/>
              <w:right w:val="nil"/>
            </w:tcBorders>
            <w:shd w:val="clear" w:color="auto" w:fill="auto"/>
            <w:noWrap/>
            <w:vAlign w:val="bottom"/>
            <w:hideMark/>
          </w:tcPr>
          <w:p w14:paraId="0EB56B55"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99" w:type="dxa"/>
            <w:tcBorders>
              <w:top w:val="nil"/>
              <w:left w:val="nil"/>
              <w:bottom w:val="single" w:sz="4" w:space="0" w:color="auto"/>
              <w:right w:val="nil"/>
            </w:tcBorders>
            <w:shd w:val="clear" w:color="auto" w:fill="auto"/>
            <w:noWrap/>
            <w:vAlign w:val="bottom"/>
            <w:hideMark/>
          </w:tcPr>
          <w:p w14:paraId="60E36622" w14:textId="60DDFB3A"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74,5</w:t>
            </w:r>
          </w:p>
        </w:tc>
        <w:tc>
          <w:tcPr>
            <w:tcW w:w="992" w:type="dxa"/>
            <w:tcBorders>
              <w:top w:val="nil"/>
              <w:left w:val="nil"/>
              <w:bottom w:val="single" w:sz="4" w:space="0" w:color="auto"/>
              <w:right w:val="nil"/>
            </w:tcBorders>
            <w:shd w:val="clear" w:color="auto" w:fill="auto"/>
            <w:noWrap/>
            <w:vAlign w:val="bottom"/>
            <w:hideMark/>
          </w:tcPr>
          <w:p w14:paraId="0ED2006B" w14:textId="5EACBC8D"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341,03</w:t>
            </w:r>
          </w:p>
        </w:tc>
        <w:tc>
          <w:tcPr>
            <w:tcW w:w="992" w:type="dxa"/>
            <w:tcBorders>
              <w:top w:val="nil"/>
              <w:left w:val="nil"/>
              <w:bottom w:val="single" w:sz="4" w:space="0" w:color="auto"/>
              <w:right w:val="nil"/>
            </w:tcBorders>
            <w:shd w:val="clear" w:color="auto" w:fill="auto"/>
            <w:noWrap/>
            <w:vAlign w:val="center"/>
            <w:hideMark/>
          </w:tcPr>
          <w:p w14:paraId="2966C916" w14:textId="238E153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-0</w:t>
            </w:r>
            <w:r w:rsidR="001B5E6A">
              <w:rPr>
                <w:rFonts w:eastAsia="Times New Roman"/>
                <w:color w:val="000000" w:themeColor="text1"/>
                <w:sz w:val="20"/>
                <w:szCs w:val="20"/>
                <w:lang w:eastAsia="cs-CZ"/>
              </w:rPr>
              <w:t> %</w:t>
            </w:r>
          </w:p>
        </w:tc>
        <w:tc>
          <w:tcPr>
            <w:tcW w:w="1134" w:type="dxa"/>
            <w:tcBorders>
              <w:top w:val="nil"/>
              <w:left w:val="single" w:sz="4" w:space="0" w:color="auto"/>
              <w:bottom w:val="single" w:sz="4" w:space="0" w:color="auto"/>
              <w:right w:val="nil"/>
            </w:tcBorders>
            <w:shd w:val="clear" w:color="auto" w:fill="auto"/>
            <w:noWrap/>
            <w:vAlign w:val="bottom"/>
            <w:hideMark/>
          </w:tcPr>
          <w:p w14:paraId="673D1E04" w14:textId="2300B7E2"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336,42</w:t>
            </w:r>
          </w:p>
        </w:tc>
        <w:tc>
          <w:tcPr>
            <w:tcW w:w="851" w:type="dxa"/>
            <w:tcBorders>
              <w:top w:val="nil"/>
              <w:left w:val="nil"/>
              <w:bottom w:val="single" w:sz="4" w:space="0" w:color="auto"/>
              <w:right w:val="single" w:sz="4" w:space="0" w:color="auto"/>
            </w:tcBorders>
            <w:shd w:val="clear" w:color="auto" w:fill="auto"/>
            <w:noWrap/>
            <w:vAlign w:val="center"/>
            <w:hideMark/>
          </w:tcPr>
          <w:p w14:paraId="2EB5752B" w14:textId="02C9E6A7"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w:t>
            </w:r>
            <w:r w:rsidR="001B5E6A">
              <w:rPr>
                <w:rFonts w:eastAsia="Times New Roman"/>
                <w:color w:val="000000" w:themeColor="text1"/>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025CB3D0" w14:textId="7146CF89"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114,87</w:t>
            </w:r>
          </w:p>
        </w:tc>
        <w:tc>
          <w:tcPr>
            <w:tcW w:w="992" w:type="dxa"/>
            <w:tcBorders>
              <w:top w:val="nil"/>
              <w:left w:val="nil"/>
              <w:bottom w:val="single" w:sz="4" w:space="0" w:color="auto"/>
              <w:right w:val="nil"/>
            </w:tcBorders>
            <w:shd w:val="clear" w:color="auto" w:fill="auto"/>
            <w:noWrap/>
            <w:vAlign w:val="center"/>
            <w:hideMark/>
          </w:tcPr>
          <w:p w14:paraId="396AE717" w14:textId="6BE177AA"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+9</w:t>
            </w:r>
            <w:r w:rsidR="001B5E6A">
              <w:rPr>
                <w:rFonts w:eastAsia="Times New Roman"/>
                <w:color w:val="000000" w:themeColor="text1"/>
                <w:sz w:val="20"/>
                <w:szCs w:val="20"/>
                <w:lang w:eastAsia="cs-CZ"/>
              </w:rPr>
              <w:t> %</w:t>
            </w:r>
          </w:p>
        </w:tc>
      </w:tr>
      <w:tr w:rsidR="00003FDE" w:rsidRPr="001C3EC8" w14:paraId="79FD94F4" w14:textId="77777777" w:rsidTr="000E6310">
        <w:trPr>
          <w:trHeight w:val="315"/>
        </w:trPr>
        <w:tc>
          <w:tcPr>
            <w:tcW w:w="1820" w:type="dxa"/>
            <w:tcBorders>
              <w:top w:val="nil"/>
              <w:left w:val="nil"/>
              <w:bottom w:val="single" w:sz="4" w:space="0" w:color="auto"/>
              <w:right w:val="nil"/>
            </w:tcBorders>
            <w:shd w:val="clear" w:color="auto" w:fill="auto"/>
            <w:noWrap/>
            <w:vAlign w:val="bottom"/>
            <w:hideMark/>
          </w:tcPr>
          <w:p w14:paraId="31E86E33"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99" w:type="dxa"/>
            <w:tcBorders>
              <w:top w:val="nil"/>
              <w:left w:val="nil"/>
              <w:bottom w:val="single" w:sz="4" w:space="0" w:color="auto"/>
              <w:right w:val="nil"/>
            </w:tcBorders>
            <w:shd w:val="clear" w:color="auto" w:fill="auto"/>
            <w:noWrap/>
            <w:vAlign w:val="bottom"/>
            <w:hideMark/>
          </w:tcPr>
          <w:p w14:paraId="3CD864EF" w14:textId="1976ACF7"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139,05</w:t>
            </w:r>
          </w:p>
        </w:tc>
        <w:tc>
          <w:tcPr>
            <w:tcW w:w="992" w:type="dxa"/>
            <w:tcBorders>
              <w:top w:val="nil"/>
              <w:left w:val="nil"/>
              <w:bottom w:val="single" w:sz="4" w:space="0" w:color="auto"/>
              <w:right w:val="nil"/>
            </w:tcBorders>
            <w:shd w:val="clear" w:color="auto" w:fill="auto"/>
            <w:noWrap/>
            <w:vAlign w:val="bottom"/>
            <w:hideMark/>
          </w:tcPr>
          <w:p w14:paraId="54A4E676" w14:textId="4D5A5FB5"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290,84</w:t>
            </w:r>
          </w:p>
        </w:tc>
        <w:tc>
          <w:tcPr>
            <w:tcW w:w="992" w:type="dxa"/>
            <w:tcBorders>
              <w:top w:val="nil"/>
              <w:left w:val="nil"/>
              <w:bottom w:val="single" w:sz="4" w:space="0" w:color="auto"/>
              <w:right w:val="nil"/>
            </w:tcBorders>
            <w:shd w:val="clear" w:color="auto" w:fill="auto"/>
            <w:noWrap/>
            <w:vAlign w:val="center"/>
            <w:hideMark/>
          </w:tcPr>
          <w:p w14:paraId="552A1B33" w14:textId="1CA799B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w:t>
            </w:r>
            <w:r w:rsidR="001B5E6A">
              <w:rPr>
                <w:rFonts w:eastAsia="Times New Roman"/>
                <w:color w:val="000000" w:themeColor="text1"/>
                <w:sz w:val="20"/>
                <w:szCs w:val="20"/>
                <w:lang w:eastAsia="cs-CZ"/>
              </w:rPr>
              <w:t> %</w:t>
            </w:r>
          </w:p>
        </w:tc>
        <w:tc>
          <w:tcPr>
            <w:tcW w:w="1134" w:type="dxa"/>
            <w:tcBorders>
              <w:top w:val="nil"/>
              <w:left w:val="single" w:sz="4" w:space="0" w:color="auto"/>
              <w:bottom w:val="single" w:sz="4" w:space="0" w:color="auto"/>
              <w:right w:val="nil"/>
            </w:tcBorders>
            <w:shd w:val="clear" w:color="auto" w:fill="auto"/>
            <w:noWrap/>
            <w:vAlign w:val="bottom"/>
            <w:hideMark/>
          </w:tcPr>
          <w:p w14:paraId="4B6267AA" w14:textId="3F9C438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287,41</w:t>
            </w:r>
          </w:p>
        </w:tc>
        <w:tc>
          <w:tcPr>
            <w:tcW w:w="851" w:type="dxa"/>
            <w:tcBorders>
              <w:top w:val="nil"/>
              <w:left w:val="nil"/>
              <w:bottom w:val="single" w:sz="4" w:space="0" w:color="auto"/>
              <w:right w:val="single" w:sz="4" w:space="0" w:color="auto"/>
            </w:tcBorders>
            <w:shd w:val="clear" w:color="auto" w:fill="auto"/>
            <w:noWrap/>
            <w:vAlign w:val="center"/>
            <w:hideMark/>
          </w:tcPr>
          <w:p w14:paraId="192FD36E" w14:textId="4AC947C7"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-9</w:t>
            </w:r>
            <w:r w:rsidR="001B5E6A">
              <w:rPr>
                <w:rFonts w:eastAsia="Times New Roman"/>
                <w:color w:val="000000" w:themeColor="text1"/>
                <w:sz w:val="20"/>
                <w:szCs w:val="20"/>
                <w:lang w:eastAsia="cs-CZ"/>
              </w:rPr>
              <w:t> %</w:t>
            </w:r>
          </w:p>
        </w:tc>
        <w:tc>
          <w:tcPr>
            <w:tcW w:w="992" w:type="dxa"/>
            <w:tcBorders>
              <w:top w:val="nil"/>
              <w:left w:val="nil"/>
              <w:bottom w:val="single" w:sz="4" w:space="0" w:color="auto"/>
              <w:right w:val="nil"/>
            </w:tcBorders>
            <w:shd w:val="clear" w:color="auto" w:fill="auto"/>
            <w:noWrap/>
            <w:vAlign w:val="bottom"/>
            <w:hideMark/>
          </w:tcPr>
          <w:p w14:paraId="5ACEE14D" w14:textId="27253EE2"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148,14</w:t>
            </w:r>
          </w:p>
        </w:tc>
        <w:tc>
          <w:tcPr>
            <w:tcW w:w="992" w:type="dxa"/>
            <w:tcBorders>
              <w:top w:val="nil"/>
              <w:left w:val="nil"/>
              <w:bottom w:val="single" w:sz="4" w:space="0" w:color="auto"/>
              <w:right w:val="nil"/>
            </w:tcBorders>
            <w:shd w:val="clear" w:color="auto" w:fill="auto"/>
            <w:noWrap/>
            <w:vAlign w:val="center"/>
            <w:hideMark/>
          </w:tcPr>
          <w:p w14:paraId="4DA6259B" w14:textId="1A03FFB9"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+8</w:t>
            </w:r>
            <w:r w:rsidR="001B5E6A">
              <w:rPr>
                <w:rFonts w:eastAsia="Times New Roman"/>
                <w:color w:val="000000" w:themeColor="text1"/>
                <w:sz w:val="20"/>
                <w:szCs w:val="20"/>
                <w:lang w:eastAsia="cs-CZ"/>
              </w:rPr>
              <w:t> %</w:t>
            </w:r>
          </w:p>
        </w:tc>
      </w:tr>
      <w:tr w:rsidR="00003FDE" w:rsidRPr="001C3EC8" w14:paraId="2A521D78" w14:textId="77777777" w:rsidTr="000E6310">
        <w:trPr>
          <w:trHeight w:val="330"/>
        </w:trPr>
        <w:tc>
          <w:tcPr>
            <w:tcW w:w="1820" w:type="dxa"/>
            <w:tcBorders>
              <w:top w:val="nil"/>
              <w:left w:val="nil"/>
              <w:bottom w:val="double" w:sz="6" w:space="0" w:color="auto"/>
              <w:right w:val="nil"/>
            </w:tcBorders>
            <w:shd w:val="clear" w:color="auto" w:fill="auto"/>
            <w:noWrap/>
            <w:vAlign w:val="bottom"/>
            <w:hideMark/>
          </w:tcPr>
          <w:p w14:paraId="10485931"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99" w:type="dxa"/>
            <w:tcBorders>
              <w:top w:val="nil"/>
              <w:left w:val="nil"/>
              <w:bottom w:val="double" w:sz="6" w:space="0" w:color="auto"/>
              <w:right w:val="nil"/>
            </w:tcBorders>
            <w:shd w:val="clear" w:color="auto" w:fill="auto"/>
            <w:noWrap/>
            <w:vAlign w:val="bottom"/>
            <w:hideMark/>
          </w:tcPr>
          <w:p w14:paraId="42926CB7" w14:textId="670C5B95"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144,75</w:t>
            </w:r>
          </w:p>
        </w:tc>
        <w:tc>
          <w:tcPr>
            <w:tcW w:w="992" w:type="dxa"/>
            <w:tcBorders>
              <w:top w:val="nil"/>
              <w:left w:val="nil"/>
              <w:bottom w:val="double" w:sz="6" w:space="0" w:color="auto"/>
              <w:right w:val="nil"/>
            </w:tcBorders>
            <w:shd w:val="clear" w:color="auto" w:fill="auto"/>
            <w:noWrap/>
            <w:vAlign w:val="bottom"/>
            <w:hideMark/>
          </w:tcPr>
          <w:p w14:paraId="06618000" w14:textId="2107940A"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320,70</w:t>
            </w:r>
          </w:p>
        </w:tc>
        <w:tc>
          <w:tcPr>
            <w:tcW w:w="992" w:type="dxa"/>
            <w:tcBorders>
              <w:top w:val="nil"/>
              <w:left w:val="nil"/>
              <w:bottom w:val="double" w:sz="6" w:space="0" w:color="auto"/>
              <w:right w:val="nil"/>
            </w:tcBorders>
            <w:shd w:val="clear" w:color="auto" w:fill="auto"/>
            <w:noWrap/>
            <w:vAlign w:val="center"/>
            <w:hideMark/>
          </w:tcPr>
          <w:p w14:paraId="65783978" w14:textId="1D9FF794"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w:t>
            </w:r>
            <w:r w:rsidR="001B5E6A">
              <w:rPr>
                <w:rFonts w:eastAsia="Times New Roman"/>
                <w:color w:val="000000" w:themeColor="text1"/>
                <w:sz w:val="20"/>
                <w:szCs w:val="20"/>
                <w:lang w:eastAsia="cs-CZ"/>
              </w:rPr>
              <w:t> %</w:t>
            </w:r>
          </w:p>
        </w:tc>
        <w:tc>
          <w:tcPr>
            <w:tcW w:w="1134" w:type="dxa"/>
            <w:tcBorders>
              <w:top w:val="nil"/>
              <w:left w:val="single" w:sz="4" w:space="0" w:color="auto"/>
              <w:bottom w:val="double" w:sz="6" w:space="0" w:color="auto"/>
              <w:right w:val="nil"/>
            </w:tcBorders>
            <w:shd w:val="clear" w:color="auto" w:fill="auto"/>
            <w:noWrap/>
            <w:vAlign w:val="bottom"/>
            <w:hideMark/>
          </w:tcPr>
          <w:p w14:paraId="504196A5" w14:textId="7E1F7D8C"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307,88</w:t>
            </w:r>
          </w:p>
        </w:tc>
        <w:tc>
          <w:tcPr>
            <w:tcW w:w="851" w:type="dxa"/>
            <w:tcBorders>
              <w:top w:val="nil"/>
              <w:left w:val="nil"/>
              <w:bottom w:val="double" w:sz="6" w:space="0" w:color="auto"/>
              <w:right w:val="single" w:sz="4" w:space="0" w:color="auto"/>
            </w:tcBorders>
            <w:shd w:val="clear" w:color="auto" w:fill="auto"/>
            <w:noWrap/>
            <w:vAlign w:val="center"/>
            <w:hideMark/>
          </w:tcPr>
          <w:p w14:paraId="7F3D20EA" w14:textId="4E1AEEA5"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w:t>
            </w:r>
            <w:r w:rsidR="001B5E6A">
              <w:rPr>
                <w:rFonts w:eastAsia="Times New Roman"/>
                <w:color w:val="000000" w:themeColor="text1"/>
                <w:sz w:val="20"/>
                <w:szCs w:val="20"/>
                <w:lang w:eastAsia="cs-CZ"/>
              </w:rPr>
              <w:t> %</w:t>
            </w:r>
          </w:p>
        </w:tc>
        <w:tc>
          <w:tcPr>
            <w:tcW w:w="992" w:type="dxa"/>
            <w:tcBorders>
              <w:top w:val="nil"/>
              <w:left w:val="nil"/>
              <w:bottom w:val="double" w:sz="6" w:space="0" w:color="auto"/>
              <w:right w:val="nil"/>
            </w:tcBorders>
            <w:shd w:val="clear" w:color="auto" w:fill="auto"/>
            <w:noWrap/>
            <w:vAlign w:val="bottom"/>
            <w:hideMark/>
          </w:tcPr>
          <w:p w14:paraId="67249D34" w14:textId="0A2D114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123,10</w:t>
            </w:r>
          </w:p>
        </w:tc>
        <w:tc>
          <w:tcPr>
            <w:tcW w:w="992" w:type="dxa"/>
            <w:tcBorders>
              <w:top w:val="nil"/>
              <w:left w:val="nil"/>
              <w:bottom w:val="double" w:sz="6" w:space="0" w:color="auto"/>
              <w:right w:val="nil"/>
            </w:tcBorders>
            <w:shd w:val="clear" w:color="auto" w:fill="auto"/>
            <w:noWrap/>
            <w:vAlign w:val="center"/>
            <w:hideMark/>
          </w:tcPr>
          <w:p w14:paraId="02AFB8D3" w14:textId="538F230B"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+18</w:t>
            </w:r>
            <w:r w:rsidR="001B5E6A">
              <w:rPr>
                <w:rFonts w:eastAsia="Times New Roman"/>
                <w:color w:val="000000" w:themeColor="text1"/>
                <w:sz w:val="20"/>
                <w:szCs w:val="20"/>
                <w:lang w:eastAsia="cs-CZ"/>
              </w:rPr>
              <w:t> %</w:t>
            </w:r>
          </w:p>
        </w:tc>
      </w:tr>
      <w:tr w:rsidR="00003FDE" w:rsidRPr="001C3EC8" w14:paraId="3D8327E7" w14:textId="77777777" w:rsidTr="000E6310">
        <w:trPr>
          <w:trHeight w:val="345"/>
        </w:trPr>
        <w:tc>
          <w:tcPr>
            <w:tcW w:w="1820" w:type="dxa"/>
            <w:tcBorders>
              <w:top w:val="nil"/>
              <w:left w:val="nil"/>
              <w:bottom w:val="double" w:sz="6" w:space="0" w:color="auto"/>
              <w:right w:val="nil"/>
            </w:tcBorders>
            <w:shd w:val="clear" w:color="auto" w:fill="auto"/>
            <w:noWrap/>
            <w:vAlign w:val="bottom"/>
            <w:hideMark/>
          </w:tcPr>
          <w:p w14:paraId="2B413B85" w14:textId="77777777" w:rsidR="00003FDE" w:rsidRPr="001C3EC8" w:rsidRDefault="00003FDE" w:rsidP="00003FDE">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99" w:type="dxa"/>
            <w:tcBorders>
              <w:top w:val="nil"/>
              <w:left w:val="nil"/>
              <w:bottom w:val="double" w:sz="6" w:space="0" w:color="auto"/>
              <w:right w:val="nil"/>
            </w:tcBorders>
            <w:shd w:val="clear" w:color="auto" w:fill="auto"/>
            <w:noWrap/>
            <w:vAlign w:val="bottom"/>
            <w:hideMark/>
          </w:tcPr>
          <w:p w14:paraId="00952D45" w14:textId="385450E2"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853,56</w:t>
            </w:r>
          </w:p>
        </w:tc>
        <w:tc>
          <w:tcPr>
            <w:tcW w:w="992" w:type="dxa"/>
            <w:tcBorders>
              <w:top w:val="nil"/>
              <w:left w:val="nil"/>
              <w:bottom w:val="double" w:sz="6" w:space="0" w:color="auto"/>
              <w:right w:val="nil"/>
            </w:tcBorders>
            <w:shd w:val="clear" w:color="auto" w:fill="auto"/>
            <w:noWrap/>
            <w:vAlign w:val="bottom"/>
            <w:hideMark/>
          </w:tcPr>
          <w:p w14:paraId="75F65C45" w14:textId="11C48F2D"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359,11</w:t>
            </w:r>
          </w:p>
        </w:tc>
        <w:tc>
          <w:tcPr>
            <w:tcW w:w="992" w:type="dxa"/>
            <w:tcBorders>
              <w:top w:val="nil"/>
              <w:left w:val="nil"/>
              <w:bottom w:val="double" w:sz="6" w:space="0" w:color="auto"/>
              <w:right w:val="nil"/>
            </w:tcBorders>
            <w:shd w:val="clear" w:color="auto" w:fill="auto"/>
            <w:noWrap/>
            <w:vAlign w:val="center"/>
            <w:hideMark/>
          </w:tcPr>
          <w:p w14:paraId="073EC9B8" w14:textId="7A484FA3" w:rsidR="00003FDE" w:rsidRPr="001C3EC8" w:rsidRDefault="00003FDE" w:rsidP="00003FDE">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w:t>
            </w:r>
            <w:r w:rsidR="001B5E6A">
              <w:rPr>
                <w:rFonts w:eastAsia="Times New Roman"/>
                <w:b/>
                <w:bCs/>
                <w:color w:val="000000" w:themeColor="text1"/>
                <w:sz w:val="20"/>
                <w:szCs w:val="20"/>
                <w:lang w:eastAsia="cs-CZ"/>
              </w:rPr>
              <w:t> %</w:t>
            </w:r>
          </w:p>
        </w:tc>
        <w:tc>
          <w:tcPr>
            <w:tcW w:w="1134" w:type="dxa"/>
            <w:tcBorders>
              <w:top w:val="nil"/>
              <w:left w:val="single" w:sz="4" w:space="0" w:color="auto"/>
              <w:bottom w:val="double" w:sz="6" w:space="0" w:color="auto"/>
              <w:right w:val="nil"/>
            </w:tcBorders>
            <w:shd w:val="clear" w:color="auto" w:fill="auto"/>
            <w:noWrap/>
            <w:vAlign w:val="bottom"/>
            <w:hideMark/>
          </w:tcPr>
          <w:p w14:paraId="0ECD403C" w14:textId="1828AA76"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350,23</w:t>
            </w:r>
          </w:p>
        </w:tc>
        <w:tc>
          <w:tcPr>
            <w:tcW w:w="851" w:type="dxa"/>
            <w:tcBorders>
              <w:top w:val="nil"/>
              <w:left w:val="nil"/>
              <w:bottom w:val="double" w:sz="6" w:space="0" w:color="auto"/>
              <w:right w:val="single" w:sz="4" w:space="0" w:color="auto"/>
            </w:tcBorders>
            <w:shd w:val="clear" w:color="auto" w:fill="auto"/>
            <w:noWrap/>
            <w:vAlign w:val="center"/>
            <w:hideMark/>
          </w:tcPr>
          <w:p w14:paraId="7325ED99" w14:textId="5ADD078D" w:rsidR="00003FDE" w:rsidRPr="001C3EC8" w:rsidRDefault="00003FDE" w:rsidP="00003FDE">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-5</w:t>
            </w:r>
            <w:r w:rsidR="001B5E6A">
              <w:rPr>
                <w:rFonts w:eastAsia="Times New Roman"/>
                <w:b/>
                <w:bCs/>
                <w:color w:val="000000" w:themeColor="text1"/>
                <w:sz w:val="20"/>
                <w:szCs w:val="20"/>
                <w:lang w:eastAsia="cs-CZ"/>
              </w:rPr>
              <w:t> %</w:t>
            </w:r>
          </w:p>
        </w:tc>
        <w:tc>
          <w:tcPr>
            <w:tcW w:w="992" w:type="dxa"/>
            <w:tcBorders>
              <w:top w:val="nil"/>
              <w:left w:val="nil"/>
              <w:bottom w:val="double" w:sz="6" w:space="0" w:color="auto"/>
              <w:right w:val="nil"/>
            </w:tcBorders>
            <w:shd w:val="clear" w:color="auto" w:fill="auto"/>
            <w:noWrap/>
            <w:vAlign w:val="bottom"/>
            <w:hideMark/>
          </w:tcPr>
          <w:p w14:paraId="11190271" w14:textId="4E04B446"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152,70</w:t>
            </w:r>
          </w:p>
        </w:tc>
        <w:tc>
          <w:tcPr>
            <w:tcW w:w="992" w:type="dxa"/>
            <w:tcBorders>
              <w:top w:val="nil"/>
              <w:left w:val="nil"/>
              <w:bottom w:val="double" w:sz="6" w:space="0" w:color="auto"/>
              <w:right w:val="nil"/>
            </w:tcBorders>
            <w:shd w:val="clear" w:color="auto" w:fill="auto"/>
            <w:noWrap/>
            <w:vAlign w:val="center"/>
            <w:hideMark/>
          </w:tcPr>
          <w:p w14:paraId="077F6645" w14:textId="3FDD8B4E" w:rsidR="00003FDE" w:rsidRPr="001C3EC8" w:rsidRDefault="00003FDE" w:rsidP="00003FDE">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+13</w:t>
            </w:r>
            <w:r w:rsidR="001B5E6A">
              <w:rPr>
                <w:rFonts w:eastAsia="Times New Roman"/>
                <w:b/>
                <w:bCs/>
                <w:color w:val="000000" w:themeColor="text1"/>
                <w:sz w:val="20"/>
                <w:szCs w:val="20"/>
                <w:lang w:eastAsia="cs-CZ"/>
              </w:rPr>
              <w:t> %</w:t>
            </w:r>
          </w:p>
        </w:tc>
      </w:tr>
    </w:tbl>
    <w:p w14:paraId="5CE5394D" w14:textId="77777777" w:rsidR="008430BD" w:rsidRPr="001C3EC8" w:rsidRDefault="008430BD" w:rsidP="008430BD">
      <w:pPr>
        <w:pStyle w:val="OdstavecASR"/>
        <w:rPr>
          <w:color w:val="000000" w:themeColor="text1"/>
        </w:rPr>
      </w:pPr>
    </w:p>
    <w:p w14:paraId="60D41F8E" w14:textId="0FE8252E" w:rsidR="008430BD" w:rsidRPr="001C3EC8" w:rsidRDefault="008430BD" w:rsidP="008430BD">
      <w:pPr>
        <w:pStyle w:val="OdstavecASR"/>
        <w:rPr>
          <w:color w:val="000000" w:themeColor="text1"/>
        </w:rPr>
      </w:pPr>
      <w:r w:rsidRPr="001C3EC8">
        <w:rPr>
          <w:color w:val="000000" w:themeColor="text1"/>
        </w:rPr>
        <w:t>Z tabulky je patrné, že soudy v Praze mají v přepočtu na soudce výrazně větší počet příchozích věcí než soudy v ostatních krajích. Také jich výrazně více vyřizují. Graf níže a tabulka dále ukazují, že mnoho nevyřízených věcí mají právě soudy spadající pod MS Praha. Je ale třeba poznamenat, že jimi vyřizovaná agenda je poměrně specifická a liší se od agendy ostatních krajů.</w:t>
      </w:r>
    </w:p>
    <w:p w14:paraId="57E71001" w14:textId="7BF6AC08" w:rsidR="00E4524A" w:rsidRPr="001C3EC8" w:rsidRDefault="00E4524A" w:rsidP="008430BD">
      <w:pPr>
        <w:pStyle w:val="OdstavecASR"/>
        <w:rPr>
          <w:color w:val="000000" w:themeColor="text1"/>
        </w:rPr>
      </w:pPr>
      <w:r w:rsidRPr="001C3EC8">
        <w:rPr>
          <w:color w:val="000000" w:themeColor="text1"/>
        </w:rPr>
        <w:t>To je velmi dobře vidět na vztahu mezi mediánovou délkou řízení a počtem nevyřízených věcí na soudce u OS pro Prahu 1. Tento soud vykázal v roce 2020 největší počet nevyřízených věcí na soudce, ale velmi malou mediánovou délku řízení.</w:t>
      </w:r>
    </w:p>
    <w:p w14:paraId="44CB6998" w14:textId="4E0C53F6" w:rsidR="008430BD" w:rsidRPr="001C3EC8" w:rsidRDefault="008430BD" w:rsidP="008430BD">
      <w:pPr>
        <w:pStyle w:val="OdstavecASR"/>
        <w:rPr>
          <w:color w:val="000000" w:themeColor="text1"/>
        </w:rPr>
      </w:pPr>
      <w:r w:rsidRPr="001C3EC8">
        <w:rPr>
          <w:color w:val="000000" w:themeColor="text1"/>
        </w:rPr>
        <w:t>Pokud srovnáme data s předchozím rokem</w:t>
      </w:r>
      <w:r w:rsidR="006C17E6" w:rsidRPr="001C3EC8">
        <w:rPr>
          <w:color w:val="000000" w:themeColor="text1"/>
        </w:rPr>
        <w:t>,</w:t>
      </w:r>
      <w:r w:rsidRPr="001C3EC8">
        <w:rPr>
          <w:color w:val="000000" w:themeColor="text1"/>
        </w:rPr>
        <w:t xml:space="preserve"> vidíme, že počet příchozích věcí na soudce </w:t>
      </w:r>
      <w:r w:rsidR="00E077F3" w:rsidRPr="001C3EC8">
        <w:rPr>
          <w:color w:val="000000" w:themeColor="text1"/>
        </w:rPr>
        <w:t xml:space="preserve">(na </w:t>
      </w:r>
      <w:r w:rsidR="003C0D4E" w:rsidRPr="001C3EC8">
        <w:rPr>
          <w:color w:val="000000" w:themeColor="text1"/>
        </w:rPr>
        <w:t xml:space="preserve">skutečný počet </w:t>
      </w:r>
      <w:r w:rsidR="00E077F3" w:rsidRPr="001C3EC8">
        <w:rPr>
          <w:color w:val="000000" w:themeColor="text1"/>
        </w:rPr>
        <w:t>úvaz</w:t>
      </w:r>
      <w:r w:rsidR="003C0D4E" w:rsidRPr="001C3EC8">
        <w:rPr>
          <w:color w:val="000000" w:themeColor="text1"/>
        </w:rPr>
        <w:t>ků</w:t>
      </w:r>
      <w:r w:rsidR="00E077F3" w:rsidRPr="001C3EC8">
        <w:rPr>
          <w:color w:val="000000" w:themeColor="text1"/>
        </w:rPr>
        <w:t xml:space="preserve">) </w:t>
      </w:r>
      <w:r w:rsidRPr="001C3EC8">
        <w:rPr>
          <w:color w:val="000000" w:themeColor="text1"/>
        </w:rPr>
        <w:t xml:space="preserve">zůstává v zásadě konstantní </w:t>
      </w:r>
      <w:r w:rsidR="001B5E6A" w:rsidRPr="001C3EC8">
        <w:rPr>
          <w:color w:val="000000" w:themeColor="text1"/>
        </w:rPr>
        <w:t>a</w:t>
      </w:r>
      <w:r w:rsidR="001B5E6A">
        <w:rPr>
          <w:color w:val="000000" w:themeColor="text1"/>
        </w:rPr>
        <w:t> </w:t>
      </w:r>
      <w:r w:rsidRPr="001C3EC8">
        <w:rPr>
          <w:color w:val="000000" w:themeColor="text1"/>
        </w:rPr>
        <w:t xml:space="preserve">počet vyřízených věcí na soudce poklesl. To </w:t>
      </w:r>
      <w:r w:rsidR="006C17E6" w:rsidRPr="001C3EC8">
        <w:rPr>
          <w:color w:val="000000" w:themeColor="text1"/>
        </w:rPr>
        <w:t>vyplývá ze skutečnosti</w:t>
      </w:r>
      <w:r w:rsidRPr="001C3EC8">
        <w:rPr>
          <w:color w:val="000000" w:themeColor="text1"/>
        </w:rPr>
        <w:t xml:space="preserve">, že počet příchozích </w:t>
      </w:r>
      <w:r w:rsidR="001B5E6A" w:rsidRPr="001C3EC8">
        <w:rPr>
          <w:color w:val="000000" w:themeColor="text1"/>
        </w:rPr>
        <w:t>i</w:t>
      </w:r>
      <w:r w:rsidR="001B5E6A">
        <w:rPr>
          <w:color w:val="000000" w:themeColor="text1"/>
        </w:rPr>
        <w:t> </w:t>
      </w:r>
      <w:r w:rsidRPr="001C3EC8">
        <w:rPr>
          <w:color w:val="000000" w:themeColor="text1"/>
        </w:rPr>
        <w:t xml:space="preserve">vyřízených věcí oproti předchozímu roku klesl (viz předchozí kapitola). Poklesl ale i počet skutečných úvazků z 908 na 854, tedy </w:t>
      </w:r>
      <w:r w:rsidR="001B5E6A" w:rsidRPr="001C3EC8">
        <w:rPr>
          <w:color w:val="000000" w:themeColor="text1"/>
        </w:rPr>
        <w:t>o</w:t>
      </w:r>
      <w:r w:rsidR="001B5E6A">
        <w:rPr>
          <w:color w:val="000000" w:themeColor="text1"/>
        </w:rPr>
        <w:t> </w:t>
      </w:r>
      <w:r w:rsidR="001B5E6A" w:rsidRPr="001C3EC8">
        <w:rPr>
          <w:color w:val="000000" w:themeColor="text1"/>
        </w:rPr>
        <w:t>6</w:t>
      </w:r>
      <w:r w:rsidR="001B5E6A">
        <w:rPr>
          <w:color w:val="000000" w:themeColor="text1"/>
        </w:rPr>
        <w:t> </w:t>
      </w:r>
      <w:r w:rsidRPr="001C3EC8">
        <w:rPr>
          <w:color w:val="000000" w:themeColor="text1"/>
        </w:rPr>
        <w:t xml:space="preserve">%. </w:t>
      </w:r>
      <w:r w:rsidR="00845336" w:rsidRPr="001C3EC8">
        <w:rPr>
          <w:color w:val="000000" w:themeColor="text1"/>
        </w:rPr>
        <w:t>I </w:t>
      </w:r>
      <w:r w:rsidRPr="001C3EC8">
        <w:rPr>
          <w:color w:val="000000" w:themeColor="text1"/>
        </w:rPr>
        <w:t xml:space="preserve">tento faktor mohl ovlivnit počet vyřízených věcí v roce 2020. Počet nevyřízených věcí na úvazek vzrostl, což je dáno tím, že vzrostl počet nevyřízených věcí </w:t>
      </w:r>
      <w:r w:rsidR="001B5E6A" w:rsidRPr="001C3EC8">
        <w:rPr>
          <w:color w:val="000000" w:themeColor="text1"/>
        </w:rPr>
        <w:t>a</w:t>
      </w:r>
      <w:r w:rsidR="001B5E6A">
        <w:rPr>
          <w:color w:val="000000" w:themeColor="text1"/>
        </w:rPr>
        <w:t> </w:t>
      </w:r>
      <w:r w:rsidRPr="001C3EC8">
        <w:rPr>
          <w:color w:val="000000" w:themeColor="text1"/>
        </w:rPr>
        <w:t>klesl počet soudců.</w:t>
      </w:r>
    </w:p>
    <w:p w14:paraId="4A9ED258" w14:textId="229C187E" w:rsidR="008430BD" w:rsidRPr="001C3EC8" w:rsidRDefault="008430BD" w:rsidP="008430BD">
      <w:pPr>
        <w:pStyle w:val="Podnadpis"/>
        <w:rPr>
          <w:color w:val="000000" w:themeColor="text1"/>
        </w:rPr>
      </w:pPr>
      <w:bookmarkStart w:id="119" w:name="_Toc515871336"/>
      <w:bookmarkStart w:id="120" w:name="_Toc11135072"/>
      <w:bookmarkStart w:id="121" w:name="_Toc43841391"/>
      <w:bookmarkStart w:id="122" w:name="_Toc75952192"/>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12</w:t>
      </w:r>
      <w:r w:rsidRPr="001C3EC8">
        <w:rPr>
          <w:color w:val="000000" w:themeColor="text1"/>
        </w:rPr>
        <w:fldChar w:fldCharType="end"/>
      </w:r>
      <w:r w:rsidRPr="001C3EC8">
        <w:rPr>
          <w:color w:val="000000" w:themeColor="text1"/>
        </w:rPr>
        <w:t xml:space="preserve">: OS – počet </w:t>
      </w:r>
      <w:proofErr w:type="spellStart"/>
      <w:r w:rsidRPr="001C3EC8">
        <w:rPr>
          <w:color w:val="000000" w:themeColor="text1"/>
        </w:rPr>
        <w:t>nevyříz</w:t>
      </w:r>
      <w:proofErr w:type="spellEnd"/>
      <w:r w:rsidRPr="001C3EC8">
        <w:rPr>
          <w:color w:val="000000" w:themeColor="text1"/>
        </w:rPr>
        <w:t xml:space="preserve">. civilních věcí na </w:t>
      </w:r>
      <w:r w:rsidR="003C0D4E" w:rsidRPr="001C3EC8">
        <w:rPr>
          <w:color w:val="000000" w:themeColor="text1"/>
        </w:rPr>
        <w:t xml:space="preserve">úvazek </w:t>
      </w:r>
      <w:r w:rsidRPr="001C3EC8">
        <w:rPr>
          <w:color w:val="000000" w:themeColor="text1"/>
        </w:rPr>
        <w:t>u jednotlivých soudů</w:t>
      </w:r>
      <w:bookmarkEnd w:id="119"/>
      <w:bookmarkEnd w:id="120"/>
      <w:bookmarkEnd w:id="121"/>
      <w:bookmarkEnd w:id="122"/>
    </w:p>
    <w:p w14:paraId="49F869E9" w14:textId="7DC5BA3D" w:rsidR="008430BD" w:rsidRPr="001C3EC8"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64384" behindDoc="0" locked="0" layoutInCell="1" allowOverlap="1" wp14:anchorId="7BE507FD" wp14:editId="1C70709F">
            <wp:simplePos x="0" y="0"/>
            <wp:positionH relativeFrom="margin">
              <wp:align>right</wp:align>
            </wp:positionH>
            <wp:positionV relativeFrom="paragraph">
              <wp:posOffset>52070</wp:posOffset>
            </wp:positionV>
            <wp:extent cx="1260000" cy="918000"/>
            <wp:effectExtent l="0" t="0" r="0" b="0"/>
            <wp:wrapNone/>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209D330B" wp14:editId="49BBF813">
            <wp:extent cx="5759450" cy="3296019"/>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p>
    <w:p w14:paraId="5A03F7B8" w14:textId="2397D557" w:rsidR="008430BD" w:rsidRPr="001C3EC8" w:rsidRDefault="008430BD" w:rsidP="008430BD">
      <w:pPr>
        <w:pStyle w:val="OdstavecASR"/>
        <w:rPr>
          <w:color w:val="000000" w:themeColor="text1"/>
        </w:rPr>
      </w:pPr>
      <w:r w:rsidRPr="001C3EC8">
        <w:rPr>
          <w:color w:val="000000" w:themeColor="text1"/>
        </w:rPr>
        <w:t xml:space="preserve">Zde </w:t>
      </w:r>
      <w:r w:rsidR="006C17E6" w:rsidRPr="001C3EC8">
        <w:rPr>
          <w:color w:val="000000" w:themeColor="text1"/>
        </w:rPr>
        <w:t>upozorňujeme</w:t>
      </w:r>
      <w:r w:rsidRPr="001C3EC8">
        <w:rPr>
          <w:color w:val="000000" w:themeColor="text1"/>
        </w:rPr>
        <w:t xml:space="preserve">, že intervaly v kartogramu byly změněny </w:t>
      </w:r>
      <w:r w:rsidR="006C17E6" w:rsidRPr="001C3EC8">
        <w:rPr>
          <w:color w:val="000000" w:themeColor="text1"/>
        </w:rPr>
        <w:t xml:space="preserve">s ohledem na to, že </w:t>
      </w:r>
      <w:r w:rsidRPr="001C3EC8">
        <w:rPr>
          <w:color w:val="000000" w:themeColor="text1"/>
        </w:rPr>
        <w:t>nižší počet soudců v nových datech znamená vyšší počty nevyřízených věcí na soudce.</w:t>
      </w:r>
    </w:p>
    <w:p w14:paraId="65433325" w14:textId="1945E519" w:rsidR="008430BD" w:rsidRPr="001C3EC8" w:rsidRDefault="008430BD" w:rsidP="008430BD">
      <w:pPr>
        <w:pStyle w:val="OdstavecASR"/>
        <w:rPr>
          <w:color w:val="000000" w:themeColor="text1"/>
        </w:rPr>
      </w:pPr>
      <w:r w:rsidRPr="001C3EC8">
        <w:rPr>
          <w:color w:val="000000" w:themeColor="text1"/>
        </w:rPr>
        <w:t xml:space="preserve">Největší počet nevyřízených věcí na soudce tedy mají: OS pro Prahu </w:t>
      </w:r>
      <w:r w:rsidR="001B5E6A" w:rsidRPr="001C3EC8">
        <w:rPr>
          <w:color w:val="000000" w:themeColor="text1"/>
        </w:rPr>
        <w:t>1</w:t>
      </w:r>
      <w:r w:rsidR="001B5E6A">
        <w:rPr>
          <w:color w:val="000000" w:themeColor="text1"/>
        </w:rPr>
        <w:t> </w:t>
      </w:r>
      <w:r w:rsidRPr="001C3EC8">
        <w:rPr>
          <w:color w:val="000000" w:themeColor="text1"/>
        </w:rPr>
        <w:t xml:space="preserve">(490 věcí), OS pro Prahu 7 (434 věcí) a OS Chomutov (276 věcí). Soudy s nejmenším počtem nevyřízených věcí na soudce jsou OS Mělník (58 věcí), OS Jindřichův Hradec (60 věcí) </w:t>
      </w:r>
      <w:r w:rsidR="001B5E6A" w:rsidRPr="001C3EC8">
        <w:rPr>
          <w:color w:val="000000" w:themeColor="text1"/>
        </w:rPr>
        <w:t>a</w:t>
      </w:r>
      <w:r w:rsidR="001B5E6A">
        <w:rPr>
          <w:color w:val="000000" w:themeColor="text1"/>
        </w:rPr>
        <w:t> </w:t>
      </w:r>
      <w:r w:rsidRPr="001C3EC8">
        <w:rPr>
          <w:color w:val="000000" w:themeColor="text1"/>
        </w:rPr>
        <w:t>OS Mladá Boleslav (63 věcí).</w:t>
      </w:r>
    </w:p>
    <w:p w14:paraId="400A1DDF" w14:textId="5F08A310" w:rsidR="00B07E76" w:rsidRDefault="008430BD" w:rsidP="008430BD">
      <w:pPr>
        <w:pStyle w:val="OdstavecASR"/>
        <w:rPr>
          <w:color w:val="000000" w:themeColor="text1"/>
        </w:rPr>
      </w:pPr>
      <w:r w:rsidRPr="001C3EC8">
        <w:rPr>
          <w:color w:val="000000" w:themeColor="text1"/>
        </w:rPr>
        <w:t xml:space="preserve">V tabulce 11 je vidět srovnání evidenčního počtu soudců </w:t>
      </w:r>
      <w:r w:rsidR="001B5E6A" w:rsidRPr="001C3EC8">
        <w:rPr>
          <w:color w:val="000000" w:themeColor="text1"/>
        </w:rPr>
        <w:t>a</w:t>
      </w:r>
      <w:r w:rsidR="001B5E6A">
        <w:rPr>
          <w:color w:val="000000" w:themeColor="text1"/>
        </w:rPr>
        <w:t> </w:t>
      </w:r>
      <w:r w:rsidRPr="001C3EC8">
        <w:rPr>
          <w:color w:val="000000" w:themeColor="text1"/>
        </w:rPr>
        <w:t xml:space="preserve">skutečného počtů úvazků. </w:t>
      </w:r>
      <w:r w:rsidR="006C17E6" w:rsidRPr="001C3EC8">
        <w:rPr>
          <w:color w:val="000000" w:themeColor="text1"/>
        </w:rPr>
        <w:t xml:space="preserve">S ohledem na srovnatelnost dat </w:t>
      </w:r>
      <w:r w:rsidRPr="001C3EC8">
        <w:rPr>
          <w:color w:val="000000" w:themeColor="text1"/>
        </w:rPr>
        <w:t>je připočten rovně</w:t>
      </w:r>
      <w:r w:rsidR="00DD65CC" w:rsidRPr="001C3EC8">
        <w:rPr>
          <w:color w:val="000000" w:themeColor="text1"/>
        </w:rPr>
        <w:t>ž</w:t>
      </w:r>
      <w:r w:rsidRPr="001C3EC8">
        <w:rPr>
          <w:color w:val="000000" w:themeColor="text1"/>
        </w:rPr>
        <w:t xml:space="preserve"> opatrovnický úsek (</w:t>
      </w:r>
      <w:r w:rsidR="001B5E6A" w:rsidRPr="001C3EC8">
        <w:rPr>
          <w:color w:val="000000" w:themeColor="text1"/>
        </w:rPr>
        <w:t>v</w:t>
      </w:r>
      <w:r w:rsidR="001B5E6A">
        <w:rPr>
          <w:color w:val="000000" w:themeColor="text1"/>
        </w:rPr>
        <w:t> </w:t>
      </w:r>
      <w:r w:rsidRPr="001C3EC8">
        <w:rPr>
          <w:color w:val="000000" w:themeColor="text1"/>
        </w:rPr>
        <w:t>evidenční</w:t>
      </w:r>
      <w:r w:rsidR="006C17E6" w:rsidRPr="001C3EC8">
        <w:rPr>
          <w:color w:val="000000" w:themeColor="text1"/>
        </w:rPr>
        <w:t>m</w:t>
      </w:r>
      <w:r w:rsidRPr="001C3EC8">
        <w:rPr>
          <w:color w:val="000000" w:themeColor="text1"/>
        </w:rPr>
        <w:t xml:space="preserve"> počtu soudců totiž jsou civilní </w:t>
      </w:r>
      <w:r w:rsidR="001B5E6A" w:rsidRPr="001C3EC8">
        <w:rPr>
          <w:color w:val="000000" w:themeColor="text1"/>
        </w:rPr>
        <w:t>a</w:t>
      </w:r>
      <w:r w:rsidR="001B5E6A">
        <w:rPr>
          <w:color w:val="000000" w:themeColor="text1"/>
        </w:rPr>
        <w:t> </w:t>
      </w:r>
      <w:r w:rsidRPr="001C3EC8">
        <w:rPr>
          <w:color w:val="000000" w:themeColor="text1"/>
        </w:rPr>
        <w:t>opatrovnický úsek uvedeny dohromady).</w:t>
      </w:r>
    </w:p>
    <w:p w14:paraId="797E8E16" w14:textId="1870F23F" w:rsidR="003C0D4E" w:rsidRPr="001C3EC8" w:rsidRDefault="003C0D4E">
      <w:pPr>
        <w:spacing w:after="160" w:line="259" w:lineRule="auto"/>
        <w:jc w:val="left"/>
        <w:rPr>
          <w:color w:val="000000" w:themeColor="text1"/>
        </w:rPr>
      </w:pPr>
      <w:r w:rsidRPr="001C3EC8">
        <w:rPr>
          <w:color w:val="000000" w:themeColor="text1"/>
        </w:rPr>
        <w:br w:type="page"/>
      </w:r>
    </w:p>
    <w:p w14:paraId="5A81318C" w14:textId="18CDDC6A" w:rsidR="008430BD" w:rsidRPr="001C3EC8" w:rsidRDefault="008430BD" w:rsidP="008430BD">
      <w:pPr>
        <w:pStyle w:val="Podnadpis"/>
        <w:rPr>
          <w:color w:val="000000" w:themeColor="text1"/>
        </w:rPr>
      </w:pPr>
      <w:bookmarkStart w:id="123" w:name="_Toc75952315"/>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12</w:t>
      </w:r>
      <w:r w:rsidRPr="001C3EC8">
        <w:rPr>
          <w:color w:val="000000" w:themeColor="text1"/>
        </w:rPr>
        <w:fldChar w:fldCharType="end"/>
      </w:r>
      <w:r w:rsidRPr="001C3EC8">
        <w:rPr>
          <w:color w:val="000000" w:themeColor="text1"/>
        </w:rPr>
        <w:t xml:space="preserve">: OS – srovnání evidenčního </w:t>
      </w:r>
      <w:r w:rsidR="001B5E6A" w:rsidRPr="001C3EC8">
        <w:rPr>
          <w:color w:val="000000" w:themeColor="text1"/>
        </w:rPr>
        <w:t>a</w:t>
      </w:r>
      <w:r w:rsidR="001B5E6A">
        <w:rPr>
          <w:color w:val="000000" w:themeColor="text1"/>
        </w:rPr>
        <w:t> </w:t>
      </w:r>
      <w:r w:rsidRPr="001C3EC8">
        <w:rPr>
          <w:color w:val="000000" w:themeColor="text1"/>
        </w:rPr>
        <w:t>skutečného počtu soudců</w:t>
      </w:r>
      <w:r w:rsidR="003C0D4E" w:rsidRPr="001C3EC8">
        <w:rPr>
          <w:rStyle w:val="Znakapoznpodarou"/>
          <w:color w:val="000000" w:themeColor="text1"/>
        </w:rPr>
        <w:footnoteReference w:id="5"/>
      </w:r>
      <w:bookmarkEnd w:id="123"/>
    </w:p>
    <w:tbl>
      <w:tblPr>
        <w:tblW w:w="8040" w:type="dxa"/>
        <w:tblCellMar>
          <w:left w:w="70" w:type="dxa"/>
          <w:right w:w="70" w:type="dxa"/>
        </w:tblCellMar>
        <w:tblLook w:val="04A0" w:firstRow="1" w:lastRow="0" w:firstColumn="1" w:lastColumn="0" w:noHBand="0" w:noVBand="1"/>
      </w:tblPr>
      <w:tblGrid>
        <w:gridCol w:w="2480"/>
        <w:gridCol w:w="1886"/>
        <w:gridCol w:w="1914"/>
        <w:gridCol w:w="1760"/>
      </w:tblGrid>
      <w:tr w:rsidR="008430BD" w:rsidRPr="001C3EC8" w14:paraId="40F1F00B"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956A90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800" w:type="dxa"/>
            <w:gridSpan w:val="2"/>
            <w:tcBorders>
              <w:top w:val="double" w:sz="6" w:space="0" w:color="auto"/>
              <w:left w:val="nil"/>
              <w:bottom w:val="nil"/>
              <w:right w:val="nil"/>
            </w:tcBorders>
            <w:shd w:val="clear" w:color="auto" w:fill="auto"/>
            <w:noWrap/>
            <w:vAlign w:val="center"/>
            <w:hideMark/>
          </w:tcPr>
          <w:p w14:paraId="7C9FD50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Soudci</w:t>
            </w:r>
          </w:p>
        </w:tc>
        <w:tc>
          <w:tcPr>
            <w:tcW w:w="1760" w:type="dxa"/>
            <w:vMerge w:val="restart"/>
            <w:tcBorders>
              <w:top w:val="double" w:sz="6" w:space="0" w:color="auto"/>
              <w:left w:val="nil"/>
              <w:bottom w:val="double" w:sz="6" w:space="0" w:color="000000"/>
              <w:right w:val="nil"/>
            </w:tcBorders>
            <w:shd w:val="clear" w:color="auto" w:fill="auto"/>
            <w:vAlign w:val="center"/>
            <w:hideMark/>
          </w:tcPr>
          <w:p w14:paraId="1ABC32B4" w14:textId="7DA63D2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w:t>
            </w:r>
            <w:proofErr w:type="spellStart"/>
            <w:r w:rsidRPr="001C3EC8">
              <w:rPr>
                <w:rFonts w:eastAsia="Times New Roman"/>
                <w:b/>
                <w:bCs/>
                <w:color w:val="000000" w:themeColor="text1"/>
                <w:szCs w:val="24"/>
                <w:lang w:eastAsia="cs-CZ"/>
              </w:rPr>
              <w:t>evid</w:t>
            </w:r>
            <w:proofErr w:type="spellEnd"/>
            <w:r w:rsidRPr="001C3EC8">
              <w:rPr>
                <w:rFonts w:eastAsia="Times New Roman"/>
                <w:b/>
                <w:bCs/>
                <w:color w:val="000000" w:themeColor="text1"/>
                <w:szCs w:val="24"/>
                <w:lang w:eastAsia="cs-CZ"/>
              </w:rPr>
              <w:t xml:space="preserve">. </w:t>
            </w:r>
            <w:r w:rsidR="001B5E6A" w:rsidRPr="001C3EC8">
              <w:rPr>
                <w:rFonts w:eastAsia="Times New Roman"/>
                <w:b/>
                <w:bCs/>
                <w:color w:val="000000" w:themeColor="text1"/>
                <w:szCs w:val="24"/>
                <w:lang w:eastAsia="cs-CZ"/>
              </w:rPr>
              <w:t>a</w:t>
            </w:r>
            <w:r w:rsidR="001B5E6A">
              <w:rPr>
                <w:rFonts w:eastAsia="Times New Roman"/>
                <w:b/>
                <w:bCs/>
                <w:color w:val="000000" w:themeColor="text1"/>
                <w:szCs w:val="24"/>
                <w:lang w:eastAsia="cs-CZ"/>
              </w:rPr>
              <w:t> </w:t>
            </w:r>
            <w:r w:rsidRPr="001C3EC8">
              <w:rPr>
                <w:rFonts w:eastAsia="Times New Roman"/>
                <w:b/>
                <w:bCs/>
                <w:color w:val="000000" w:themeColor="text1"/>
                <w:szCs w:val="24"/>
                <w:lang w:eastAsia="cs-CZ"/>
              </w:rPr>
              <w:t xml:space="preserve">skut. počtu soudců </w:t>
            </w:r>
            <w:r w:rsidR="00FA2F47">
              <w:rPr>
                <w:rFonts w:eastAsia="Times New Roman"/>
                <w:b/>
                <w:bCs/>
                <w:color w:val="000000" w:themeColor="text1"/>
                <w:szCs w:val="24"/>
                <w:lang w:eastAsia="cs-CZ"/>
              </w:rPr>
              <w:t>×</w:t>
            </w:r>
            <w:r w:rsidRPr="001C3EC8">
              <w:rPr>
                <w:rFonts w:eastAsia="Times New Roman"/>
                <w:b/>
                <w:bCs/>
                <w:color w:val="000000" w:themeColor="text1"/>
                <w:szCs w:val="24"/>
                <w:lang w:eastAsia="cs-CZ"/>
              </w:rPr>
              <w:t xml:space="preserve"> 100 %</w:t>
            </w:r>
          </w:p>
        </w:tc>
      </w:tr>
      <w:tr w:rsidR="008430BD" w:rsidRPr="001C3EC8" w14:paraId="0626B919" w14:textId="77777777" w:rsidTr="00E077F3">
        <w:trPr>
          <w:trHeight w:val="570"/>
        </w:trPr>
        <w:tc>
          <w:tcPr>
            <w:tcW w:w="2480" w:type="dxa"/>
            <w:vMerge/>
            <w:tcBorders>
              <w:top w:val="double" w:sz="6" w:space="0" w:color="auto"/>
              <w:left w:val="nil"/>
              <w:bottom w:val="double" w:sz="6" w:space="0" w:color="000000"/>
              <w:right w:val="nil"/>
            </w:tcBorders>
            <w:vAlign w:val="center"/>
            <w:hideMark/>
          </w:tcPr>
          <w:p w14:paraId="1C92A8DF"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86" w:type="dxa"/>
            <w:tcBorders>
              <w:top w:val="nil"/>
              <w:left w:val="nil"/>
              <w:bottom w:val="double" w:sz="6" w:space="0" w:color="auto"/>
              <w:right w:val="nil"/>
            </w:tcBorders>
            <w:shd w:val="clear" w:color="auto" w:fill="auto"/>
            <w:noWrap/>
            <w:vAlign w:val="center"/>
            <w:hideMark/>
          </w:tcPr>
          <w:p w14:paraId="4165227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 počet</w:t>
            </w:r>
          </w:p>
        </w:tc>
        <w:tc>
          <w:tcPr>
            <w:tcW w:w="1914" w:type="dxa"/>
            <w:tcBorders>
              <w:top w:val="nil"/>
              <w:left w:val="nil"/>
              <w:bottom w:val="double" w:sz="6" w:space="0" w:color="auto"/>
              <w:right w:val="nil"/>
            </w:tcBorders>
            <w:shd w:val="clear" w:color="auto" w:fill="auto"/>
            <w:noWrap/>
            <w:vAlign w:val="center"/>
            <w:hideMark/>
          </w:tcPr>
          <w:p w14:paraId="5FE72210" w14:textId="5E0EFF19" w:rsidR="008430BD" w:rsidRPr="001C3EC8" w:rsidRDefault="008430BD" w:rsidP="0084533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Skutečný počet úvazků</w:t>
            </w:r>
          </w:p>
        </w:tc>
        <w:tc>
          <w:tcPr>
            <w:tcW w:w="1760" w:type="dxa"/>
            <w:vMerge/>
            <w:tcBorders>
              <w:top w:val="double" w:sz="6" w:space="0" w:color="auto"/>
              <w:left w:val="nil"/>
              <w:bottom w:val="double" w:sz="6" w:space="0" w:color="000000"/>
              <w:right w:val="nil"/>
            </w:tcBorders>
            <w:vAlign w:val="center"/>
            <w:hideMark/>
          </w:tcPr>
          <w:p w14:paraId="4112B7EC"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47FDF7F4"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69797D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886" w:type="dxa"/>
            <w:tcBorders>
              <w:top w:val="single" w:sz="4" w:space="0" w:color="auto"/>
              <w:left w:val="nil"/>
              <w:bottom w:val="single" w:sz="4" w:space="0" w:color="auto"/>
              <w:right w:val="nil"/>
            </w:tcBorders>
            <w:shd w:val="clear" w:color="auto" w:fill="auto"/>
            <w:noWrap/>
            <w:vAlign w:val="bottom"/>
            <w:hideMark/>
          </w:tcPr>
          <w:p w14:paraId="50A845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245</w:t>
            </w:r>
          </w:p>
        </w:tc>
        <w:tc>
          <w:tcPr>
            <w:tcW w:w="1914" w:type="dxa"/>
            <w:tcBorders>
              <w:top w:val="nil"/>
              <w:left w:val="nil"/>
              <w:bottom w:val="single" w:sz="4" w:space="0" w:color="auto"/>
              <w:right w:val="nil"/>
            </w:tcBorders>
            <w:shd w:val="clear" w:color="auto" w:fill="auto"/>
            <w:noWrap/>
            <w:vAlign w:val="bottom"/>
            <w:hideMark/>
          </w:tcPr>
          <w:p w14:paraId="6289D2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200,45</w:t>
            </w:r>
          </w:p>
        </w:tc>
        <w:tc>
          <w:tcPr>
            <w:tcW w:w="1760" w:type="dxa"/>
            <w:tcBorders>
              <w:top w:val="single" w:sz="4" w:space="0" w:color="auto"/>
              <w:left w:val="nil"/>
              <w:bottom w:val="single" w:sz="4" w:space="0" w:color="auto"/>
              <w:right w:val="nil"/>
            </w:tcBorders>
            <w:shd w:val="clear" w:color="auto" w:fill="auto"/>
            <w:noWrap/>
            <w:vAlign w:val="bottom"/>
            <w:hideMark/>
          </w:tcPr>
          <w:p w14:paraId="5C4E6ED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81,82</w:t>
            </w:r>
          </w:p>
        </w:tc>
      </w:tr>
      <w:tr w:rsidR="008430BD" w:rsidRPr="001C3EC8" w14:paraId="7B05BB8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51E360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886" w:type="dxa"/>
            <w:tcBorders>
              <w:top w:val="nil"/>
              <w:left w:val="nil"/>
              <w:bottom w:val="single" w:sz="4" w:space="0" w:color="auto"/>
              <w:right w:val="nil"/>
            </w:tcBorders>
            <w:shd w:val="clear" w:color="auto" w:fill="auto"/>
            <w:noWrap/>
            <w:vAlign w:val="bottom"/>
            <w:hideMark/>
          </w:tcPr>
          <w:p w14:paraId="230BF4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165</w:t>
            </w:r>
          </w:p>
        </w:tc>
        <w:tc>
          <w:tcPr>
            <w:tcW w:w="1914" w:type="dxa"/>
            <w:tcBorders>
              <w:top w:val="nil"/>
              <w:left w:val="nil"/>
              <w:bottom w:val="single" w:sz="4" w:space="0" w:color="auto"/>
              <w:right w:val="nil"/>
            </w:tcBorders>
            <w:shd w:val="clear" w:color="auto" w:fill="auto"/>
            <w:noWrap/>
            <w:vAlign w:val="bottom"/>
            <w:hideMark/>
          </w:tcPr>
          <w:p w14:paraId="1CBA33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141,6</w:t>
            </w:r>
          </w:p>
        </w:tc>
        <w:tc>
          <w:tcPr>
            <w:tcW w:w="1760" w:type="dxa"/>
            <w:tcBorders>
              <w:top w:val="nil"/>
              <w:left w:val="nil"/>
              <w:bottom w:val="single" w:sz="4" w:space="0" w:color="auto"/>
              <w:right w:val="nil"/>
            </w:tcBorders>
            <w:shd w:val="clear" w:color="auto" w:fill="auto"/>
            <w:noWrap/>
            <w:vAlign w:val="bottom"/>
            <w:hideMark/>
          </w:tcPr>
          <w:p w14:paraId="2E512BB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85,82</w:t>
            </w:r>
          </w:p>
        </w:tc>
      </w:tr>
      <w:tr w:rsidR="008430BD" w:rsidRPr="001C3EC8" w14:paraId="1F6FDBBA"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5F90E6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886" w:type="dxa"/>
            <w:tcBorders>
              <w:top w:val="nil"/>
              <w:left w:val="nil"/>
              <w:bottom w:val="single" w:sz="4" w:space="0" w:color="auto"/>
              <w:right w:val="nil"/>
            </w:tcBorders>
            <w:shd w:val="clear" w:color="auto" w:fill="auto"/>
            <w:noWrap/>
            <w:vAlign w:val="bottom"/>
            <w:hideMark/>
          </w:tcPr>
          <w:p w14:paraId="5EAA5AC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72</w:t>
            </w:r>
          </w:p>
        </w:tc>
        <w:tc>
          <w:tcPr>
            <w:tcW w:w="1914" w:type="dxa"/>
            <w:tcBorders>
              <w:top w:val="nil"/>
              <w:left w:val="nil"/>
              <w:bottom w:val="single" w:sz="4" w:space="0" w:color="auto"/>
              <w:right w:val="nil"/>
            </w:tcBorders>
            <w:shd w:val="clear" w:color="auto" w:fill="auto"/>
            <w:noWrap/>
            <w:vAlign w:val="bottom"/>
            <w:hideMark/>
          </w:tcPr>
          <w:p w14:paraId="4868C0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66,6</w:t>
            </w:r>
          </w:p>
        </w:tc>
        <w:tc>
          <w:tcPr>
            <w:tcW w:w="1760" w:type="dxa"/>
            <w:tcBorders>
              <w:top w:val="nil"/>
              <w:left w:val="nil"/>
              <w:bottom w:val="single" w:sz="4" w:space="0" w:color="auto"/>
              <w:right w:val="nil"/>
            </w:tcBorders>
            <w:shd w:val="clear" w:color="auto" w:fill="auto"/>
            <w:noWrap/>
            <w:vAlign w:val="bottom"/>
            <w:hideMark/>
          </w:tcPr>
          <w:p w14:paraId="75AA40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92,50</w:t>
            </w:r>
          </w:p>
        </w:tc>
      </w:tr>
      <w:tr w:rsidR="008430BD" w:rsidRPr="001C3EC8" w14:paraId="1DBC8111"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14D277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886" w:type="dxa"/>
            <w:tcBorders>
              <w:top w:val="nil"/>
              <w:left w:val="nil"/>
              <w:bottom w:val="single" w:sz="4" w:space="0" w:color="auto"/>
              <w:right w:val="nil"/>
            </w:tcBorders>
            <w:shd w:val="clear" w:color="auto" w:fill="auto"/>
            <w:noWrap/>
            <w:vAlign w:val="bottom"/>
            <w:hideMark/>
          </w:tcPr>
          <w:p w14:paraId="27EEEEB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w:t>
            </w:r>
          </w:p>
        </w:tc>
        <w:tc>
          <w:tcPr>
            <w:tcW w:w="1914" w:type="dxa"/>
            <w:tcBorders>
              <w:top w:val="nil"/>
              <w:left w:val="nil"/>
              <w:bottom w:val="single" w:sz="4" w:space="0" w:color="auto"/>
              <w:right w:val="nil"/>
            </w:tcBorders>
            <w:shd w:val="clear" w:color="auto" w:fill="auto"/>
            <w:noWrap/>
            <w:vAlign w:val="bottom"/>
            <w:hideMark/>
          </w:tcPr>
          <w:p w14:paraId="1448EC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105,8</w:t>
            </w:r>
          </w:p>
        </w:tc>
        <w:tc>
          <w:tcPr>
            <w:tcW w:w="1760" w:type="dxa"/>
            <w:tcBorders>
              <w:top w:val="nil"/>
              <w:left w:val="nil"/>
              <w:bottom w:val="single" w:sz="4" w:space="0" w:color="auto"/>
              <w:right w:val="nil"/>
            </w:tcBorders>
            <w:shd w:val="clear" w:color="auto" w:fill="auto"/>
            <w:noWrap/>
            <w:vAlign w:val="bottom"/>
            <w:hideMark/>
          </w:tcPr>
          <w:p w14:paraId="4CA2D46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89,66</w:t>
            </w:r>
          </w:p>
        </w:tc>
      </w:tr>
      <w:tr w:rsidR="008430BD" w:rsidRPr="001C3EC8" w14:paraId="7E5496D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3B01B6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886" w:type="dxa"/>
            <w:tcBorders>
              <w:top w:val="nil"/>
              <w:left w:val="nil"/>
              <w:bottom w:val="single" w:sz="4" w:space="0" w:color="auto"/>
              <w:right w:val="nil"/>
            </w:tcBorders>
            <w:shd w:val="clear" w:color="auto" w:fill="auto"/>
            <w:noWrap/>
            <w:vAlign w:val="bottom"/>
            <w:hideMark/>
          </w:tcPr>
          <w:p w14:paraId="761726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193</w:t>
            </w:r>
          </w:p>
        </w:tc>
        <w:tc>
          <w:tcPr>
            <w:tcW w:w="1914" w:type="dxa"/>
            <w:tcBorders>
              <w:top w:val="nil"/>
              <w:left w:val="nil"/>
              <w:bottom w:val="single" w:sz="4" w:space="0" w:color="auto"/>
              <w:right w:val="nil"/>
            </w:tcBorders>
            <w:shd w:val="clear" w:color="auto" w:fill="auto"/>
            <w:noWrap/>
            <w:vAlign w:val="bottom"/>
            <w:hideMark/>
          </w:tcPr>
          <w:p w14:paraId="712E4E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169,33</w:t>
            </w:r>
          </w:p>
        </w:tc>
        <w:tc>
          <w:tcPr>
            <w:tcW w:w="1760" w:type="dxa"/>
            <w:tcBorders>
              <w:top w:val="nil"/>
              <w:left w:val="nil"/>
              <w:bottom w:val="single" w:sz="4" w:space="0" w:color="auto"/>
              <w:right w:val="nil"/>
            </w:tcBorders>
            <w:shd w:val="clear" w:color="auto" w:fill="auto"/>
            <w:noWrap/>
            <w:vAlign w:val="bottom"/>
            <w:hideMark/>
          </w:tcPr>
          <w:p w14:paraId="1893EF6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87,74</w:t>
            </w:r>
          </w:p>
        </w:tc>
      </w:tr>
      <w:tr w:rsidR="008430BD" w:rsidRPr="001C3EC8" w14:paraId="40F2C98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E2B8E1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886" w:type="dxa"/>
            <w:tcBorders>
              <w:top w:val="nil"/>
              <w:left w:val="nil"/>
              <w:bottom w:val="single" w:sz="4" w:space="0" w:color="auto"/>
              <w:right w:val="nil"/>
            </w:tcBorders>
            <w:shd w:val="clear" w:color="auto" w:fill="auto"/>
            <w:noWrap/>
            <w:vAlign w:val="bottom"/>
            <w:hideMark/>
          </w:tcPr>
          <w:p w14:paraId="37F62BF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127</w:t>
            </w:r>
          </w:p>
        </w:tc>
        <w:tc>
          <w:tcPr>
            <w:tcW w:w="1914" w:type="dxa"/>
            <w:tcBorders>
              <w:top w:val="nil"/>
              <w:left w:val="nil"/>
              <w:bottom w:val="single" w:sz="4" w:space="0" w:color="auto"/>
              <w:right w:val="nil"/>
            </w:tcBorders>
            <w:shd w:val="clear" w:color="auto" w:fill="auto"/>
            <w:noWrap/>
            <w:vAlign w:val="bottom"/>
            <w:hideMark/>
          </w:tcPr>
          <w:p w14:paraId="7A01A45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113,9</w:t>
            </w:r>
          </w:p>
        </w:tc>
        <w:tc>
          <w:tcPr>
            <w:tcW w:w="1760" w:type="dxa"/>
            <w:tcBorders>
              <w:top w:val="nil"/>
              <w:left w:val="nil"/>
              <w:bottom w:val="single" w:sz="4" w:space="0" w:color="auto"/>
              <w:right w:val="nil"/>
            </w:tcBorders>
            <w:shd w:val="clear" w:color="auto" w:fill="auto"/>
            <w:noWrap/>
            <w:vAlign w:val="bottom"/>
            <w:hideMark/>
          </w:tcPr>
          <w:p w14:paraId="2C0B1A0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89,69</w:t>
            </w:r>
          </w:p>
        </w:tc>
      </w:tr>
      <w:tr w:rsidR="008430BD" w:rsidRPr="001C3EC8" w14:paraId="766A647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D29F5F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886" w:type="dxa"/>
            <w:tcBorders>
              <w:top w:val="nil"/>
              <w:left w:val="nil"/>
              <w:bottom w:val="single" w:sz="4" w:space="0" w:color="auto"/>
              <w:right w:val="nil"/>
            </w:tcBorders>
            <w:shd w:val="clear" w:color="auto" w:fill="auto"/>
            <w:noWrap/>
            <w:vAlign w:val="bottom"/>
            <w:hideMark/>
          </w:tcPr>
          <w:p w14:paraId="0DCEE2B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228</w:t>
            </w:r>
          </w:p>
        </w:tc>
        <w:tc>
          <w:tcPr>
            <w:tcW w:w="1914" w:type="dxa"/>
            <w:tcBorders>
              <w:top w:val="nil"/>
              <w:left w:val="nil"/>
              <w:bottom w:val="single" w:sz="4" w:space="0" w:color="auto"/>
              <w:right w:val="nil"/>
            </w:tcBorders>
            <w:shd w:val="clear" w:color="auto" w:fill="auto"/>
            <w:noWrap/>
            <w:vAlign w:val="bottom"/>
            <w:hideMark/>
          </w:tcPr>
          <w:p w14:paraId="54DC97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199</w:t>
            </w:r>
          </w:p>
        </w:tc>
        <w:tc>
          <w:tcPr>
            <w:tcW w:w="1760" w:type="dxa"/>
            <w:tcBorders>
              <w:top w:val="nil"/>
              <w:left w:val="nil"/>
              <w:bottom w:val="single" w:sz="4" w:space="0" w:color="auto"/>
              <w:right w:val="nil"/>
            </w:tcBorders>
            <w:shd w:val="clear" w:color="auto" w:fill="auto"/>
            <w:noWrap/>
            <w:vAlign w:val="bottom"/>
            <w:hideMark/>
          </w:tcPr>
          <w:p w14:paraId="2DB43B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87,28</w:t>
            </w:r>
          </w:p>
        </w:tc>
      </w:tr>
      <w:tr w:rsidR="008430BD" w:rsidRPr="001C3EC8" w14:paraId="4E49E082"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6A9CB30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886" w:type="dxa"/>
            <w:tcBorders>
              <w:top w:val="nil"/>
              <w:left w:val="nil"/>
              <w:bottom w:val="double" w:sz="6" w:space="0" w:color="auto"/>
              <w:right w:val="nil"/>
            </w:tcBorders>
            <w:shd w:val="clear" w:color="auto" w:fill="auto"/>
            <w:noWrap/>
            <w:vAlign w:val="bottom"/>
            <w:hideMark/>
          </w:tcPr>
          <w:p w14:paraId="188DA5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239</w:t>
            </w:r>
          </w:p>
        </w:tc>
        <w:tc>
          <w:tcPr>
            <w:tcW w:w="1914" w:type="dxa"/>
            <w:tcBorders>
              <w:top w:val="nil"/>
              <w:left w:val="nil"/>
              <w:bottom w:val="double" w:sz="6" w:space="0" w:color="auto"/>
              <w:right w:val="nil"/>
            </w:tcBorders>
            <w:shd w:val="clear" w:color="auto" w:fill="auto"/>
            <w:noWrap/>
            <w:vAlign w:val="bottom"/>
            <w:hideMark/>
          </w:tcPr>
          <w:p w14:paraId="0D0F5C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213,05</w:t>
            </w:r>
          </w:p>
        </w:tc>
        <w:tc>
          <w:tcPr>
            <w:tcW w:w="1760" w:type="dxa"/>
            <w:tcBorders>
              <w:top w:val="nil"/>
              <w:left w:val="nil"/>
              <w:bottom w:val="nil"/>
              <w:right w:val="nil"/>
            </w:tcBorders>
            <w:shd w:val="clear" w:color="auto" w:fill="auto"/>
            <w:noWrap/>
            <w:vAlign w:val="bottom"/>
            <w:hideMark/>
          </w:tcPr>
          <w:p w14:paraId="21622C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89,14</w:t>
            </w:r>
          </w:p>
        </w:tc>
      </w:tr>
      <w:tr w:rsidR="008430BD" w:rsidRPr="001C3EC8" w14:paraId="6AB7D6D2"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0336BBF7"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886" w:type="dxa"/>
            <w:tcBorders>
              <w:top w:val="nil"/>
              <w:left w:val="nil"/>
              <w:bottom w:val="double" w:sz="6" w:space="0" w:color="auto"/>
              <w:right w:val="nil"/>
            </w:tcBorders>
            <w:shd w:val="clear" w:color="auto" w:fill="auto"/>
            <w:noWrap/>
            <w:vAlign w:val="bottom"/>
            <w:hideMark/>
          </w:tcPr>
          <w:p w14:paraId="65D592F3" w14:textId="6D76DEBF"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FA2F47">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387</w:t>
            </w:r>
          </w:p>
        </w:tc>
        <w:tc>
          <w:tcPr>
            <w:tcW w:w="1914" w:type="dxa"/>
            <w:tcBorders>
              <w:top w:val="nil"/>
              <w:left w:val="nil"/>
              <w:bottom w:val="double" w:sz="6" w:space="0" w:color="auto"/>
              <w:right w:val="nil"/>
            </w:tcBorders>
            <w:shd w:val="clear" w:color="auto" w:fill="auto"/>
            <w:noWrap/>
            <w:vAlign w:val="bottom"/>
            <w:hideMark/>
          </w:tcPr>
          <w:p w14:paraId="4D73522A" w14:textId="755F8B7B"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FA2F47">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209,73</w:t>
            </w:r>
          </w:p>
        </w:tc>
        <w:tc>
          <w:tcPr>
            <w:tcW w:w="1760" w:type="dxa"/>
            <w:tcBorders>
              <w:top w:val="double" w:sz="6" w:space="0" w:color="auto"/>
              <w:left w:val="nil"/>
              <w:bottom w:val="double" w:sz="6" w:space="0" w:color="auto"/>
              <w:right w:val="nil"/>
            </w:tcBorders>
            <w:shd w:val="clear" w:color="auto" w:fill="auto"/>
            <w:noWrap/>
            <w:vAlign w:val="bottom"/>
            <w:hideMark/>
          </w:tcPr>
          <w:p w14:paraId="5C23F69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87,22</w:t>
            </w:r>
          </w:p>
        </w:tc>
      </w:tr>
    </w:tbl>
    <w:p w14:paraId="29B91992" w14:textId="5461F6B0" w:rsidR="008430BD" w:rsidRPr="001C3EC8" w:rsidRDefault="008430BD" w:rsidP="008430BD">
      <w:pPr>
        <w:pStyle w:val="OdstavecASR"/>
        <w:rPr>
          <w:color w:val="000000" w:themeColor="text1"/>
        </w:rPr>
      </w:pPr>
      <w:r w:rsidRPr="001C3EC8">
        <w:rPr>
          <w:color w:val="000000" w:themeColor="text1"/>
        </w:rPr>
        <w:t>Vidíme, že skutečný počet soudců</w:t>
      </w:r>
      <w:r w:rsidR="003C0D4E" w:rsidRPr="001C3EC8">
        <w:rPr>
          <w:color w:val="000000" w:themeColor="text1"/>
        </w:rPr>
        <w:t xml:space="preserve"> (úvazků)</w:t>
      </w:r>
      <w:r w:rsidRPr="001C3EC8">
        <w:rPr>
          <w:color w:val="000000" w:themeColor="text1"/>
        </w:rPr>
        <w:t xml:space="preserve"> je asi </w:t>
      </w:r>
      <w:r w:rsidR="001B5E6A" w:rsidRPr="001C3EC8">
        <w:rPr>
          <w:color w:val="000000" w:themeColor="text1"/>
        </w:rPr>
        <w:t>o</w:t>
      </w:r>
      <w:r w:rsidR="001B5E6A">
        <w:rPr>
          <w:color w:val="000000" w:themeColor="text1"/>
        </w:rPr>
        <w:t> </w:t>
      </w:r>
      <w:r w:rsidRPr="001C3EC8">
        <w:rPr>
          <w:color w:val="000000" w:themeColor="text1"/>
        </w:rPr>
        <w:t>13</w:t>
      </w:r>
      <w:r w:rsidR="001B5E6A">
        <w:rPr>
          <w:color w:val="000000" w:themeColor="text1"/>
        </w:rPr>
        <w:t> </w:t>
      </w:r>
      <w:r w:rsidRPr="001C3EC8">
        <w:rPr>
          <w:color w:val="000000" w:themeColor="text1"/>
        </w:rPr>
        <w:t xml:space="preserve">% </w:t>
      </w:r>
      <w:proofErr w:type="gramStart"/>
      <w:r w:rsidRPr="001C3EC8">
        <w:rPr>
          <w:color w:val="000000" w:themeColor="text1"/>
        </w:rPr>
        <w:t>menší</w:t>
      </w:r>
      <w:proofErr w:type="gramEnd"/>
      <w:r w:rsidRPr="001C3EC8">
        <w:rPr>
          <w:color w:val="000000" w:themeColor="text1"/>
        </w:rPr>
        <w:t xml:space="preserve"> než počet evidenční. To je zajímavý údaj a ukazuje, že počet soudců, kteří skutečně pracují</w:t>
      </w:r>
      <w:r w:rsidR="003C0D4E" w:rsidRPr="001C3EC8">
        <w:rPr>
          <w:color w:val="000000" w:themeColor="text1"/>
        </w:rPr>
        <w:t>,</w:t>
      </w:r>
      <w:r w:rsidRPr="001C3EC8">
        <w:rPr>
          <w:color w:val="000000" w:themeColor="text1"/>
        </w:rPr>
        <w:t xml:space="preserve"> je výrazně </w:t>
      </w:r>
      <w:proofErr w:type="gramStart"/>
      <w:r w:rsidRPr="001C3EC8">
        <w:rPr>
          <w:color w:val="000000" w:themeColor="text1"/>
        </w:rPr>
        <w:t>menší</w:t>
      </w:r>
      <w:proofErr w:type="gramEnd"/>
      <w:r w:rsidRPr="001C3EC8">
        <w:rPr>
          <w:color w:val="000000" w:themeColor="text1"/>
        </w:rPr>
        <w:t xml:space="preserve"> než počet soudců v evidenci. V Praze je tento rozdíl dokonce 19</w:t>
      </w:r>
      <w:r w:rsidR="001B5E6A">
        <w:rPr>
          <w:color w:val="000000" w:themeColor="text1"/>
        </w:rPr>
        <w:t> </w:t>
      </w:r>
      <w:r w:rsidRPr="001C3EC8">
        <w:rPr>
          <w:color w:val="000000" w:themeColor="text1"/>
        </w:rPr>
        <w:t>%, v Českých Budějovicích jen 7,</w:t>
      </w:r>
      <w:r w:rsidR="001B5E6A" w:rsidRPr="001C3EC8">
        <w:rPr>
          <w:color w:val="000000" w:themeColor="text1"/>
        </w:rPr>
        <w:t>5</w:t>
      </w:r>
      <w:r w:rsidR="001B5E6A">
        <w:rPr>
          <w:color w:val="000000" w:themeColor="text1"/>
        </w:rPr>
        <w:t> </w:t>
      </w:r>
      <w:r w:rsidRPr="001C3EC8">
        <w:rPr>
          <w:color w:val="000000" w:themeColor="text1"/>
        </w:rPr>
        <w:t xml:space="preserve">%. Rozdíl je daný tím, že soudci </w:t>
      </w:r>
      <w:r w:rsidR="001B5E6A" w:rsidRPr="001C3EC8">
        <w:rPr>
          <w:color w:val="000000" w:themeColor="text1"/>
        </w:rPr>
        <w:t>a</w:t>
      </w:r>
      <w:r w:rsidR="001B5E6A">
        <w:rPr>
          <w:color w:val="000000" w:themeColor="text1"/>
        </w:rPr>
        <w:t> </w:t>
      </w:r>
      <w:r w:rsidRPr="001C3EC8">
        <w:rPr>
          <w:color w:val="000000" w:themeColor="text1"/>
        </w:rPr>
        <w:t>soudkyně jsou na mateřské/rodičovské dovolené, jsou dlouhodobě nemocní</w:t>
      </w:r>
      <w:r w:rsidR="003C0D4E" w:rsidRPr="001C3EC8">
        <w:rPr>
          <w:color w:val="000000" w:themeColor="text1"/>
        </w:rPr>
        <w:t>,</w:t>
      </w:r>
      <w:r w:rsidRPr="001C3EC8">
        <w:rPr>
          <w:color w:val="000000" w:themeColor="text1"/>
        </w:rPr>
        <w:t xml:space="preserve"> či se nachází na stáži </w:t>
      </w:r>
      <w:r w:rsidR="001B5E6A" w:rsidRPr="001C3EC8">
        <w:rPr>
          <w:color w:val="000000" w:themeColor="text1"/>
        </w:rPr>
        <w:t>u</w:t>
      </w:r>
      <w:r w:rsidR="001B5E6A">
        <w:rPr>
          <w:color w:val="000000" w:themeColor="text1"/>
        </w:rPr>
        <w:t> </w:t>
      </w:r>
      <w:r w:rsidRPr="001C3EC8">
        <w:rPr>
          <w:color w:val="000000" w:themeColor="text1"/>
        </w:rPr>
        <w:t>soudů vyšších článků soudní soustavy.</w:t>
      </w:r>
    </w:p>
    <w:p w14:paraId="3DA71C43" w14:textId="5DBEA7F2" w:rsidR="00B07E76" w:rsidRDefault="006C17E6" w:rsidP="008430BD">
      <w:pPr>
        <w:pStyle w:val="OdstavecASR"/>
        <w:rPr>
          <w:color w:val="000000" w:themeColor="text1"/>
        </w:rPr>
      </w:pPr>
      <w:r w:rsidRPr="001C3EC8">
        <w:rPr>
          <w:color w:val="000000" w:themeColor="text1"/>
        </w:rPr>
        <w:t>K</w:t>
      </w:r>
      <w:r w:rsidR="008430BD" w:rsidRPr="001C3EC8">
        <w:rPr>
          <w:color w:val="000000" w:themeColor="text1"/>
        </w:rPr>
        <w:t xml:space="preserve">romě objektivních důvodů mohou být data </w:t>
      </w:r>
      <w:r w:rsidRPr="001C3EC8">
        <w:rPr>
          <w:color w:val="000000" w:themeColor="text1"/>
        </w:rPr>
        <w:t xml:space="preserve">ohledně skutečného počtu úvazků </w:t>
      </w:r>
      <w:r w:rsidR="008430BD" w:rsidRPr="001C3EC8">
        <w:rPr>
          <w:color w:val="000000" w:themeColor="text1"/>
        </w:rPr>
        <w:t xml:space="preserve">ovlivněna </w:t>
      </w:r>
      <w:r w:rsidR="001B5E6A" w:rsidRPr="001C3EC8">
        <w:rPr>
          <w:color w:val="000000" w:themeColor="text1"/>
        </w:rPr>
        <w:t>i</w:t>
      </w:r>
      <w:r w:rsidR="001B5E6A">
        <w:rPr>
          <w:color w:val="000000" w:themeColor="text1"/>
        </w:rPr>
        <w:t> </w:t>
      </w:r>
      <w:r w:rsidR="008430BD" w:rsidRPr="001C3EC8">
        <w:rPr>
          <w:color w:val="000000" w:themeColor="text1"/>
        </w:rPr>
        <w:t>tím, jak soud datové tabulky vyplnil.</w:t>
      </w:r>
    </w:p>
    <w:p w14:paraId="2D51B202" w14:textId="5F28DCAF" w:rsidR="008430BD" w:rsidRPr="001C3EC8" w:rsidRDefault="008430BD" w:rsidP="008430BD">
      <w:pPr>
        <w:pStyle w:val="Nadpis3"/>
        <w:numPr>
          <w:ilvl w:val="2"/>
          <w:numId w:val="1"/>
        </w:numPr>
        <w:rPr>
          <w:color w:val="000000" w:themeColor="text1"/>
        </w:rPr>
      </w:pPr>
      <w:bookmarkStart w:id="124" w:name="_Toc43903027"/>
      <w:bookmarkStart w:id="125" w:name="_Toc75952060"/>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124"/>
      <w:proofErr w:type="spellEnd"/>
      <w:r w:rsidRPr="001C3EC8">
        <w:rPr>
          <w:color w:val="000000" w:themeColor="text1"/>
        </w:rPr>
        <w:t xml:space="preserve"> (dispoziční čas)</w:t>
      </w:r>
      <w:bookmarkEnd w:id="125"/>
    </w:p>
    <w:p w14:paraId="3226CDCB" w14:textId="059411E1" w:rsidR="008430BD" w:rsidRPr="001C3EC8" w:rsidRDefault="008430BD" w:rsidP="008430BD">
      <w:pPr>
        <w:pStyle w:val="OdstavecASR"/>
        <w:rPr>
          <w:color w:val="000000" w:themeColor="text1"/>
        </w:rPr>
      </w:pP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je vypočítán podle metodiky CEPEJ</w:t>
      </w:r>
      <w:r w:rsidRPr="001C3EC8">
        <w:rPr>
          <w:rStyle w:val="Znakapoznpodarou"/>
          <w:color w:val="000000" w:themeColor="text1"/>
        </w:rPr>
        <w:footnoteReference w:id="6"/>
      </w:r>
      <w:r w:rsidRPr="001C3EC8">
        <w:rPr>
          <w:color w:val="000000" w:themeColor="text1"/>
        </w:rPr>
        <w:t xml:space="preserve"> jako (počet nevyřízených věcí na konci daného období) / (počet vyřízených věcí v daném období) × 365. Tento údaj tedy v podstatě ukazuje, za kolik dní by při stejném tempu soud vyřídil všechny nevyřízené věci, které u něj dnes leží, kdyby k němu již žádné další nepřicházely. Nejedná se o délku řízení, jak by se mohlo podle názvu zdát. Délka řízení je vypočtena z jiného zdroje dat a jedná se o jiný ukazatel.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(DT) se od ní tedy může výrazně lišit. V případě DT je však spíše než absolutní hodnota důležité relativní srovnání mezi roky a soudy.</w:t>
      </w:r>
    </w:p>
    <w:p w14:paraId="027F9903" w14:textId="77777777" w:rsidR="00B07E76" w:rsidRDefault="008430BD" w:rsidP="008430BD">
      <w:pPr>
        <w:pStyle w:val="OdstavecASR"/>
        <w:rPr>
          <w:color w:val="000000" w:themeColor="text1"/>
        </w:rPr>
      </w:pPr>
      <w:r w:rsidRPr="001C3EC8">
        <w:rPr>
          <w:color w:val="000000" w:themeColor="text1"/>
        </w:rPr>
        <w:t>Účel DT je podobný jako u přepočtu věcí na jednoho soudce – tedy zohlednit velikost soudů. Mezi ukazateli je ale jeden podstatný rozdíl. Počet nevyřízených věcí na soudce se zaměřuje čistě na to, jak je daný soud zatížený, a u málo zatížených soudů tedy bude vždy vykazovat příznivé hodnoty. Na druhou stranu DT zohledňuje i počet vyřízených věcí, a může tedy teoreticky vyjít vysoký i u soudů s malým počtem nevyřízených věcí, byť tomu tak většinou není.</w:t>
      </w:r>
    </w:p>
    <w:p w14:paraId="5F4B0DC4" w14:textId="3A57BBFE" w:rsidR="008430BD" w:rsidRPr="001C3EC8" w:rsidRDefault="008430BD" w:rsidP="008430BD">
      <w:pPr>
        <w:pStyle w:val="OdstavecASR"/>
        <w:rPr>
          <w:color w:val="000000" w:themeColor="text1"/>
        </w:rPr>
      </w:pPr>
      <w:r w:rsidRPr="001C3EC8">
        <w:rPr>
          <w:color w:val="000000" w:themeColor="text1"/>
        </w:rPr>
        <w:t xml:space="preserve">Způsob interpretace dat v grafu níže je takový, že pokud v roce 2020 dosahuje DT hodnoty 159, znamená to s ohledem na definici ukazatele </w:t>
      </w:r>
      <w:r w:rsidR="001B5E6A" w:rsidRPr="001C3EC8">
        <w:rPr>
          <w:color w:val="000000" w:themeColor="text1"/>
        </w:rPr>
        <w:t>a</w:t>
      </w:r>
      <w:r w:rsidR="001B5E6A">
        <w:rPr>
          <w:color w:val="000000" w:themeColor="text1"/>
        </w:rPr>
        <w:t> </w:t>
      </w:r>
      <w:r w:rsidRPr="001C3EC8">
        <w:rPr>
          <w:color w:val="000000" w:themeColor="text1"/>
        </w:rPr>
        <w:t xml:space="preserve">konstrukci výpočetního vzorce, že </w:t>
      </w:r>
      <w:r w:rsidR="001B5E6A" w:rsidRPr="001C3EC8">
        <w:rPr>
          <w:color w:val="000000" w:themeColor="text1"/>
        </w:rPr>
        <w:t>v</w:t>
      </w:r>
      <w:r w:rsidR="001B5E6A">
        <w:rPr>
          <w:color w:val="000000" w:themeColor="text1"/>
        </w:rPr>
        <w:t> </w:t>
      </w:r>
      <w:r w:rsidRPr="001C3EC8">
        <w:rPr>
          <w:color w:val="000000" w:themeColor="text1"/>
        </w:rPr>
        <w:t>roce 2020 Česká republik</w:t>
      </w:r>
      <w:r w:rsidR="006C17E6" w:rsidRPr="001C3EC8">
        <w:rPr>
          <w:color w:val="000000" w:themeColor="text1"/>
        </w:rPr>
        <w:t>a</w:t>
      </w:r>
      <w:r w:rsidRPr="001C3EC8">
        <w:rPr>
          <w:color w:val="000000" w:themeColor="text1"/>
        </w:rPr>
        <w:t xml:space="preserve"> vykazuje 43,6 nevyřízených věcí na 100 vyřízených ([159 </w:t>
      </w:r>
      <w:r w:rsidR="001B5E6A">
        <w:rPr>
          <w:color w:val="000000" w:themeColor="text1"/>
        </w:rPr>
        <w:t>×</w:t>
      </w:r>
      <w:r w:rsidRPr="001C3EC8">
        <w:rPr>
          <w:color w:val="000000" w:themeColor="text1"/>
        </w:rPr>
        <w:t xml:space="preserve"> </w:t>
      </w:r>
      <w:proofErr w:type="gramStart"/>
      <w:r w:rsidRPr="001C3EC8">
        <w:rPr>
          <w:color w:val="000000" w:themeColor="text1"/>
        </w:rPr>
        <w:t>100]</w:t>
      </w:r>
      <w:r w:rsidR="000E6310" w:rsidRPr="001C3EC8">
        <w:rPr>
          <w:color w:val="000000" w:themeColor="text1"/>
        </w:rPr>
        <w:t>/</w:t>
      </w:r>
      <w:proofErr w:type="gramEnd"/>
      <w:r w:rsidRPr="001C3EC8">
        <w:rPr>
          <w:color w:val="000000" w:themeColor="text1"/>
        </w:rPr>
        <w:t xml:space="preserve">365). Pokud by hodnota byla vyšší než 365, soud by měl více nevyřízených než vyřízených věcí (viz například Itálie v kapitole </w:t>
      </w:r>
      <w:r w:rsidR="001B5E6A" w:rsidRPr="001C3EC8">
        <w:rPr>
          <w:color w:val="000000" w:themeColor="text1"/>
        </w:rPr>
        <w:t>o</w:t>
      </w:r>
      <w:r w:rsidR="001B5E6A">
        <w:rPr>
          <w:color w:val="000000" w:themeColor="text1"/>
        </w:rPr>
        <w:t> </w:t>
      </w:r>
      <w:r w:rsidRPr="001C3EC8">
        <w:rPr>
          <w:color w:val="000000" w:themeColor="text1"/>
        </w:rPr>
        <w:t>mezinárodním srovnání).</w:t>
      </w:r>
    </w:p>
    <w:p w14:paraId="5D5BFEEE" w14:textId="77777777" w:rsidR="008430BD" w:rsidRPr="001C3EC8" w:rsidRDefault="008430BD" w:rsidP="008430BD">
      <w:pPr>
        <w:pStyle w:val="OdstavecASR"/>
        <w:rPr>
          <w:color w:val="000000" w:themeColor="text1"/>
        </w:rPr>
      </w:pPr>
      <w:r w:rsidRPr="001C3EC8">
        <w:rPr>
          <w:color w:val="000000" w:themeColor="text1"/>
        </w:rPr>
        <w:lastRenderedPageBreak/>
        <w:t>Oba ukazatele tak mají poměrně dobrou vypovídající hodnotu o vyřizování věcí u soudů, ale každý vypovídá o jiném aspektu této otázky. Srovnání grafů 11 a 13 ukazuje, že výsledky jednotlivých soudů v obou ukazatelích se mírně liší.</w:t>
      </w:r>
    </w:p>
    <w:p w14:paraId="2D4FCB6D" w14:textId="646812EF" w:rsidR="008430BD" w:rsidRPr="001C3EC8" w:rsidRDefault="008430BD" w:rsidP="008430BD">
      <w:pPr>
        <w:pStyle w:val="Podnadpis"/>
        <w:rPr>
          <w:color w:val="000000" w:themeColor="text1"/>
        </w:rPr>
      </w:pPr>
      <w:bookmarkStart w:id="126" w:name="_Toc515871340"/>
      <w:bookmarkStart w:id="127" w:name="_Toc11135075"/>
      <w:bookmarkStart w:id="128" w:name="_Toc43841392"/>
      <w:bookmarkStart w:id="129" w:name="_Toc7595219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13</w:t>
      </w:r>
      <w:r w:rsidRPr="001C3EC8">
        <w:rPr>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civilního řízení v letech 2008–20</w:t>
      </w:r>
      <w:bookmarkEnd w:id="126"/>
      <w:bookmarkEnd w:id="127"/>
      <w:bookmarkEnd w:id="128"/>
      <w:r w:rsidRPr="001C3EC8">
        <w:rPr>
          <w:color w:val="000000" w:themeColor="text1"/>
        </w:rPr>
        <w:t>20</w:t>
      </w:r>
      <w:bookmarkEnd w:id="129"/>
    </w:p>
    <w:p w14:paraId="693BDBB4" w14:textId="77777777" w:rsidR="008430BD" w:rsidRPr="001C3EC8" w:rsidRDefault="008430BD" w:rsidP="008430BD">
      <w:pPr>
        <w:pStyle w:val="OdstavecASR"/>
        <w:rPr>
          <w:color w:val="000000" w:themeColor="text1"/>
          <w:highlight w:val="yellow"/>
        </w:rPr>
      </w:pPr>
      <w:r w:rsidRPr="001C3EC8">
        <w:rPr>
          <w:noProof/>
          <w:color w:val="000000" w:themeColor="text1"/>
          <w:lang w:eastAsia="cs-CZ"/>
        </w:rPr>
        <w:drawing>
          <wp:inline distT="0" distB="0" distL="0" distR="0" wp14:anchorId="4B28CAE4" wp14:editId="76FC6C6F">
            <wp:extent cx="5115560" cy="3743960"/>
            <wp:effectExtent l="0" t="0" r="0" b="889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386870B1" w14:textId="77777777" w:rsidR="008430BD" w:rsidRPr="001C3EC8" w:rsidRDefault="008430BD" w:rsidP="008430BD">
      <w:pPr>
        <w:rPr>
          <w:color w:val="000000" w:themeColor="text1"/>
          <w:highlight w:val="yellow"/>
        </w:rPr>
      </w:pPr>
    </w:p>
    <w:p w14:paraId="341EB5E3" w14:textId="0FF710EE" w:rsidR="008430BD" w:rsidRPr="001C3EC8" w:rsidRDefault="008430BD" w:rsidP="008430BD">
      <w:pPr>
        <w:pStyle w:val="OdstavecASR"/>
        <w:rPr>
          <w:color w:val="000000" w:themeColor="text1"/>
        </w:rPr>
      </w:pP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je samozřejmě silně ovlivněn změnami v nápadu a v počtu vyřízených věcí. Tyto změny jsou okomentovány v podkapitole 2.2.2. Celkově se dá konstatovat, že v letech 2009 až 2013 DT prudce rostl </w:t>
      </w:r>
      <w:r w:rsidR="001B5E6A" w:rsidRPr="001C3EC8">
        <w:rPr>
          <w:color w:val="000000" w:themeColor="text1"/>
        </w:rPr>
        <w:t>a</w:t>
      </w:r>
      <w:r w:rsidR="001B5E6A">
        <w:rPr>
          <w:color w:val="000000" w:themeColor="text1"/>
        </w:rPr>
        <w:t> </w:t>
      </w:r>
      <w:r w:rsidRPr="001C3EC8">
        <w:rPr>
          <w:color w:val="000000" w:themeColor="text1"/>
        </w:rPr>
        <w:t>v letech 2014 až 2019 pozvolna klesal. V roce 2020 ale do</w:t>
      </w:r>
      <w:r w:rsidR="00895695" w:rsidRPr="001C3EC8">
        <w:rPr>
          <w:color w:val="000000" w:themeColor="text1"/>
        </w:rPr>
        <w:t xml:space="preserve">šlo k prudkému nárůstu DT </w:t>
      </w:r>
      <w:r w:rsidR="001B5E6A" w:rsidRPr="001C3EC8">
        <w:rPr>
          <w:color w:val="000000" w:themeColor="text1"/>
        </w:rPr>
        <w:t>o</w:t>
      </w:r>
      <w:r w:rsidR="001B5E6A">
        <w:rPr>
          <w:color w:val="000000" w:themeColor="text1"/>
        </w:rPr>
        <w:t> </w:t>
      </w:r>
      <w:proofErr w:type="gramStart"/>
      <w:r w:rsidR="00895695" w:rsidRPr="001C3EC8">
        <w:rPr>
          <w:color w:val="000000" w:themeColor="text1"/>
        </w:rPr>
        <w:t xml:space="preserve">25 </w:t>
      </w:r>
      <w:r w:rsidRPr="001C3EC8">
        <w:rPr>
          <w:color w:val="000000" w:themeColor="text1"/>
        </w:rPr>
        <w:t>procentních</w:t>
      </w:r>
      <w:proofErr w:type="gramEnd"/>
      <w:r w:rsidRPr="001C3EC8">
        <w:rPr>
          <w:color w:val="000000" w:themeColor="text1"/>
        </w:rPr>
        <w:t xml:space="preserve"> bodů (+19 %). To plyne z toho, že klesl počet vyřízených věcí </w:t>
      </w:r>
      <w:r w:rsidR="001B5E6A" w:rsidRPr="001C3EC8">
        <w:rPr>
          <w:color w:val="000000" w:themeColor="text1"/>
        </w:rPr>
        <w:t>a</w:t>
      </w:r>
      <w:r w:rsidR="001B5E6A">
        <w:rPr>
          <w:color w:val="000000" w:themeColor="text1"/>
        </w:rPr>
        <w:t> </w:t>
      </w:r>
      <w:r w:rsidRPr="001C3EC8">
        <w:rPr>
          <w:color w:val="000000" w:themeColor="text1"/>
        </w:rPr>
        <w:t>zároveň vzrostl počet věcí nevyřízených</w:t>
      </w:r>
      <w:r w:rsidR="003E05B5" w:rsidRPr="001C3EC8">
        <w:rPr>
          <w:color w:val="000000" w:themeColor="text1"/>
        </w:rPr>
        <w:t xml:space="preserve">. </w:t>
      </w:r>
      <w:r w:rsidRPr="001C3EC8">
        <w:rPr>
          <w:color w:val="000000" w:themeColor="text1"/>
        </w:rPr>
        <w:t xml:space="preserve">Při detailnějším pohledu je důležitý pokles DT v letech 2014–2016, a to i přes klesající nápad a počet vyřízených věcí. V roce 2017 došlo k mírnému nárůstu, protože počet vyřízených věcí klesl více než počet věcí nevyřízených. V roce 2018 DT klesl, protože se mírně zvýšil počet vyřízených věcí </w:t>
      </w:r>
      <w:r w:rsidR="001B5E6A" w:rsidRPr="001C3EC8">
        <w:rPr>
          <w:color w:val="000000" w:themeColor="text1"/>
        </w:rPr>
        <w:t>a</w:t>
      </w:r>
      <w:r w:rsidR="001B5E6A">
        <w:rPr>
          <w:color w:val="000000" w:themeColor="text1"/>
        </w:rPr>
        <w:t> </w:t>
      </w:r>
      <w:r w:rsidRPr="001C3EC8">
        <w:rPr>
          <w:color w:val="000000" w:themeColor="text1"/>
        </w:rPr>
        <w:t>poněkud klesl počet věcí nevyřízených. V roce 2019 DT dále klesal, protože poměrně výrazně (</w:t>
      </w:r>
      <w:r w:rsidR="001B5E6A" w:rsidRPr="001C3EC8">
        <w:rPr>
          <w:color w:val="000000" w:themeColor="text1"/>
        </w:rPr>
        <w:t>o</w:t>
      </w:r>
      <w:r w:rsidR="001B5E6A">
        <w:rPr>
          <w:color w:val="000000" w:themeColor="text1"/>
        </w:rPr>
        <w:t> </w:t>
      </w:r>
      <w:r w:rsidR="001B5E6A" w:rsidRPr="001C3EC8">
        <w:rPr>
          <w:color w:val="000000" w:themeColor="text1"/>
        </w:rPr>
        <w:t>9</w:t>
      </w:r>
      <w:r w:rsidR="001B5E6A">
        <w:rPr>
          <w:color w:val="000000" w:themeColor="text1"/>
        </w:rPr>
        <w:t> </w:t>
      </w:r>
      <w:r w:rsidRPr="001C3EC8">
        <w:rPr>
          <w:color w:val="000000" w:themeColor="text1"/>
        </w:rPr>
        <w:t>%) klesl počet nevyřízených věcí.</w:t>
      </w:r>
    </w:p>
    <w:p w14:paraId="19349C16" w14:textId="77777777" w:rsidR="008430BD" w:rsidRPr="001C3EC8" w:rsidRDefault="008430BD" w:rsidP="008430BD">
      <w:pPr>
        <w:pStyle w:val="OdstavecASR"/>
        <w:rPr>
          <w:color w:val="000000" w:themeColor="text1"/>
        </w:rPr>
      </w:pPr>
      <w:r w:rsidRPr="001C3EC8">
        <w:rPr>
          <w:color w:val="000000" w:themeColor="text1"/>
        </w:rPr>
        <w:t>Následující tabulka a graf opět ukazují srovnání mezi kraji a jednotlivými soudy v roce 2020.</w:t>
      </w:r>
    </w:p>
    <w:p w14:paraId="1254AA92" w14:textId="77777777" w:rsidR="008430BD" w:rsidRPr="001C3EC8" w:rsidRDefault="008430BD" w:rsidP="008430BD">
      <w:pPr>
        <w:spacing w:line="240" w:lineRule="auto"/>
        <w:jc w:val="left"/>
        <w:rPr>
          <w:rFonts w:eastAsia="Times New Roman"/>
          <w:b/>
          <w:iCs/>
          <w:color w:val="000000" w:themeColor="text1"/>
          <w:spacing w:val="15"/>
          <w:szCs w:val="24"/>
        </w:rPr>
      </w:pPr>
      <w:bookmarkStart w:id="130" w:name="_Toc515871443"/>
      <w:bookmarkStart w:id="131" w:name="_Toc11133212"/>
      <w:bookmarkStart w:id="132" w:name="_Toc43931185"/>
      <w:r w:rsidRPr="001C3EC8">
        <w:rPr>
          <w:color w:val="000000" w:themeColor="text1"/>
        </w:rPr>
        <w:br w:type="page"/>
      </w:r>
    </w:p>
    <w:p w14:paraId="55206DD1" w14:textId="6AB87EBC" w:rsidR="008430BD" w:rsidRPr="001C3EC8" w:rsidRDefault="008430BD" w:rsidP="008430BD">
      <w:pPr>
        <w:pStyle w:val="Podnadpis"/>
        <w:rPr>
          <w:color w:val="000000" w:themeColor="text1"/>
        </w:rPr>
      </w:pPr>
      <w:bookmarkStart w:id="133" w:name="_Toc75952316"/>
      <w:r w:rsidRPr="001C3EC8">
        <w:rPr>
          <w:color w:val="000000" w:themeColor="text1"/>
        </w:rPr>
        <w:lastRenderedPageBreak/>
        <w:t xml:space="preserve">Tabulka </w:t>
      </w:r>
      <w:r w:rsidRPr="001C3EC8">
        <w:rPr>
          <w:color w:val="000000" w:themeColor="text1"/>
        </w:rPr>
        <w:fldChar w:fldCharType="begin"/>
      </w:r>
      <w:r w:rsidRPr="001C3EC8">
        <w:rPr>
          <w:noProof/>
          <w:color w:val="000000" w:themeColor="text1"/>
        </w:rPr>
        <w:instrText xml:space="preserve"> SEQ Tabulka \* ARABIC </w:instrText>
      </w:r>
      <w:r w:rsidRPr="001C3EC8">
        <w:rPr>
          <w:color w:val="000000" w:themeColor="text1"/>
        </w:rPr>
        <w:fldChar w:fldCharType="separate"/>
      </w:r>
      <w:r w:rsidR="009C575D">
        <w:rPr>
          <w:noProof/>
          <w:color w:val="000000" w:themeColor="text1"/>
        </w:rPr>
        <w:t>13</w:t>
      </w:r>
      <w:r w:rsidRPr="001C3EC8">
        <w:rPr>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v civilním řízení dle krajů</w:t>
      </w:r>
      <w:bookmarkEnd w:id="130"/>
      <w:bookmarkEnd w:id="131"/>
      <w:bookmarkEnd w:id="132"/>
      <w:bookmarkEnd w:id="133"/>
    </w:p>
    <w:tbl>
      <w:tblPr>
        <w:tblW w:w="5020" w:type="dxa"/>
        <w:tblCellMar>
          <w:left w:w="70" w:type="dxa"/>
          <w:right w:w="70" w:type="dxa"/>
        </w:tblCellMar>
        <w:tblLook w:val="04A0" w:firstRow="1" w:lastRow="0" w:firstColumn="1" w:lastColumn="0" w:noHBand="0" w:noVBand="1"/>
      </w:tblPr>
      <w:tblGrid>
        <w:gridCol w:w="2780"/>
        <w:gridCol w:w="883"/>
        <w:gridCol w:w="1357"/>
      </w:tblGrid>
      <w:tr w:rsidR="008430BD" w:rsidRPr="001C3EC8" w14:paraId="43E77B3D"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821CF6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240" w:type="dxa"/>
            <w:gridSpan w:val="2"/>
            <w:tcBorders>
              <w:top w:val="double" w:sz="6" w:space="0" w:color="auto"/>
              <w:left w:val="nil"/>
              <w:bottom w:val="double" w:sz="6" w:space="0" w:color="auto"/>
              <w:right w:val="nil"/>
            </w:tcBorders>
            <w:shd w:val="clear" w:color="auto" w:fill="auto"/>
            <w:noWrap/>
            <w:vAlign w:val="center"/>
            <w:hideMark/>
          </w:tcPr>
          <w:p w14:paraId="241E9283"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66551551"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226FB03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83" w:type="dxa"/>
            <w:tcBorders>
              <w:top w:val="nil"/>
              <w:left w:val="nil"/>
              <w:bottom w:val="single" w:sz="4" w:space="0" w:color="auto"/>
              <w:right w:val="nil"/>
            </w:tcBorders>
            <w:shd w:val="clear" w:color="auto" w:fill="auto"/>
            <w:noWrap/>
            <w:vAlign w:val="bottom"/>
            <w:hideMark/>
          </w:tcPr>
          <w:p w14:paraId="31C845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207</w:t>
            </w:r>
          </w:p>
        </w:tc>
        <w:tc>
          <w:tcPr>
            <w:tcW w:w="1357" w:type="dxa"/>
            <w:tcBorders>
              <w:top w:val="single" w:sz="4" w:space="0" w:color="auto"/>
              <w:left w:val="nil"/>
              <w:bottom w:val="single" w:sz="4" w:space="0" w:color="auto"/>
              <w:right w:val="nil"/>
            </w:tcBorders>
            <w:shd w:val="clear" w:color="auto" w:fill="auto"/>
            <w:noWrap/>
            <w:vAlign w:val="center"/>
            <w:hideMark/>
          </w:tcPr>
          <w:p w14:paraId="6B102B2C" w14:textId="2BB456F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r>
      <w:tr w:rsidR="008430BD" w:rsidRPr="001C3EC8" w14:paraId="426ABA4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91FB8A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83" w:type="dxa"/>
            <w:tcBorders>
              <w:top w:val="nil"/>
              <w:left w:val="nil"/>
              <w:bottom w:val="single" w:sz="4" w:space="0" w:color="auto"/>
              <w:right w:val="nil"/>
            </w:tcBorders>
            <w:shd w:val="clear" w:color="auto" w:fill="auto"/>
            <w:noWrap/>
            <w:vAlign w:val="bottom"/>
            <w:hideMark/>
          </w:tcPr>
          <w:p w14:paraId="00FB3AD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c>
          <w:tcPr>
            <w:tcW w:w="1357" w:type="dxa"/>
            <w:tcBorders>
              <w:top w:val="nil"/>
              <w:left w:val="nil"/>
              <w:bottom w:val="single" w:sz="4" w:space="0" w:color="auto"/>
              <w:right w:val="nil"/>
            </w:tcBorders>
            <w:shd w:val="clear" w:color="auto" w:fill="auto"/>
            <w:noWrap/>
            <w:vAlign w:val="center"/>
            <w:hideMark/>
          </w:tcPr>
          <w:p w14:paraId="410D9DC7" w14:textId="2D94C1D7"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r>
      <w:tr w:rsidR="008430BD" w:rsidRPr="001C3EC8" w14:paraId="6F88D8F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37A0D9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83" w:type="dxa"/>
            <w:tcBorders>
              <w:top w:val="nil"/>
              <w:left w:val="nil"/>
              <w:bottom w:val="single" w:sz="4" w:space="0" w:color="auto"/>
              <w:right w:val="nil"/>
            </w:tcBorders>
            <w:shd w:val="clear" w:color="auto" w:fill="auto"/>
            <w:noWrap/>
            <w:vAlign w:val="bottom"/>
            <w:hideMark/>
          </w:tcPr>
          <w:p w14:paraId="4C67353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w:t>
            </w:r>
          </w:p>
        </w:tc>
        <w:tc>
          <w:tcPr>
            <w:tcW w:w="1357" w:type="dxa"/>
            <w:tcBorders>
              <w:top w:val="nil"/>
              <w:left w:val="nil"/>
              <w:bottom w:val="single" w:sz="4" w:space="0" w:color="auto"/>
              <w:right w:val="nil"/>
            </w:tcBorders>
            <w:shd w:val="clear" w:color="auto" w:fill="auto"/>
            <w:noWrap/>
            <w:vAlign w:val="center"/>
            <w:hideMark/>
          </w:tcPr>
          <w:p w14:paraId="2E723C87" w14:textId="454AD80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+33 </w:t>
            </w:r>
            <w:r w:rsidR="00B07E76">
              <w:rPr>
                <w:rFonts w:eastAsia="Times New Roman"/>
                <w:color w:val="000000" w:themeColor="text1"/>
                <w:sz w:val="20"/>
                <w:szCs w:val="20"/>
                <w:lang w:eastAsia="cs-CZ"/>
              </w:rPr>
              <w:t>%</w:t>
            </w:r>
          </w:p>
        </w:tc>
      </w:tr>
      <w:tr w:rsidR="008430BD" w:rsidRPr="001C3EC8" w14:paraId="4038880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FF75D7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83" w:type="dxa"/>
            <w:tcBorders>
              <w:top w:val="nil"/>
              <w:left w:val="nil"/>
              <w:bottom w:val="single" w:sz="4" w:space="0" w:color="auto"/>
              <w:right w:val="nil"/>
            </w:tcBorders>
            <w:shd w:val="clear" w:color="auto" w:fill="auto"/>
            <w:noWrap/>
            <w:vAlign w:val="bottom"/>
            <w:hideMark/>
          </w:tcPr>
          <w:p w14:paraId="7FCA1F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w:t>
            </w:r>
          </w:p>
        </w:tc>
        <w:tc>
          <w:tcPr>
            <w:tcW w:w="1357" w:type="dxa"/>
            <w:tcBorders>
              <w:top w:val="nil"/>
              <w:left w:val="nil"/>
              <w:bottom w:val="single" w:sz="4" w:space="0" w:color="auto"/>
              <w:right w:val="nil"/>
            </w:tcBorders>
            <w:shd w:val="clear" w:color="auto" w:fill="auto"/>
            <w:noWrap/>
            <w:vAlign w:val="center"/>
            <w:hideMark/>
          </w:tcPr>
          <w:p w14:paraId="0836FA9A" w14:textId="2A0422D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+36 </w:t>
            </w:r>
            <w:r w:rsidR="00B07E76">
              <w:rPr>
                <w:rFonts w:eastAsia="Times New Roman"/>
                <w:color w:val="000000" w:themeColor="text1"/>
                <w:sz w:val="20"/>
                <w:szCs w:val="20"/>
                <w:lang w:eastAsia="cs-CZ"/>
              </w:rPr>
              <w:t>%</w:t>
            </w:r>
          </w:p>
        </w:tc>
      </w:tr>
      <w:tr w:rsidR="008430BD" w:rsidRPr="001C3EC8" w14:paraId="5600D64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3C7B3E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83" w:type="dxa"/>
            <w:tcBorders>
              <w:top w:val="nil"/>
              <w:left w:val="nil"/>
              <w:bottom w:val="single" w:sz="4" w:space="0" w:color="auto"/>
              <w:right w:val="nil"/>
            </w:tcBorders>
            <w:shd w:val="clear" w:color="auto" w:fill="auto"/>
            <w:noWrap/>
            <w:vAlign w:val="bottom"/>
            <w:hideMark/>
          </w:tcPr>
          <w:p w14:paraId="2F4DC80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174</w:t>
            </w:r>
          </w:p>
        </w:tc>
        <w:tc>
          <w:tcPr>
            <w:tcW w:w="1357" w:type="dxa"/>
            <w:tcBorders>
              <w:top w:val="nil"/>
              <w:left w:val="nil"/>
              <w:bottom w:val="single" w:sz="4" w:space="0" w:color="auto"/>
              <w:right w:val="nil"/>
            </w:tcBorders>
            <w:shd w:val="clear" w:color="auto" w:fill="auto"/>
            <w:noWrap/>
            <w:vAlign w:val="center"/>
            <w:hideMark/>
          </w:tcPr>
          <w:p w14:paraId="55FFEBAB" w14:textId="4FBDFC4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8430BD" w:rsidRPr="001C3EC8" w14:paraId="6975001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928ABB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83" w:type="dxa"/>
            <w:tcBorders>
              <w:top w:val="nil"/>
              <w:left w:val="nil"/>
              <w:bottom w:val="single" w:sz="4" w:space="0" w:color="auto"/>
              <w:right w:val="nil"/>
            </w:tcBorders>
            <w:shd w:val="clear" w:color="auto" w:fill="auto"/>
            <w:noWrap/>
            <w:vAlign w:val="bottom"/>
            <w:hideMark/>
          </w:tcPr>
          <w:p w14:paraId="284F9F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w:t>
            </w:r>
          </w:p>
        </w:tc>
        <w:tc>
          <w:tcPr>
            <w:tcW w:w="1357" w:type="dxa"/>
            <w:tcBorders>
              <w:top w:val="nil"/>
              <w:left w:val="nil"/>
              <w:bottom w:val="single" w:sz="4" w:space="0" w:color="auto"/>
              <w:right w:val="nil"/>
            </w:tcBorders>
            <w:shd w:val="clear" w:color="auto" w:fill="auto"/>
            <w:noWrap/>
            <w:vAlign w:val="center"/>
            <w:hideMark/>
          </w:tcPr>
          <w:p w14:paraId="11B8612F" w14:textId="4EC947A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4E7EB95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8927A0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83" w:type="dxa"/>
            <w:tcBorders>
              <w:top w:val="nil"/>
              <w:left w:val="nil"/>
              <w:bottom w:val="single" w:sz="4" w:space="0" w:color="auto"/>
              <w:right w:val="nil"/>
            </w:tcBorders>
            <w:shd w:val="clear" w:color="auto" w:fill="auto"/>
            <w:noWrap/>
            <w:vAlign w:val="bottom"/>
            <w:hideMark/>
          </w:tcPr>
          <w:p w14:paraId="365F62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188</w:t>
            </w:r>
          </w:p>
        </w:tc>
        <w:tc>
          <w:tcPr>
            <w:tcW w:w="1357" w:type="dxa"/>
            <w:tcBorders>
              <w:top w:val="nil"/>
              <w:left w:val="nil"/>
              <w:bottom w:val="single" w:sz="4" w:space="0" w:color="auto"/>
              <w:right w:val="nil"/>
            </w:tcBorders>
            <w:shd w:val="clear" w:color="auto" w:fill="auto"/>
            <w:noWrap/>
            <w:vAlign w:val="center"/>
            <w:hideMark/>
          </w:tcPr>
          <w:p w14:paraId="046269BA" w14:textId="339FD9A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r>
      <w:tr w:rsidR="008430BD" w:rsidRPr="001C3EC8" w14:paraId="4A097182"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6E9853D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83" w:type="dxa"/>
            <w:tcBorders>
              <w:top w:val="nil"/>
              <w:left w:val="nil"/>
              <w:bottom w:val="double" w:sz="6" w:space="0" w:color="auto"/>
              <w:right w:val="nil"/>
            </w:tcBorders>
            <w:shd w:val="clear" w:color="auto" w:fill="auto"/>
            <w:noWrap/>
            <w:vAlign w:val="bottom"/>
            <w:hideMark/>
          </w:tcPr>
          <w:p w14:paraId="64D4F26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146</w:t>
            </w:r>
          </w:p>
        </w:tc>
        <w:tc>
          <w:tcPr>
            <w:tcW w:w="1357" w:type="dxa"/>
            <w:tcBorders>
              <w:top w:val="nil"/>
              <w:left w:val="nil"/>
              <w:bottom w:val="double" w:sz="6" w:space="0" w:color="auto"/>
              <w:right w:val="nil"/>
            </w:tcBorders>
            <w:shd w:val="clear" w:color="auto" w:fill="auto"/>
            <w:noWrap/>
            <w:vAlign w:val="center"/>
            <w:hideMark/>
          </w:tcPr>
          <w:p w14:paraId="5865876E" w14:textId="188EA47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+25 </w:t>
            </w:r>
            <w:r w:rsidR="00B07E76">
              <w:rPr>
                <w:rFonts w:eastAsia="Times New Roman"/>
                <w:color w:val="000000" w:themeColor="text1"/>
                <w:sz w:val="20"/>
                <w:szCs w:val="20"/>
                <w:lang w:eastAsia="cs-CZ"/>
              </w:rPr>
              <w:t>%</w:t>
            </w:r>
          </w:p>
        </w:tc>
      </w:tr>
      <w:tr w:rsidR="008430BD" w:rsidRPr="001C3EC8" w14:paraId="562A6C59"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67546D4E"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83" w:type="dxa"/>
            <w:tcBorders>
              <w:top w:val="nil"/>
              <w:left w:val="nil"/>
              <w:bottom w:val="double" w:sz="6" w:space="0" w:color="auto"/>
              <w:right w:val="nil"/>
            </w:tcBorders>
            <w:shd w:val="clear" w:color="auto" w:fill="auto"/>
            <w:noWrap/>
            <w:vAlign w:val="bottom"/>
            <w:hideMark/>
          </w:tcPr>
          <w:p w14:paraId="2CF2247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159</w:t>
            </w:r>
          </w:p>
        </w:tc>
        <w:tc>
          <w:tcPr>
            <w:tcW w:w="1357" w:type="dxa"/>
            <w:tcBorders>
              <w:top w:val="nil"/>
              <w:left w:val="nil"/>
              <w:bottom w:val="double" w:sz="6" w:space="0" w:color="auto"/>
              <w:right w:val="nil"/>
            </w:tcBorders>
            <w:shd w:val="clear" w:color="auto" w:fill="auto"/>
            <w:noWrap/>
            <w:vAlign w:val="center"/>
            <w:hideMark/>
          </w:tcPr>
          <w:p w14:paraId="606D24D2" w14:textId="0EC7C0C4"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+19 </w:t>
            </w:r>
            <w:r w:rsidR="00B07E76">
              <w:rPr>
                <w:rFonts w:eastAsia="Times New Roman"/>
                <w:b/>
                <w:bCs/>
                <w:color w:val="000000" w:themeColor="text1"/>
                <w:sz w:val="20"/>
                <w:szCs w:val="20"/>
                <w:lang w:eastAsia="cs-CZ"/>
              </w:rPr>
              <w:t>%</w:t>
            </w:r>
          </w:p>
        </w:tc>
      </w:tr>
    </w:tbl>
    <w:p w14:paraId="348B66ED" w14:textId="77777777" w:rsidR="008430BD" w:rsidRPr="001C3EC8" w:rsidRDefault="008430BD" w:rsidP="008430BD">
      <w:pPr>
        <w:rPr>
          <w:color w:val="000000" w:themeColor="text1"/>
          <w:highlight w:val="yellow"/>
        </w:rPr>
      </w:pPr>
    </w:p>
    <w:p w14:paraId="62F86EB5" w14:textId="77777777" w:rsidR="008430BD" w:rsidRPr="001C3EC8" w:rsidRDefault="008430BD" w:rsidP="008430BD">
      <w:pPr>
        <w:pStyle w:val="OdstavecASR"/>
        <w:rPr>
          <w:color w:val="000000" w:themeColor="text1"/>
          <w:highlight w:val="yellow"/>
        </w:rPr>
      </w:pPr>
      <w:r w:rsidRPr="001C3EC8">
        <w:rPr>
          <w:color w:val="000000" w:themeColor="text1"/>
        </w:rPr>
        <w:t>Závěry jsou vcelku podobné jako u předchozích ukazatelů. DT vzrostl ve všech krajích, nejméně v Severočeském kraji, nejvíce v Západočeském kraji.</w:t>
      </w:r>
    </w:p>
    <w:p w14:paraId="6FBC0312" w14:textId="619889DE" w:rsidR="008430BD" w:rsidRPr="001C3EC8" w:rsidRDefault="008430BD" w:rsidP="008430BD">
      <w:pPr>
        <w:pStyle w:val="Podnadpis"/>
        <w:rPr>
          <w:color w:val="000000" w:themeColor="text1"/>
        </w:rPr>
      </w:pPr>
      <w:bookmarkStart w:id="134" w:name="_Toc515871341"/>
      <w:bookmarkStart w:id="135" w:name="_Toc11135076"/>
      <w:bookmarkStart w:id="136" w:name="_Toc43841393"/>
      <w:bookmarkStart w:id="137" w:name="_Toc7595219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14</w:t>
      </w:r>
      <w:r w:rsidRPr="001C3EC8">
        <w:rPr>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civilního řízení u jednotlivých soudů</w:t>
      </w:r>
      <w:bookmarkEnd w:id="134"/>
      <w:bookmarkEnd w:id="135"/>
      <w:bookmarkEnd w:id="136"/>
      <w:bookmarkEnd w:id="137"/>
    </w:p>
    <w:p w14:paraId="1ACECA45" w14:textId="77777777" w:rsidR="008430BD" w:rsidRPr="001C3EC8" w:rsidRDefault="008430BD" w:rsidP="008430BD">
      <w:pPr>
        <w:rPr>
          <w:color w:val="000000" w:themeColor="text1"/>
          <w:highlight w:val="yellow"/>
        </w:rPr>
      </w:pPr>
      <w:r w:rsidRPr="001C3EC8">
        <w:rPr>
          <w:noProof/>
          <w:color w:val="000000" w:themeColor="text1"/>
          <w:lang w:eastAsia="cs-CZ"/>
        </w:rPr>
        <w:drawing>
          <wp:anchor distT="0" distB="0" distL="114300" distR="114300" simplePos="0" relativeHeight="251665408" behindDoc="0" locked="0" layoutInCell="1" allowOverlap="1" wp14:anchorId="4CD8D5D6" wp14:editId="359041CB">
            <wp:simplePos x="0" y="0"/>
            <wp:positionH relativeFrom="margin">
              <wp:align>right</wp:align>
            </wp:positionH>
            <wp:positionV relativeFrom="paragraph">
              <wp:posOffset>6985</wp:posOffset>
            </wp:positionV>
            <wp:extent cx="1260000" cy="918000"/>
            <wp:effectExtent l="0" t="0" r="0" b="0"/>
            <wp:wrapNone/>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highlight w:val="yellow"/>
          <w:lang w:eastAsia="cs-CZ"/>
        </w:rPr>
        <w:drawing>
          <wp:inline distT="0" distB="0" distL="0" distR="0" wp14:anchorId="7A38D46C" wp14:editId="713A1E9B">
            <wp:extent cx="5759450" cy="3296019"/>
            <wp:effectExtent l="0" t="0" r="0"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p>
    <w:p w14:paraId="0A326EF2" w14:textId="456D8F70" w:rsidR="008430BD" w:rsidRPr="001C3EC8" w:rsidRDefault="008430BD" w:rsidP="008430BD">
      <w:pPr>
        <w:pStyle w:val="Podnadpis"/>
        <w:rPr>
          <w:color w:val="000000" w:themeColor="text1"/>
        </w:rPr>
      </w:pPr>
      <w:bookmarkStart w:id="138" w:name="_Toc43841394"/>
      <w:bookmarkStart w:id="139" w:name="_Toc75952195"/>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15</w:t>
      </w:r>
      <w:r w:rsidRPr="001C3EC8">
        <w:rPr>
          <w:color w:val="000000" w:themeColor="text1"/>
        </w:rPr>
        <w:fldChar w:fldCharType="end"/>
      </w:r>
      <w:r w:rsidRPr="001C3EC8">
        <w:rPr>
          <w:color w:val="000000" w:themeColor="text1"/>
        </w:rPr>
        <w:t>: OS – krabicové grafy, DT civilního řízení</w:t>
      </w:r>
      <w:bookmarkEnd w:id="138"/>
      <w:bookmarkEnd w:id="139"/>
    </w:p>
    <w:p w14:paraId="4BD6DE07"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5DB50563" wp14:editId="049C8228">
            <wp:extent cx="5115560" cy="3743960"/>
            <wp:effectExtent l="0" t="0" r="0" b="889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D10A184" w14:textId="3D8E9578" w:rsidR="008430BD" w:rsidRPr="001C3EC8" w:rsidRDefault="008430BD" w:rsidP="008430BD">
      <w:pPr>
        <w:rPr>
          <w:color w:val="000000" w:themeColor="text1"/>
        </w:rPr>
      </w:pPr>
      <w:r w:rsidRPr="001C3EC8">
        <w:rPr>
          <w:color w:val="000000" w:themeColor="text1"/>
        </w:rPr>
        <w:t xml:space="preserve">Graf ukazuje to, co už víme </w:t>
      </w:r>
      <w:r w:rsidR="001B5E6A" w:rsidRPr="001C3EC8">
        <w:rPr>
          <w:color w:val="000000" w:themeColor="text1"/>
        </w:rPr>
        <w:t>z</w:t>
      </w:r>
      <w:r w:rsidR="001B5E6A">
        <w:rPr>
          <w:color w:val="000000" w:themeColor="text1"/>
        </w:rPr>
        <w:t> </w:t>
      </w:r>
      <w:r w:rsidRPr="001C3EC8">
        <w:rPr>
          <w:color w:val="000000" w:themeColor="text1"/>
        </w:rPr>
        <w:t>předchozích dat – situace se celkově zhoršila, protože DT vzrostl. Nicméně variabilita mezi soudy se nezvýšila, neboť ke zhoršení došlo v rámci celé ČR. Dobrá zpráva je alespoň to, že jeden odlehlý bod (OS pro Prahu 7) se v porovnání s rokem 2019 výrazně přiblížil k</w:t>
      </w:r>
      <w:r w:rsidR="00023512" w:rsidRPr="001C3EC8">
        <w:rPr>
          <w:color w:val="000000" w:themeColor="text1"/>
        </w:rPr>
        <w:t> </w:t>
      </w:r>
      <w:r w:rsidRPr="001C3EC8">
        <w:rPr>
          <w:color w:val="000000" w:themeColor="text1"/>
        </w:rPr>
        <w:t>boxu</w:t>
      </w:r>
      <w:r w:rsidR="00023512" w:rsidRPr="001C3EC8">
        <w:rPr>
          <w:color w:val="000000" w:themeColor="text1"/>
        </w:rPr>
        <w:t>.</w:t>
      </w:r>
    </w:p>
    <w:p w14:paraId="30925F4E" w14:textId="2A00890C" w:rsidR="00B07E76" w:rsidRDefault="008430BD" w:rsidP="008430BD">
      <w:pPr>
        <w:pStyle w:val="OdstavecASR"/>
        <w:rPr>
          <w:color w:val="000000" w:themeColor="text1"/>
        </w:rPr>
      </w:pPr>
      <w:r w:rsidRPr="001C3EC8">
        <w:rPr>
          <w:color w:val="000000" w:themeColor="text1"/>
        </w:rPr>
        <w:t>Na základě přechozích ukazatelů můžeme shrnout, že celkově se situace v civilním řízení u okresních soudů za několik let (2014 až 2019) výrazně zlepšila – výrazně klesl počet nevyřízených věcí i délky řízení. To bylo dáno především zmenšováním rozdílů mezi soudy, tj. zlepšováním situace u nejpomalejších a nejzatíženější</w:t>
      </w:r>
      <w:r w:rsidR="00E40645" w:rsidRPr="001C3EC8">
        <w:rPr>
          <w:color w:val="000000" w:themeColor="text1"/>
        </w:rPr>
        <w:t>ch</w:t>
      </w:r>
      <w:r w:rsidRPr="001C3EC8">
        <w:rPr>
          <w:color w:val="000000" w:themeColor="text1"/>
        </w:rPr>
        <w:t xml:space="preserve"> soudů. Zlepšování situace ale postupně sláblo. V roce 2020 došlo ke zhoršení</w:t>
      </w:r>
      <w:r w:rsidR="006C17E6" w:rsidRPr="001C3EC8">
        <w:rPr>
          <w:color w:val="000000" w:themeColor="text1"/>
        </w:rPr>
        <w:t xml:space="preserve">, </w:t>
      </w:r>
      <w:r w:rsidRPr="001C3EC8">
        <w:rPr>
          <w:color w:val="000000" w:themeColor="text1"/>
        </w:rPr>
        <w:t xml:space="preserve">nijak závratnému, ale rozhodně ke statisticky zachytitelnému. Ke zhoršení došlo ve všech krajích. Nelze </w:t>
      </w:r>
      <w:r w:rsidR="006C17E6" w:rsidRPr="001C3EC8">
        <w:rPr>
          <w:color w:val="000000" w:themeColor="text1"/>
        </w:rPr>
        <w:t xml:space="preserve">činit </w:t>
      </w:r>
      <w:r w:rsidRPr="001C3EC8">
        <w:rPr>
          <w:color w:val="000000" w:themeColor="text1"/>
        </w:rPr>
        <w:t xml:space="preserve">zcela </w:t>
      </w:r>
      <w:r w:rsidR="006C17E6" w:rsidRPr="001C3EC8">
        <w:rPr>
          <w:color w:val="000000" w:themeColor="text1"/>
        </w:rPr>
        <w:t xml:space="preserve">kategorické </w:t>
      </w:r>
      <w:r w:rsidRPr="001C3EC8">
        <w:rPr>
          <w:color w:val="000000" w:themeColor="text1"/>
        </w:rPr>
        <w:t xml:space="preserve">závěry, ale za zhoršení je zřejmě zodpovědná pandemie onemocnění </w:t>
      </w:r>
      <w:r w:rsidR="000C3B1E">
        <w:rPr>
          <w:color w:val="000000" w:themeColor="text1"/>
        </w:rPr>
        <w:t>COVID</w:t>
      </w:r>
      <w:r w:rsidR="000C3B1E">
        <w:rPr>
          <w:color w:val="000000" w:themeColor="text1"/>
        </w:rPr>
        <w:noBreakHyphen/>
        <w:t>19</w:t>
      </w:r>
      <w:r w:rsidRPr="001C3EC8">
        <w:rPr>
          <w:color w:val="000000" w:themeColor="text1"/>
        </w:rPr>
        <w:t xml:space="preserve"> </w:t>
      </w:r>
      <w:r w:rsidR="001B5E6A" w:rsidRPr="001C3EC8">
        <w:rPr>
          <w:color w:val="000000" w:themeColor="text1"/>
        </w:rPr>
        <w:t>a</w:t>
      </w:r>
      <w:r w:rsidR="001B5E6A">
        <w:rPr>
          <w:color w:val="000000" w:themeColor="text1"/>
        </w:rPr>
        <w:t> </w:t>
      </w:r>
      <w:r w:rsidRPr="001C3EC8">
        <w:rPr>
          <w:color w:val="000000" w:themeColor="text1"/>
        </w:rPr>
        <w:t>s </w:t>
      </w:r>
      <w:r w:rsidR="00023512" w:rsidRPr="001C3EC8">
        <w:rPr>
          <w:color w:val="000000" w:themeColor="text1"/>
        </w:rPr>
        <w:t>t</w:t>
      </w:r>
      <w:r w:rsidRPr="001C3EC8">
        <w:rPr>
          <w:color w:val="000000" w:themeColor="text1"/>
        </w:rPr>
        <w:t>ím související vládní restrikce.</w:t>
      </w:r>
    </w:p>
    <w:p w14:paraId="7025C4FC" w14:textId="741DA6BC" w:rsidR="008430BD" w:rsidRPr="001C3EC8" w:rsidRDefault="008430BD" w:rsidP="008430BD">
      <w:pPr>
        <w:pStyle w:val="Nadpis3"/>
        <w:numPr>
          <w:ilvl w:val="2"/>
          <w:numId w:val="1"/>
        </w:numPr>
        <w:rPr>
          <w:color w:val="000000" w:themeColor="text1"/>
        </w:rPr>
      </w:pPr>
      <w:bookmarkStart w:id="140" w:name="_Ref509563330"/>
      <w:bookmarkStart w:id="141" w:name="_Toc515871225"/>
      <w:bookmarkStart w:id="142" w:name="_Toc41546302"/>
      <w:bookmarkStart w:id="143" w:name="_Toc75952061"/>
      <w:r w:rsidRPr="001C3EC8">
        <w:rPr>
          <w:color w:val="000000" w:themeColor="text1"/>
        </w:rPr>
        <w:t>Další statistiky</w:t>
      </w:r>
      <w:bookmarkEnd w:id="140"/>
      <w:bookmarkEnd w:id="141"/>
      <w:bookmarkEnd w:id="142"/>
      <w:bookmarkEnd w:id="143"/>
    </w:p>
    <w:p w14:paraId="7402E2B1" w14:textId="1AF509C9" w:rsidR="008430BD" w:rsidRPr="001C3EC8" w:rsidRDefault="008430BD" w:rsidP="008430BD">
      <w:pPr>
        <w:pStyle w:val="OdstavecASR"/>
        <w:rPr>
          <w:color w:val="000000" w:themeColor="text1"/>
        </w:rPr>
      </w:pPr>
      <w:r w:rsidRPr="001C3EC8">
        <w:rPr>
          <w:color w:val="000000" w:themeColor="text1"/>
        </w:rPr>
        <w:t xml:space="preserve">Kromě výše uvedených ukazatelů výkonnosti soudů sleduje Ministerstvo spravedlnosti řadu dalších ukazatelů. Tato podkapitola se věnuje třem příkladům, a to míře odvolání, míře změny rozsudku </w:t>
      </w:r>
      <w:r w:rsidR="001B5E6A" w:rsidRPr="001C3EC8">
        <w:rPr>
          <w:color w:val="000000" w:themeColor="text1"/>
        </w:rPr>
        <w:t>a</w:t>
      </w:r>
      <w:r w:rsidR="001B5E6A">
        <w:rPr>
          <w:color w:val="000000" w:themeColor="text1"/>
        </w:rPr>
        <w:t> </w:t>
      </w:r>
      <w:r w:rsidRPr="001C3EC8">
        <w:rPr>
          <w:color w:val="000000" w:themeColor="text1"/>
        </w:rPr>
        <w:t>nově i přepočtu příchozích věcí na 1</w:t>
      </w:r>
      <w:r w:rsidR="006C17E6" w:rsidRPr="001C3EC8">
        <w:rPr>
          <w:color w:val="000000" w:themeColor="text1"/>
        </w:rPr>
        <w:t> </w:t>
      </w:r>
      <w:r w:rsidRPr="001C3EC8">
        <w:rPr>
          <w:color w:val="000000" w:themeColor="text1"/>
        </w:rPr>
        <w:t>000 obyvatel.</w:t>
      </w:r>
    </w:p>
    <w:p w14:paraId="485C85D7" w14:textId="2E4EA539" w:rsidR="00C11095" w:rsidRPr="001C3EC8" w:rsidRDefault="00C11095" w:rsidP="008430BD">
      <w:pPr>
        <w:pStyle w:val="OdstavecASR"/>
        <w:rPr>
          <w:b/>
          <w:bCs/>
          <w:color w:val="000000" w:themeColor="text1"/>
        </w:rPr>
      </w:pPr>
      <w:r w:rsidRPr="001C3EC8">
        <w:rPr>
          <w:b/>
          <w:bCs/>
          <w:color w:val="000000" w:themeColor="text1"/>
        </w:rPr>
        <w:t>Míra odvolání</w:t>
      </w:r>
    </w:p>
    <w:p w14:paraId="2DBF96EA" w14:textId="60FD24F5" w:rsidR="008430BD" w:rsidRPr="001C3EC8" w:rsidRDefault="008430BD" w:rsidP="008430BD">
      <w:pPr>
        <w:pStyle w:val="OdstavecASR"/>
        <w:rPr>
          <w:color w:val="000000" w:themeColor="text1"/>
        </w:rPr>
      </w:pPr>
      <w:r w:rsidRPr="001C3EC8">
        <w:rPr>
          <w:color w:val="000000" w:themeColor="text1"/>
        </w:rPr>
        <w:t xml:space="preserve">Míra odvolání udává, jak často podávají účastníci sporu odvolání. Závisí na mnoha faktorech, jako je například složení agendy soudu nebo charakteristiky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w:t>
      </w:r>
      <w:r w:rsidR="000C3B1E">
        <w:rPr>
          <w:color w:val="000000" w:themeColor="text1"/>
        </w:rPr>
        <w:t>I. stupně</w:t>
      </w:r>
      <w:r w:rsidRPr="001C3EC8">
        <w:rPr>
          <w:color w:val="000000" w:themeColor="text1"/>
        </w:rPr>
        <w:t xml:space="preserve">, věc mu vrátil </w:t>
      </w:r>
      <w:r w:rsidR="001B5E6A" w:rsidRPr="001C3EC8">
        <w:rPr>
          <w:color w:val="000000" w:themeColor="text1"/>
        </w:rPr>
        <w:t>a</w:t>
      </w:r>
      <w:r w:rsidR="001B5E6A">
        <w:rPr>
          <w:color w:val="000000" w:themeColor="text1"/>
        </w:rPr>
        <w:t> </w:t>
      </w:r>
      <w:r w:rsidRPr="001C3EC8">
        <w:rPr>
          <w:color w:val="000000" w:themeColor="text1"/>
        </w:rPr>
        <w:t>následně již odvolání podáno nebylo.</w:t>
      </w:r>
    </w:p>
    <w:p w14:paraId="5CD5BD06" w14:textId="3AC9F397" w:rsidR="008430BD" w:rsidRPr="001C3EC8" w:rsidRDefault="008430BD" w:rsidP="008430BD">
      <w:pPr>
        <w:pStyle w:val="Podnadpis"/>
        <w:rPr>
          <w:color w:val="000000" w:themeColor="text1"/>
        </w:rPr>
      </w:pPr>
      <w:bookmarkStart w:id="144" w:name="_Toc515871444"/>
      <w:bookmarkStart w:id="145" w:name="_Toc11133213"/>
      <w:bookmarkStart w:id="146" w:name="_Toc43931186"/>
      <w:bookmarkStart w:id="147" w:name="_Toc75952317"/>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14</w:t>
      </w:r>
      <w:r w:rsidRPr="001C3EC8">
        <w:rPr>
          <w:noProof/>
          <w:color w:val="000000" w:themeColor="text1"/>
        </w:rPr>
        <w:fldChar w:fldCharType="end"/>
      </w:r>
      <w:r w:rsidRPr="001C3EC8">
        <w:rPr>
          <w:color w:val="000000" w:themeColor="text1"/>
        </w:rPr>
        <w:t>: OS – míra odvolání dle krajů v civilním řízení</w:t>
      </w:r>
      <w:bookmarkEnd w:id="144"/>
      <w:bookmarkEnd w:id="145"/>
      <w:bookmarkEnd w:id="146"/>
      <w:bookmarkEnd w:id="147"/>
    </w:p>
    <w:tbl>
      <w:tblPr>
        <w:tblW w:w="5620" w:type="dxa"/>
        <w:tblCellMar>
          <w:left w:w="70" w:type="dxa"/>
          <w:right w:w="70" w:type="dxa"/>
        </w:tblCellMar>
        <w:tblLook w:val="04A0" w:firstRow="1" w:lastRow="0" w:firstColumn="1" w:lastColumn="0" w:noHBand="0" w:noVBand="1"/>
      </w:tblPr>
      <w:tblGrid>
        <w:gridCol w:w="2780"/>
        <w:gridCol w:w="1431"/>
        <w:gridCol w:w="1409"/>
      </w:tblGrid>
      <w:tr w:rsidR="008430BD" w:rsidRPr="001C3EC8" w14:paraId="1DCFABC7"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EC1760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840" w:type="dxa"/>
            <w:gridSpan w:val="2"/>
            <w:tcBorders>
              <w:top w:val="double" w:sz="6" w:space="0" w:color="auto"/>
              <w:left w:val="nil"/>
              <w:bottom w:val="double" w:sz="6" w:space="0" w:color="auto"/>
              <w:right w:val="nil"/>
            </w:tcBorders>
            <w:shd w:val="clear" w:color="auto" w:fill="auto"/>
            <w:noWrap/>
            <w:vAlign w:val="center"/>
            <w:hideMark/>
          </w:tcPr>
          <w:p w14:paraId="2EDADFF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odvolání</w:t>
            </w:r>
          </w:p>
        </w:tc>
      </w:tr>
      <w:tr w:rsidR="008430BD" w:rsidRPr="001C3EC8" w14:paraId="75BDF49B"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42FDB3F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431" w:type="dxa"/>
            <w:tcBorders>
              <w:top w:val="nil"/>
              <w:left w:val="nil"/>
              <w:bottom w:val="single" w:sz="4" w:space="0" w:color="auto"/>
              <w:right w:val="nil"/>
            </w:tcBorders>
            <w:shd w:val="clear" w:color="auto" w:fill="auto"/>
            <w:noWrap/>
            <w:vAlign w:val="bottom"/>
            <w:hideMark/>
          </w:tcPr>
          <w:p w14:paraId="19EE70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10,12 %</w:t>
            </w:r>
          </w:p>
        </w:tc>
        <w:tc>
          <w:tcPr>
            <w:tcW w:w="1409" w:type="dxa"/>
            <w:tcBorders>
              <w:top w:val="single" w:sz="4" w:space="0" w:color="auto"/>
              <w:left w:val="nil"/>
              <w:bottom w:val="single" w:sz="4" w:space="0" w:color="auto"/>
              <w:right w:val="nil"/>
            </w:tcBorders>
            <w:shd w:val="clear" w:color="auto" w:fill="auto"/>
            <w:noWrap/>
            <w:vAlign w:val="center"/>
            <w:hideMark/>
          </w:tcPr>
          <w:p w14:paraId="6B71545A" w14:textId="4D55166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+0,2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0518560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35DDE8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431" w:type="dxa"/>
            <w:tcBorders>
              <w:top w:val="nil"/>
              <w:left w:val="nil"/>
              <w:bottom w:val="single" w:sz="4" w:space="0" w:color="auto"/>
              <w:right w:val="nil"/>
            </w:tcBorders>
            <w:shd w:val="clear" w:color="auto" w:fill="auto"/>
            <w:noWrap/>
            <w:vAlign w:val="bottom"/>
            <w:hideMark/>
          </w:tcPr>
          <w:p w14:paraId="132E195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6,95 %</w:t>
            </w:r>
          </w:p>
        </w:tc>
        <w:tc>
          <w:tcPr>
            <w:tcW w:w="1409" w:type="dxa"/>
            <w:tcBorders>
              <w:top w:val="nil"/>
              <w:left w:val="nil"/>
              <w:bottom w:val="single" w:sz="4" w:space="0" w:color="auto"/>
              <w:right w:val="nil"/>
            </w:tcBorders>
            <w:shd w:val="clear" w:color="auto" w:fill="auto"/>
            <w:noWrap/>
            <w:vAlign w:val="center"/>
            <w:hideMark/>
          </w:tcPr>
          <w:p w14:paraId="6A8ED899" w14:textId="006860F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+0,2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1FE29B4F"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1A9FCD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431" w:type="dxa"/>
            <w:tcBorders>
              <w:top w:val="nil"/>
              <w:left w:val="nil"/>
              <w:bottom w:val="single" w:sz="4" w:space="0" w:color="auto"/>
              <w:right w:val="nil"/>
            </w:tcBorders>
            <w:shd w:val="clear" w:color="auto" w:fill="auto"/>
            <w:noWrap/>
            <w:vAlign w:val="bottom"/>
            <w:hideMark/>
          </w:tcPr>
          <w:p w14:paraId="4155FF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8,38 %</w:t>
            </w:r>
          </w:p>
        </w:tc>
        <w:tc>
          <w:tcPr>
            <w:tcW w:w="1409" w:type="dxa"/>
            <w:tcBorders>
              <w:top w:val="nil"/>
              <w:left w:val="nil"/>
              <w:bottom w:val="single" w:sz="4" w:space="0" w:color="auto"/>
              <w:right w:val="nil"/>
            </w:tcBorders>
            <w:shd w:val="clear" w:color="auto" w:fill="auto"/>
            <w:noWrap/>
            <w:vAlign w:val="center"/>
            <w:hideMark/>
          </w:tcPr>
          <w:p w14:paraId="1B3D75F3" w14:textId="763A486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-0,0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75F0DE4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36CE9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431" w:type="dxa"/>
            <w:tcBorders>
              <w:top w:val="nil"/>
              <w:left w:val="nil"/>
              <w:bottom w:val="single" w:sz="4" w:space="0" w:color="auto"/>
              <w:right w:val="nil"/>
            </w:tcBorders>
            <w:shd w:val="clear" w:color="auto" w:fill="auto"/>
            <w:noWrap/>
            <w:vAlign w:val="bottom"/>
            <w:hideMark/>
          </w:tcPr>
          <w:p w14:paraId="144FA8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7,61 %</w:t>
            </w:r>
          </w:p>
        </w:tc>
        <w:tc>
          <w:tcPr>
            <w:tcW w:w="1409" w:type="dxa"/>
            <w:tcBorders>
              <w:top w:val="nil"/>
              <w:left w:val="nil"/>
              <w:bottom w:val="single" w:sz="4" w:space="0" w:color="auto"/>
              <w:right w:val="nil"/>
            </w:tcBorders>
            <w:shd w:val="clear" w:color="auto" w:fill="auto"/>
            <w:noWrap/>
            <w:vAlign w:val="center"/>
            <w:hideMark/>
          </w:tcPr>
          <w:p w14:paraId="4EFDB40B" w14:textId="2DACD20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60EB291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48CA3F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431" w:type="dxa"/>
            <w:tcBorders>
              <w:top w:val="nil"/>
              <w:left w:val="nil"/>
              <w:bottom w:val="single" w:sz="4" w:space="0" w:color="auto"/>
              <w:right w:val="nil"/>
            </w:tcBorders>
            <w:shd w:val="clear" w:color="auto" w:fill="auto"/>
            <w:noWrap/>
            <w:vAlign w:val="bottom"/>
            <w:hideMark/>
          </w:tcPr>
          <w:p w14:paraId="127BD1F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5,61 %</w:t>
            </w:r>
          </w:p>
        </w:tc>
        <w:tc>
          <w:tcPr>
            <w:tcW w:w="1409" w:type="dxa"/>
            <w:tcBorders>
              <w:top w:val="nil"/>
              <w:left w:val="nil"/>
              <w:bottom w:val="single" w:sz="4" w:space="0" w:color="auto"/>
              <w:right w:val="nil"/>
            </w:tcBorders>
            <w:shd w:val="clear" w:color="auto" w:fill="auto"/>
            <w:noWrap/>
            <w:vAlign w:val="center"/>
            <w:hideMark/>
          </w:tcPr>
          <w:p w14:paraId="3333AFC7" w14:textId="10E44B1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-0,1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6F5230F8"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894B30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431" w:type="dxa"/>
            <w:tcBorders>
              <w:top w:val="nil"/>
              <w:left w:val="nil"/>
              <w:bottom w:val="single" w:sz="4" w:space="0" w:color="auto"/>
              <w:right w:val="nil"/>
            </w:tcBorders>
            <w:shd w:val="clear" w:color="auto" w:fill="auto"/>
            <w:noWrap/>
            <w:vAlign w:val="bottom"/>
            <w:hideMark/>
          </w:tcPr>
          <w:p w14:paraId="3BA59C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8,83 %</w:t>
            </w:r>
          </w:p>
        </w:tc>
        <w:tc>
          <w:tcPr>
            <w:tcW w:w="1409" w:type="dxa"/>
            <w:tcBorders>
              <w:top w:val="nil"/>
              <w:left w:val="nil"/>
              <w:bottom w:val="single" w:sz="4" w:space="0" w:color="auto"/>
              <w:right w:val="nil"/>
            </w:tcBorders>
            <w:shd w:val="clear" w:color="auto" w:fill="auto"/>
            <w:noWrap/>
            <w:vAlign w:val="center"/>
            <w:hideMark/>
          </w:tcPr>
          <w:p w14:paraId="5B79EBA6" w14:textId="436C8A2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+0,3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7564403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F2D88F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431" w:type="dxa"/>
            <w:tcBorders>
              <w:top w:val="nil"/>
              <w:left w:val="nil"/>
              <w:bottom w:val="single" w:sz="4" w:space="0" w:color="auto"/>
              <w:right w:val="nil"/>
            </w:tcBorders>
            <w:shd w:val="clear" w:color="auto" w:fill="auto"/>
            <w:noWrap/>
            <w:vAlign w:val="bottom"/>
            <w:hideMark/>
          </w:tcPr>
          <w:p w14:paraId="50ED252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9,61 %</w:t>
            </w:r>
          </w:p>
        </w:tc>
        <w:tc>
          <w:tcPr>
            <w:tcW w:w="1409" w:type="dxa"/>
            <w:tcBorders>
              <w:top w:val="nil"/>
              <w:left w:val="nil"/>
              <w:bottom w:val="single" w:sz="4" w:space="0" w:color="auto"/>
              <w:right w:val="nil"/>
            </w:tcBorders>
            <w:shd w:val="clear" w:color="auto" w:fill="auto"/>
            <w:noWrap/>
            <w:vAlign w:val="center"/>
            <w:hideMark/>
          </w:tcPr>
          <w:p w14:paraId="34B741CE" w14:textId="2B81272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-0,1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32264068"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2201848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431" w:type="dxa"/>
            <w:tcBorders>
              <w:top w:val="nil"/>
              <w:left w:val="nil"/>
              <w:bottom w:val="double" w:sz="6" w:space="0" w:color="auto"/>
              <w:right w:val="nil"/>
            </w:tcBorders>
            <w:shd w:val="clear" w:color="auto" w:fill="auto"/>
            <w:noWrap/>
            <w:vAlign w:val="bottom"/>
            <w:hideMark/>
          </w:tcPr>
          <w:p w14:paraId="2F453D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6,33 %</w:t>
            </w:r>
          </w:p>
        </w:tc>
        <w:tc>
          <w:tcPr>
            <w:tcW w:w="1409" w:type="dxa"/>
            <w:tcBorders>
              <w:top w:val="nil"/>
              <w:left w:val="nil"/>
              <w:bottom w:val="double" w:sz="6" w:space="0" w:color="auto"/>
              <w:right w:val="nil"/>
            </w:tcBorders>
            <w:shd w:val="clear" w:color="auto" w:fill="auto"/>
            <w:noWrap/>
            <w:vAlign w:val="center"/>
            <w:hideMark/>
          </w:tcPr>
          <w:p w14:paraId="0E6775FE" w14:textId="750EB8F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+0,9 </w:t>
            </w:r>
            <w:proofErr w:type="spellStart"/>
            <w:r w:rsidR="00B07E76">
              <w:rPr>
                <w:rFonts w:eastAsia="Times New Roman"/>
                <w:color w:val="000000" w:themeColor="text1"/>
                <w:sz w:val="20"/>
                <w:szCs w:val="20"/>
                <w:lang w:eastAsia="cs-CZ"/>
              </w:rPr>
              <w:t>p.b</w:t>
            </w:r>
            <w:proofErr w:type="spellEnd"/>
            <w:r w:rsidR="00B07E76">
              <w:rPr>
                <w:rFonts w:eastAsia="Times New Roman"/>
                <w:color w:val="000000" w:themeColor="text1"/>
                <w:sz w:val="20"/>
                <w:szCs w:val="20"/>
                <w:lang w:eastAsia="cs-CZ"/>
              </w:rPr>
              <w:t>.</w:t>
            </w:r>
          </w:p>
        </w:tc>
      </w:tr>
      <w:tr w:rsidR="008430BD" w:rsidRPr="001C3EC8" w14:paraId="6ECAEF8A"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008192E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431" w:type="dxa"/>
            <w:tcBorders>
              <w:top w:val="nil"/>
              <w:left w:val="nil"/>
              <w:bottom w:val="double" w:sz="6" w:space="0" w:color="auto"/>
              <w:right w:val="nil"/>
            </w:tcBorders>
            <w:shd w:val="clear" w:color="auto" w:fill="auto"/>
            <w:noWrap/>
            <w:vAlign w:val="bottom"/>
            <w:hideMark/>
          </w:tcPr>
          <w:p w14:paraId="05EE49F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8,16 %</w:t>
            </w:r>
          </w:p>
        </w:tc>
        <w:tc>
          <w:tcPr>
            <w:tcW w:w="1409" w:type="dxa"/>
            <w:tcBorders>
              <w:top w:val="nil"/>
              <w:left w:val="nil"/>
              <w:bottom w:val="double" w:sz="6" w:space="0" w:color="auto"/>
              <w:right w:val="nil"/>
            </w:tcBorders>
            <w:shd w:val="clear" w:color="auto" w:fill="auto"/>
            <w:noWrap/>
            <w:vAlign w:val="center"/>
            <w:hideMark/>
          </w:tcPr>
          <w:p w14:paraId="21986798" w14:textId="54D55D83"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+0,4 </w:t>
            </w:r>
            <w:proofErr w:type="spellStart"/>
            <w:r w:rsidR="00B07E76">
              <w:rPr>
                <w:rFonts w:eastAsia="Times New Roman"/>
                <w:b/>
                <w:bCs/>
                <w:color w:val="000000" w:themeColor="text1"/>
                <w:sz w:val="20"/>
                <w:szCs w:val="20"/>
                <w:lang w:eastAsia="cs-CZ"/>
              </w:rPr>
              <w:t>p.b</w:t>
            </w:r>
            <w:proofErr w:type="spellEnd"/>
            <w:r w:rsidR="00B07E76">
              <w:rPr>
                <w:rFonts w:eastAsia="Times New Roman"/>
                <w:b/>
                <w:bCs/>
                <w:color w:val="000000" w:themeColor="text1"/>
                <w:sz w:val="20"/>
                <w:szCs w:val="20"/>
                <w:lang w:eastAsia="cs-CZ"/>
              </w:rPr>
              <w:t>.</w:t>
            </w:r>
          </w:p>
        </w:tc>
      </w:tr>
    </w:tbl>
    <w:p w14:paraId="7A548052" w14:textId="77777777" w:rsidR="008430BD" w:rsidRPr="001C3EC8" w:rsidRDefault="008430BD" w:rsidP="008430BD">
      <w:pPr>
        <w:pStyle w:val="OdstavecASR"/>
        <w:rPr>
          <w:color w:val="000000" w:themeColor="text1"/>
        </w:rPr>
      </w:pPr>
    </w:p>
    <w:p w14:paraId="16CBC3B3" w14:textId="626A478B" w:rsidR="008430BD" w:rsidRPr="001C3EC8" w:rsidRDefault="008430BD" w:rsidP="008430BD">
      <w:pPr>
        <w:pStyle w:val="OdstavecASR"/>
        <w:rPr>
          <w:color w:val="000000" w:themeColor="text1"/>
        </w:rPr>
      </w:pPr>
      <w:r w:rsidRPr="001C3EC8">
        <w:rPr>
          <w:color w:val="000000" w:themeColor="text1"/>
        </w:rPr>
        <w:t xml:space="preserve">Míra odvolání je podobně jako v předchozím roce nejvyšší </w:t>
      </w:r>
      <w:r w:rsidR="001B5E6A" w:rsidRPr="001C3EC8">
        <w:rPr>
          <w:color w:val="000000" w:themeColor="text1"/>
        </w:rPr>
        <w:t>v</w:t>
      </w:r>
      <w:r w:rsidR="001B5E6A">
        <w:rPr>
          <w:color w:val="000000" w:themeColor="text1"/>
        </w:rPr>
        <w:t> </w:t>
      </w:r>
      <w:r w:rsidRPr="001C3EC8">
        <w:rPr>
          <w:color w:val="000000" w:themeColor="text1"/>
        </w:rPr>
        <w:t xml:space="preserve">Praze a Jihomoravském kraji a nejnižší v Severočeském kraji. Ze starších dat na úrovni okresů lze dále vyčíst, že míra odvolání není stabilní, nicméně celorepublikově osciluje kolem 8 %. Zde je třeba upozornit, že změny jsou v tabulce uvedeny v procentních bodech. Tedy například celková míra odvolání meziročně v Praze </w:t>
      </w:r>
      <w:r w:rsidR="006C0333">
        <w:rPr>
          <w:color w:val="000000" w:themeColor="text1"/>
        </w:rPr>
        <w:t>vzrostla</w:t>
      </w:r>
      <w:r w:rsidR="006C0333" w:rsidRPr="001C3EC8">
        <w:rPr>
          <w:color w:val="000000" w:themeColor="text1"/>
        </w:rPr>
        <w:t xml:space="preserve"> </w:t>
      </w:r>
      <w:r w:rsidRPr="001C3EC8">
        <w:rPr>
          <w:color w:val="000000" w:themeColor="text1"/>
        </w:rPr>
        <w:t>z </w:t>
      </w:r>
      <w:r w:rsidR="006C0333">
        <w:rPr>
          <w:color w:val="000000" w:themeColor="text1"/>
        </w:rPr>
        <w:t>9,89</w:t>
      </w:r>
      <w:r w:rsidRPr="001C3EC8">
        <w:rPr>
          <w:color w:val="000000" w:themeColor="text1"/>
        </w:rPr>
        <w:t> % na 9,89 %, což je absolutní nárůst o </w:t>
      </w:r>
      <w:proofErr w:type="gramStart"/>
      <w:r w:rsidRPr="001C3EC8">
        <w:rPr>
          <w:color w:val="000000" w:themeColor="text1"/>
        </w:rPr>
        <w:t>0,2 procentního</w:t>
      </w:r>
      <w:proofErr w:type="gramEnd"/>
      <w:r w:rsidRPr="001C3EC8">
        <w:rPr>
          <w:color w:val="000000" w:themeColor="text1"/>
        </w:rPr>
        <w:t xml:space="preserve"> bodu (tento údaj je zachycen v tabulce) </w:t>
      </w:r>
      <w:r w:rsidR="001B5E6A" w:rsidRPr="001C3EC8">
        <w:rPr>
          <w:color w:val="000000" w:themeColor="text1"/>
        </w:rPr>
        <w:t>a</w:t>
      </w:r>
      <w:r w:rsidR="001B5E6A">
        <w:rPr>
          <w:color w:val="000000" w:themeColor="text1"/>
        </w:rPr>
        <w:t> </w:t>
      </w:r>
      <w:r w:rsidRPr="001C3EC8">
        <w:rPr>
          <w:color w:val="000000" w:themeColor="text1"/>
        </w:rPr>
        <w:t xml:space="preserve">relativní nárůst </w:t>
      </w:r>
      <w:r w:rsidR="001B5E6A" w:rsidRPr="001C3EC8">
        <w:rPr>
          <w:color w:val="000000" w:themeColor="text1"/>
        </w:rPr>
        <w:t>o</w:t>
      </w:r>
      <w:r w:rsidR="001B5E6A">
        <w:rPr>
          <w:color w:val="000000" w:themeColor="text1"/>
        </w:rPr>
        <w:t> </w:t>
      </w:r>
      <w:r w:rsidRPr="001C3EC8">
        <w:rPr>
          <w:color w:val="000000" w:themeColor="text1"/>
        </w:rPr>
        <w:t xml:space="preserve">2,33 % (ten </w:t>
      </w:r>
      <w:r w:rsidR="001B5E6A" w:rsidRPr="001C3EC8">
        <w:rPr>
          <w:color w:val="000000" w:themeColor="text1"/>
        </w:rPr>
        <w:t>v</w:t>
      </w:r>
      <w:r w:rsidR="001B5E6A">
        <w:rPr>
          <w:color w:val="000000" w:themeColor="text1"/>
        </w:rPr>
        <w:t> </w:t>
      </w:r>
      <w:r w:rsidRPr="001C3EC8">
        <w:rPr>
          <w:color w:val="000000" w:themeColor="text1"/>
        </w:rPr>
        <w:t>tabulce uveden není).</w:t>
      </w:r>
      <w:r w:rsidR="00A74487">
        <w:rPr>
          <w:color w:val="000000" w:themeColor="text1"/>
        </w:rPr>
        <w:t xml:space="preserve"> </w:t>
      </w:r>
      <w:r w:rsidRPr="001C3EC8">
        <w:rPr>
          <w:color w:val="000000" w:themeColor="text1"/>
        </w:rPr>
        <w:t xml:space="preserve">Z jednotlivých okresních soudů byla v roce 2020 nejvyšší míra odvolání u OS Praha 2 (39,22 %), OS Semily (17,86 %) </w:t>
      </w:r>
      <w:r w:rsidR="001B5E6A" w:rsidRPr="001C3EC8">
        <w:rPr>
          <w:color w:val="000000" w:themeColor="text1"/>
        </w:rPr>
        <w:t>a</w:t>
      </w:r>
      <w:r w:rsidR="001B5E6A">
        <w:rPr>
          <w:color w:val="000000" w:themeColor="text1"/>
        </w:rPr>
        <w:t> </w:t>
      </w:r>
      <w:r w:rsidRPr="001C3EC8">
        <w:rPr>
          <w:color w:val="000000" w:themeColor="text1"/>
        </w:rPr>
        <w:t xml:space="preserve">OS Jičín (14,78 %). Obzvlášť vysoká 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například spory o náhradu škody způsobené nesprávným úředním postupem nebo nepřiměřenou délkou soudního řízení. Míra odvolání je v těchto sporech velmi vysoká – přibližně 67 %. </w:t>
      </w:r>
      <w:bookmarkStart w:id="148" w:name="_Hlk67043216"/>
      <w:r w:rsidRPr="001C3EC8">
        <w:rPr>
          <w:color w:val="000000" w:themeColor="text1"/>
        </w:rPr>
        <w:t>Nejnižší je míra odvolání u OS Nymburk (3,56 %), OS Cheb (3,86 %), OS Mladá Boleslav (3,90 %).</w:t>
      </w:r>
      <w:bookmarkEnd w:id="148"/>
    </w:p>
    <w:p w14:paraId="221F71E3" w14:textId="45585E08" w:rsidR="008430BD" w:rsidRPr="001C3EC8" w:rsidRDefault="008430BD" w:rsidP="008430BD">
      <w:pPr>
        <w:pStyle w:val="Podnadpis"/>
        <w:rPr>
          <w:color w:val="000000" w:themeColor="text1"/>
        </w:rPr>
      </w:pPr>
      <w:bookmarkStart w:id="149" w:name="_Toc43841395"/>
      <w:bookmarkStart w:id="150" w:name="_Toc75952196"/>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16</w:t>
      </w:r>
      <w:r w:rsidRPr="001C3EC8">
        <w:rPr>
          <w:color w:val="000000" w:themeColor="text1"/>
        </w:rPr>
        <w:fldChar w:fldCharType="end"/>
      </w:r>
      <w:r w:rsidRPr="001C3EC8">
        <w:rPr>
          <w:color w:val="000000" w:themeColor="text1"/>
        </w:rPr>
        <w:t>: OS – míra odvolání u jednotlivých soudů v civilním řízení</w:t>
      </w:r>
      <w:bookmarkEnd w:id="149"/>
      <w:bookmarkEnd w:id="150"/>
    </w:p>
    <w:p w14:paraId="2B60CC5C" w14:textId="77777777" w:rsidR="008430BD" w:rsidRPr="001C3EC8"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66432" behindDoc="0" locked="0" layoutInCell="1" allowOverlap="1" wp14:anchorId="0339EE2F" wp14:editId="607336A5">
            <wp:simplePos x="0" y="0"/>
            <wp:positionH relativeFrom="margin">
              <wp:align>right</wp:align>
            </wp:positionH>
            <wp:positionV relativeFrom="paragraph">
              <wp:posOffset>52070</wp:posOffset>
            </wp:positionV>
            <wp:extent cx="1260000" cy="918000"/>
            <wp:effectExtent l="0" t="0" r="0" b="0"/>
            <wp:wrapNone/>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3F045347" wp14:editId="23FB9486">
            <wp:extent cx="5759450" cy="3296019"/>
            <wp:effectExtent l="0" t="0" r="0" b="0"/>
            <wp:docPr id="293"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p>
    <w:p w14:paraId="2310C766" w14:textId="6C03D546" w:rsidR="00C11095" w:rsidRPr="001C3EC8" w:rsidRDefault="00C11095" w:rsidP="008430BD">
      <w:pPr>
        <w:pStyle w:val="OdstavecASR"/>
        <w:rPr>
          <w:b/>
          <w:bCs/>
          <w:color w:val="000000" w:themeColor="text1"/>
        </w:rPr>
      </w:pPr>
      <w:bookmarkStart w:id="151" w:name="_Toc515871445"/>
      <w:bookmarkStart w:id="152" w:name="_Toc11133214"/>
      <w:r w:rsidRPr="001C3EC8">
        <w:rPr>
          <w:b/>
          <w:bCs/>
          <w:color w:val="000000" w:themeColor="text1"/>
        </w:rPr>
        <w:lastRenderedPageBreak/>
        <w:t>Míra změny rozsudku</w:t>
      </w:r>
    </w:p>
    <w:p w14:paraId="3B8CB66C" w14:textId="4D14C849" w:rsidR="008430BD" w:rsidRPr="001C3EC8" w:rsidRDefault="008430BD" w:rsidP="008430BD">
      <w:pPr>
        <w:pStyle w:val="OdstavecASR"/>
        <w:rPr>
          <w:color w:val="000000" w:themeColor="text1"/>
        </w:rPr>
      </w:pPr>
      <w:r w:rsidRPr="001C3EC8">
        <w:rPr>
          <w:color w:val="000000" w:themeColor="text1"/>
        </w:rPr>
        <w:t xml:space="preserve">Dalším sledovaným ukazatelem je míra změny rozsudku. Jedná se o podíl věcí v procentech, ve kterých odvolací soud na podkladě odvolání změnil rozhodnutí soudu </w:t>
      </w:r>
      <w:r w:rsidR="000C3B1E">
        <w:rPr>
          <w:color w:val="000000" w:themeColor="text1"/>
        </w:rPr>
        <w:t>I. stupně</w:t>
      </w:r>
      <w:r w:rsidRPr="001C3EC8">
        <w:rPr>
          <w:color w:val="000000" w:themeColor="text1"/>
        </w:rPr>
        <w:t xml:space="preserve">. Jako změna rozsudku jsou započítány </w:t>
      </w:r>
      <w:r w:rsidR="00023512" w:rsidRPr="001C3EC8">
        <w:rPr>
          <w:color w:val="000000" w:themeColor="text1"/>
        </w:rPr>
        <w:t xml:space="preserve">věci, v nichž bylo </w:t>
      </w:r>
      <w:r w:rsidR="00AE67EE" w:rsidRPr="001C3EC8">
        <w:rPr>
          <w:color w:val="000000" w:themeColor="text1"/>
        </w:rPr>
        <w:t xml:space="preserve">odvolání </w:t>
      </w:r>
      <w:r w:rsidR="00023512" w:rsidRPr="001C3EC8">
        <w:rPr>
          <w:color w:val="000000" w:themeColor="text1"/>
        </w:rPr>
        <w:t xml:space="preserve">vyhověno, ale </w:t>
      </w:r>
      <w:r w:rsidRPr="001C3EC8">
        <w:rPr>
          <w:color w:val="000000" w:themeColor="text1"/>
        </w:rPr>
        <w:t xml:space="preserve">i případy, kdy bylo rozhodnutí soudu </w:t>
      </w:r>
      <w:r w:rsidR="000C3B1E">
        <w:rPr>
          <w:color w:val="000000" w:themeColor="text1"/>
        </w:rPr>
        <w:t>I. stupně</w:t>
      </w:r>
      <w:r w:rsidRPr="001C3EC8">
        <w:rPr>
          <w:color w:val="000000" w:themeColor="text1"/>
        </w:rPr>
        <w:t xml:space="preserve"> odvolacím soudem zrušeno </w:t>
      </w:r>
      <w:r w:rsidR="001B5E6A" w:rsidRPr="001C3EC8">
        <w:rPr>
          <w:color w:val="000000" w:themeColor="text1"/>
        </w:rPr>
        <w:t>a</w:t>
      </w:r>
      <w:r w:rsidR="001B5E6A">
        <w:rPr>
          <w:color w:val="000000" w:themeColor="text1"/>
        </w:rPr>
        <w:t> </w:t>
      </w:r>
      <w:r w:rsidRPr="001C3EC8">
        <w:rPr>
          <w:color w:val="000000" w:themeColor="text1"/>
        </w:rPr>
        <w:t xml:space="preserve">vráceno soudu </w:t>
      </w:r>
      <w:r w:rsidR="000C3B1E">
        <w:rPr>
          <w:color w:val="000000" w:themeColor="text1"/>
        </w:rPr>
        <w:t>I. stupně</w:t>
      </w:r>
      <w:r w:rsidRPr="001C3EC8">
        <w:rPr>
          <w:color w:val="000000" w:themeColor="text1"/>
        </w:rPr>
        <w:t>.</w:t>
      </w:r>
    </w:p>
    <w:p w14:paraId="203F0E46" w14:textId="6D23EDBA" w:rsidR="008430BD" w:rsidRPr="001C3EC8" w:rsidRDefault="008430BD" w:rsidP="008430BD">
      <w:pPr>
        <w:pStyle w:val="Podnadpis"/>
        <w:rPr>
          <w:color w:val="000000" w:themeColor="text1"/>
        </w:rPr>
      </w:pPr>
      <w:bookmarkStart w:id="153" w:name="_Toc43931187"/>
      <w:bookmarkStart w:id="154" w:name="_Toc75952318"/>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15</w:t>
      </w:r>
      <w:r w:rsidRPr="001C3EC8">
        <w:rPr>
          <w:noProof/>
          <w:color w:val="000000" w:themeColor="text1"/>
        </w:rPr>
        <w:fldChar w:fldCharType="end"/>
      </w:r>
      <w:r w:rsidRPr="001C3EC8">
        <w:rPr>
          <w:color w:val="000000" w:themeColor="text1"/>
        </w:rPr>
        <w:t>: OS – míra změny rozsudku dle krajů v civilním řízení</w:t>
      </w:r>
      <w:bookmarkEnd w:id="151"/>
      <w:bookmarkEnd w:id="152"/>
      <w:bookmarkEnd w:id="153"/>
      <w:bookmarkEnd w:id="154"/>
    </w:p>
    <w:tbl>
      <w:tblPr>
        <w:tblW w:w="5920" w:type="dxa"/>
        <w:tblCellMar>
          <w:left w:w="70" w:type="dxa"/>
          <w:right w:w="70" w:type="dxa"/>
        </w:tblCellMar>
        <w:tblLook w:val="04A0" w:firstRow="1" w:lastRow="0" w:firstColumn="1" w:lastColumn="0" w:noHBand="0" w:noVBand="1"/>
      </w:tblPr>
      <w:tblGrid>
        <w:gridCol w:w="2480"/>
        <w:gridCol w:w="1663"/>
        <w:gridCol w:w="1777"/>
      </w:tblGrid>
      <w:tr w:rsidR="008430BD" w:rsidRPr="001C3EC8" w14:paraId="22ED23DC" w14:textId="77777777" w:rsidTr="00E077F3">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2E13606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14:paraId="386557F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změny rozsudku</w:t>
            </w:r>
          </w:p>
        </w:tc>
      </w:tr>
      <w:tr w:rsidR="008430BD" w:rsidRPr="001C3EC8" w14:paraId="036B894B" w14:textId="77777777" w:rsidTr="00E077F3">
        <w:trPr>
          <w:trHeight w:val="330"/>
        </w:trPr>
        <w:tc>
          <w:tcPr>
            <w:tcW w:w="2480" w:type="dxa"/>
            <w:tcBorders>
              <w:top w:val="nil"/>
              <w:left w:val="nil"/>
              <w:bottom w:val="single" w:sz="4" w:space="0" w:color="auto"/>
              <w:right w:val="nil"/>
            </w:tcBorders>
            <w:shd w:val="clear" w:color="auto" w:fill="auto"/>
            <w:noWrap/>
            <w:vAlign w:val="bottom"/>
            <w:hideMark/>
          </w:tcPr>
          <w:p w14:paraId="7E85631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663" w:type="dxa"/>
            <w:tcBorders>
              <w:top w:val="nil"/>
              <w:left w:val="nil"/>
              <w:bottom w:val="single" w:sz="4" w:space="0" w:color="auto"/>
              <w:right w:val="nil"/>
            </w:tcBorders>
            <w:shd w:val="clear" w:color="auto" w:fill="auto"/>
            <w:noWrap/>
            <w:vAlign w:val="bottom"/>
            <w:hideMark/>
          </w:tcPr>
          <w:p w14:paraId="5E36939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36,8 %</w:t>
            </w:r>
          </w:p>
        </w:tc>
        <w:tc>
          <w:tcPr>
            <w:tcW w:w="1777" w:type="dxa"/>
            <w:tcBorders>
              <w:top w:val="single" w:sz="4" w:space="0" w:color="auto"/>
              <w:left w:val="nil"/>
              <w:bottom w:val="single" w:sz="4" w:space="0" w:color="auto"/>
              <w:right w:val="nil"/>
            </w:tcBorders>
            <w:shd w:val="clear" w:color="auto" w:fill="auto"/>
            <w:noWrap/>
            <w:vAlign w:val="center"/>
            <w:hideMark/>
          </w:tcPr>
          <w:p w14:paraId="6EC7D60C"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-3,5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FCAB16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F7EAA5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663" w:type="dxa"/>
            <w:tcBorders>
              <w:top w:val="nil"/>
              <w:left w:val="nil"/>
              <w:bottom w:val="single" w:sz="4" w:space="0" w:color="auto"/>
              <w:right w:val="nil"/>
            </w:tcBorders>
            <w:shd w:val="clear" w:color="auto" w:fill="auto"/>
            <w:noWrap/>
            <w:vAlign w:val="bottom"/>
            <w:hideMark/>
          </w:tcPr>
          <w:p w14:paraId="49595F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42,6 %</w:t>
            </w:r>
          </w:p>
        </w:tc>
        <w:tc>
          <w:tcPr>
            <w:tcW w:w="1777" w:type="dxa"/>
            <w:tcBorders>
              <w:top w:val="nil"/>
              <w:left w:val="nil"/>
              <w:bottom w:val="single" w:sz="4" w:space="0" w:color="auto"/>
              <w:right w:val="nil"/>
            </w:tcBorders>
            <w:shd w:val="clear" w:color="auto" w:fill="auto"/>
            <w:noWrap/>
            <w:vAlign w:val="center"/>
            <w:hideMark/>
          </w:tcPr>
          <w:p w14:paraId="04B2F0C0"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-7,5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5A0400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E0439A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663" w:type="dxa"/>
            <w:tcBorders>
              <w:top w:val="nil"/>
              <w:left w:val="nil"/>
              <w:bottom w:val="single" w:sz="4" w:space="0" w:color="auto"/>
              <w:right w:val="nil"/>
            </w:tcBorders>
            <w:shd w:val="clear" w:color="auto" w:fill="auto"/>
            <w:noWrap/>
            <w:vAlign w:val="bottom"/>
            <w:hideMark/>
          </w:tcPr>
          <w:p w14:paraId="0324538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43,4 %</w:t>
            </w:r>
          </w:p>
        </w:tc>
        <w:tc>
          <w:tcPr>
            <w:tcW w:w="1777" w:type="dxa"/>
            <w:tcBorders>
              <w:top w:val="nil"/>
              <w:left w:val="nil"/>
              <w:bottom w:val="single" w:sz="4" w:space="0" w:color="auto"/>
              <w:right w:val="nil"/>
            </w:tcBorders>
            <w:shd w:val="clear" w:color="auto" w:fill="auto"/>
            <w:noWrap/>
            <w:vAlign w:val="center"/>
            <w:hideMark/>
          </w:tcPr>
          <w:p w14:paraId="23A3FFF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-5,8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B50ADE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FC49F4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663" w:type="dxa"/>
            <w:tcBorders>
              <w:top w:val="nil"/>
              <w:left w:val="nil"/>
              <w:bottom w:val="single" w:sz="4" w:space="0" w:color="auto"/>
              <w:right w:val="nil"/>
            </w:tcBorders>
            <w:shd w:val="clear" w:color="auto" w:fill="auto"/>
            <w:noWrap/>
            <w:vAlign w:val="bottom"/>
            <w:hideMark/>
          </w:tcPr>
          <w:p w14:paraId="451F98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39,7 %</w:t>
            </w:r>
          </w:p>
        </w:tc>
        <w:tc>
          <w:tcPr>
            <w:tcW w:w="1777" w:type="dxa"/>
            <w:tcBorders>
              <w:top w:val="nil"/>
              <w:left w:val="nil"/>
              <w:bottom w:val="single" w:sz="4" w:space="0" w:color="auto"/>
              <w:right w:val="nil"/>
            </w:tcBorders>
            <w:shd w:val="clear" w:color="auto" w:fill="auto"/>
            <w:noWrap/>
            <w:vAlign w:val="center"/>
            <w:hideMark/>
          </w:tcPr>
          <w:p w14:paraId="682840F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-6,2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78DAD1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12D3C6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663" w:type="dxa"/>
            <w:tcBorders>
              <w:top w:val="nil"/>
              <w:left w:val="nil"/>
              <w:bottom w:val="single" w:sz="4" w:space="0" w:color="auto"/>
              <w:right w:val="nil"/>
            </w:tcBorders>
            <w:shd w:val="clear" w:color="auto" w:fill="auto"/>
            <w:noWrap/>
            <w:vAlign w:val="bottom"/>
            <w:hideMark/>
          </w:tcPr>
          <w:p w14:paraId="0F733D6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55,6 %</w:t>
            </w:r>
          </w:p>
        </w:tc>
        <w:tc>
          <w:tcPr>
            <w:tcW w:w="1777" w:type="dxa"/>
            <w:tcBorders>
              <w:top w:val="nil"/>
              <w:left w:val="nil"/>
              <w:bottom w:val="single" w:sz="4" w:space="0" w:color="auto"/>
              <w:right w:val="nil"/>
            </w:tcBorders>
            <w:shd w:val="clear" w:color="auto" w:fill="auto"/>
            <w:noWrap/>
            <w:vAlign w:val="center"/>
            <w:hideMark/>
          </w:tcPr>
          <w:p w14:paraId="5308115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06120E7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136229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663" w:type="dxa"/>
            <w:tcBorders>
              <w:top w:val="nil"/>
              <w:left w:val="nil"/>
              <w:bottom w:val="single" w:sz="4" w:space="0" w:color="auto"/>
              <w:right w:val="nil"/>
            </w:tcBorders>
            <w:shd w:val="clear" w:color="auto" w:fill="auto"/>
            <w:noWrap/>
            <w:vAlign w:val="bottom"/>
            <w:hideMark/>
          </w:tcPr>
          <w:p w14:paraId="64D9255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39,1 %</w:t>
            </w:r>
          </w:p>
        </w:tc>
        <w:tc>
          <w:tcPr>
            <w:tcW w:w="1777" w:type="dxa"/>
            <w:tcBorders>
              <w:top w:val="nil"/>
              <w:left w:val="nil"/>
              <w:bottom w:val="single" w:sz="4" w:space="0" w:color="auto"/>
              <w:right w:val="nil"/>
            </w:tcBorders>
            <w:shd w:val="clear" w:color="auto" w:fill="auto"/>
            <w:noWrap/>
            <w:vAlign w:val="center"/>
            <w:hideMark/>
          </w:tcPr>
          <w:p w14:paraId="797B30F5"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+0,6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4035467"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DC258A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663" w:type="dxa"/>
            <w:tcBorders>
              <w:top w:val="nil"/>
              <w:left w:val="nil"/>
              <w:bottom w:val="single" w:sz="4" w:space="0" w:color="auto"/>
              <w:right w:val="nil"/>
            </w:tcBorders>
            <w:shd w:val="clear" w:color="auto" w:fill="auto"/>
            <w:noWrap/>
            <w:vAlign w:val="bottom"/>
            <w:hideMark/>
          </w:tcPr>
          <w:p w14:paraId="23D0D6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47,7 %</w:t>
            </w:r>
          </w:p>
        </w:tc>
        <w:tc>
          <w:tcPr>
            <w:tcW w:w="1777" w:type="dxa"/>
            <w:tcBorders>
              <w:top w:val="nil"/>
              <w:left w:val="nil"/>
              <w:bottom w:val="single" w:sz="4" w:space="0" w:color="auto"/>
              <w:right w:val="nil"/>
            </w:tcBorders>
            <w:shd w:val="clear" w:color="auto" w:fill="auto"/>
            <w:noWrap/>
            <w:vAlign w:val="center"/>
            <w:hideMark/>
          </w:tcPr>
          <w:p w14:paraId="1DBF6E9E"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00469866"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1EC9C55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663" w:type="dxa"/>
            <w:tcBorders>
              <w:top w:val="nil"/>
              <w:left w:val="nil"/>
              <w:bottom w:val="double" w:sz="6" w:space="0" w:color="auto"/>
              <w:right w:val="nil"/>
            </w:tcBorders>
            <w:shd w:val="clear" w:color="auto" w:fill="auto"/>
            <w:noWrap/>
            <w:vAlign w:val="bottom"/>
            <w:hideMark/>
          </w:tcPr>
          <w:p w14:paraId="3DA37C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40,7 %</w:t>
            </w:r>
          </w:p>
        </w:tc>
        <w:tc>
          <w:tcPr>
            <w:tcW w:w="1777" w:type="dxa"/>
            <w:tcBorders>
              <w:top w:val="nil"/>
              <w:left w:val="nil"/>
              <w:bottom w:val="double" w:sz="6" w:space="0" w:color="auto"/>
              <w:right w:val="nil"/>
            </w:tcBorders>
            <w:shd w:val="clear" w:color="auto" w:fill="auto"/>
            <w:noWrap/>
            <w:vAlign w:val="center"/>
            <w:hideMark/>
          </w:tcPr>
          <w:p w14:paraId="43E69749"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-5,5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477FAF24"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2F51427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663" w:type="dxa"/>
            <w:tcBorders>
              <w:top w:val="nil"/>
              <w:left w:val="nil"/>
              <w:bottom w:val="double" w:sz="6" w:space="0" w:color="auto"/>
              <w:right w:val="nil"/>
            </w:tcBorders>
            <w:shd w:val="clear" w:color="auto" w:fill="auto"/>
            <w:noWrap/>
            <w:vAlign w:val="bottom"/>
            <w:hideMark/>
          </w:tcPr>
          <w:p w14:paraId="5B6FBF0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42,0 %</w:t>
            </w:r>
          </w:p>
        </w:tc>
        <w:tc>
          <w:tcPr>
            <w:tcW w:w="1777" w:type="dxa"/>
            <w:tcBorders>
              <w:top w:val="nil"/>
              <w:left w:val="nil"/>
              <w:bottom w:val="double" w:sz="6" w:space="0" w:color="auto"/>
              <w:right w:val="nil"/>
            </w:tcBorders>
            <w:shd w:val="clear" w:color="auto" w:fill="auto"/>
            <w:noWrap/>
            <w:vAlign w:val="center"/>
            <w:hideMark/>
          </w:tcPr>
          <w:p w14:paraId="690031B4"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-2,6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255D4112" w14:textId="77777777" w:rsidR="00273971" w:rsidRPr="001C3EC8" w:rsidRDefault="00273971" w:rsidP="00273971">
      <w:pPr>
        <w:pStyle w:val="OdstavecASR"/>
        <w:rPr>
          <w:color w:val="000000" w:themeColor="text1"/>
        </w:rPr>
      </w:pPr>
      <w:bookmarkStart w:id="155" w:name="_Toc515871344"/>
      <w:bookmarkStart w:id="156" w:name="_Toc11135079"/>
      <w:bookmarkStart w:id="157" w:name="_Toc43841396"/>
    </w:p>
    <w:p w14:paraId="1E163A71" w14:textId="2B5663F8" w:rsidR="008430BD" w:rsidRPr="001C3EC8" w:rsidRDefault="008430BD" w:rsidP="008430BD">
      <w:pPr>
        <w:pStyle w:val="Podnadpis"/>
        <w:rPr>
          <w:color w:val="000000" w:themeColor="text1"/>
        </w:rPr>
      </w:pPr>
      <w:bookmarkStart w:id="158" w:name="_Toc75952197"/>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17</w:t>
      </w:r>
      <w:r w:rsidRPr="001C3EC8">
        <w:rPr>
          <w:color w:val="000000" w:themeColor="text1"/>
        </w:rPr>
        <w:fldChar w:fldCharType="end"/>
      </w:r>
      <w:r w:rsidRPr="001C3EC8">
        <w:rPr>
          <w:color w:val="000000" w:themeColor="text1"/>
        </w:rPr>
        <w:t>: OS – míra změny rozsudku u jednotlivých soudů v civilním řízení</w:t>
      </w:r>
      <w:bookmarkEnd w:id="155"/>
      <w:bookmarkEnd w:id="156"/>
      <w:bookmarkEnd w:id="157"/>
      <w:bookmarkEnd w:id="158"/>
    </w:p>
    <w:p w14:paraId="55CCCD1A" w14:textId="09FEEC8B" w:rsidR="008430BD" w:rsidRPr="001C3EC8"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67456" behindDoc="0" locked="0" layoutInCell="1" allowOverlap="1" wp14:anchorId="057DA855" wp14:editId="40AF7B94">
            <wp:simplePos x="0" y="0"/>
            <wp:positionH relativeFrom="margin">
              <wp:align>right</wp:align>
            </wp:positionH>
            <wp:positionV relativeFrom="paragraph">
              <wp:posOffset>13970</wp:posOffset>
            </wp:positionV>
            <wp:extent cx="1260000" cy="918000"/>
            <wp:effectExtent l="0" t="0" r="0" b="0"/>
            <wp:wrapNone/>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anchor>
        </w:drawing>
      </w:r>
      <w:r w:rsidRPr="001C3EC8">
        <w:rPr>
          <w:noProof/>
          <w:color w:val="000000" w:themeColor="text1"/>
          <w:lang w:eastAsia="cs-CZ"/>
        </w:rPr>
        <w:drawing>
          <wp:inline distT="0" distB="0" distL="0" distR="0" wp14:anchorId="2724A72C" wp14:editId="442E049F">
            <wp:extent cx="5759450" cy="3296019"/>
            <wp:effectExtent l="0" t="0" r="0" b="0"/>
            <wp:docPr id="294" name="Obráze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Pr="001C3EC8">
        <w:rPr>
          <w:color w:val="000000" w:themeColor="text1"/>
        </w:rPr>
        <w:t xml:space="preserve">Míra změny rozsudku je stejně jako v předchozím roce nejnižší v Praze </w:t>
      </w:r>
      <w:r w:rsidR="001B5E6A" w:rsidRPr="001C3EC8">
        <w:rPr>
          <w:color w:val="000000" w:themeColor="text1"/>
        </w:rPr>
        <w:t>a</w:t>
      </w:r>
      <w:r w:rsidR="001B5E6A">
        <w:rPr>
          <w:color w:val="000000" w:themeColor="text1"/>
        </w:rPr>
        <w:t> </w:t>
      </w:r>
      <w:r w:rsidRPr="001C3EC8">
        <w:rPr>
          <w:color w:val="000000" w:themeColor="text1"/>
        </w:rPr>
        <w:t xml:space="preserve">v Královehradeckém kraji. Celorepublikově došlo k mírnému poklesu míry změny rozsudku. </w:t>
      </w:r>
      <w:r w:rsidR="001B5E6A" w:rsidRPr="001C3EC8">
        <w:rPr>
          <w:color w:val="000000" w:themeColor="text1"/>
        </w:rPr>
        <w:t>Z</w:t>
      </w:r>
      <w:r w:rsidR="001B5E6A">
        <w:rPr>
          <w:color w:val="000000" w:themeColor="text1"/>
        </w:rPr>
        <w:t> </w:t>
      </w:r>
      <w:r w:rsidRPr="001C3EC8">
        <w:rPr>
          <w:color w:val="000000" w:themeColor="text1"/>
        </w:rPr>
        <w:t>okresních soudů mají nejnižší míru změny rozsudku OS Beroun (4,88 %), OS pro Prahu 3 (11,11 %) a OS pro Prahu 7 (15,52 %). Na druhém konci se nacházejí OS Jablonec nad Nisou (68,12 %), OS Jindřichův Hradec (65,52 %) a OS Znojmo (64,29 %).</w:t>
      </w:r>
    </w:p>
    <w:p w14:paraId="2CE5464C" w14:textId="04991FF9" w:rsidR="008430BD" w:rsidRPr="001C3EC8" w:rsidRDefault="008430BD" w:rsidP="008430BD">
      <w:pPr>
        <w:pStyle w:val="OdstavecASR"/>
        <w:rPr>
          <w:color w:val="000000" w:themeColor="text1"/>
        </w:rPr>
      </w:pPr>
      <w:r w:rsidRPr="001C3EC8">
        <w:rPr>
          <w:color w:val="000000" w:themeColor="text1"/>
        </w:rPr>
        <w:t xml:space="preserve">Vynásobením míry odvolání a míry změny rozsudku dostaneme podíl věcí, ve kterých odvolací soud nakonec změnil rozhodnutí soudu </w:t>
      </w:r>
      <w:r w:rsidR="000C3B1E">
        <w:rPr>
          <w:color w:val="000000" w:themeColor="text1"/>
        </w:rPr>
        <w:t>I. stupně</w:t>
      </w:r>
      <w:r w:rsidR="00B8488E" w:rsidRPr="001C3EC8">
        <w:rPr>
          <w:color w:val="000000" w:themeColor="text1"/>
        </w:rPr>
        <w:t>,</w:t>
      </w:r>
      <w:r w:rsidRPr="001C3EC8">
        <w:rPr>
          <w:color w:val="000000" w:themeColor="text1"/>
        </w:rPr>
        <w:t xml:space="preserve"> ke všem prvostupňovým rozhodnutím. Tento </w:t>
      </w:r>
      <w:r w:rsidRPr="001C3EC8">
        <w:rPr>
          <w:color w:val="000000" w:themeColor="text1"/>
        </w:rPr>
        <w:lastRenderedPageBreak/>
        <w:t xml:space="preserve">ukazatel budeme nazývat </w:t>
      </w:r>
      <w:r w:rsidRPr="001C3EC8">
        <w:rPr>
          <w:i/>
          <w:color w:val="000000" w:themeColor="text1"/>
        </w:rPr>
        <w:t>míra celkové změny rozsudku</w:t>
      </w:r>
      <w:r w:rsidRPr="001C3EC8">
        <w:rPr>
          <w:color w:val="000000" w:themeColor="text1"/>
        </w:rPr>
        <w:t>. Tato míra se v roce 2019 rovnala 7,81 % × 44,6 % </w:t>
      </w:r>
      <w:r w:rsidRPr="001C3EC8">
        <w:rPr>
          <w:rFonts w:ascii="Cambria Math" w:hAnsi="Cambria Math" w:cs="Cambria Math"/>
          <w:color w:val="000000" w:themeColor="text1"/>
        </w:rPr>
        <w:t>≐</w:t>
      </w:r>
      <w:r w:rsidRPr="001C3EC8">
        <w:rPr>
          <w:color w:val="000000" w:themeColor="text1"/>
        </w:rPr>
        <w:t xml:space="preserve"> 3,48. V roce 2020 se pak rovnala 8,16 % × 44,0 % </w:t>
      </w:r>
      <w:r w:rsidRPr="001C3EC8">
        <w:rPr>
          <w:rFonts w:ascii="Cambria Math" w:hAnsi="Cambria Math" w:cs="Cambria Math"/>
          <w:color w:val="000000" w:themeColor="text1"/>
        </w:rPr>
        <w:t>≐</w:t>
      </w:r>
      <w:r w:rsidRPr="001C3EC8">
        <w:rPr>
          <w:color w:val="000000" w:themeColor="text1"/>
        </w:rPr>
        <w:t xml:space="preserve"> 3,59.</w:t>
      </w:r>
    </w:p>
    <w:p w14:paraId="6E244BB2" w14:textId="63198122" w:rsidR="00D8425E" w:rsidRPr="001C3EC8" w:rsidRDefault="00D8425E" w:rsidP="008430BD">
      <w:pPr>
        <w:pStyle w:val="OdstavecASR"/>
        <w:rPr>
          <w:b/>
          <w:bCs/>
          <w:color w:val="000000" w:themeColor="text1"/>
        </w:rPr>
      </w:pPr>
      <w:r w:rsidRPr="001C3EC8">
        <w:rPr>
          <w:b/>
          <w:bCs/>
          <w:color w:val="000000" w:themeColor="text1"/>
        </w:rPr>
        <w:t>Přepočet nápadu na obyvatele</w:t>
      </w:r>
    </w:p>
    <w:p w14:paraId="72C6A201" w14:textId="7F93A6C3" w:rsidR="008430BD" w:rsidRPr="001C3EC8" w:rsidRDefault="008430BD" w:rsidP="008430BD">
      <w:pPr>
        <w:pStyle w:val="OdstavecASR"/>
        <w:rPr>
          <w:color w:val="000000" w:themeColor="text1"/>
        </w:rPr>
      </w:pPr>
      <w:r w:rsidRPr="001C3EC8">
        <w:rPr>
          <w:color w:val="000000" w:themeColor="text1"/>
        </w:rPr>
        <w:t>Jako další statistik</w:t>
      </w:r>
      <w:r w:rsidR="00B8488E" w:rsidRPr="001C3EC8">
        <w:rPr>
          <w:color w:val="000000" w:themeColor="text1"/>
        </w:rPr>
        <w:t>u uvádíme</w:t>
      </w:r>
      <w:r w:rsidRPr="001C3EC8">
        <w:rPr>
          <w:color w:val="000000" w:themeColor="text1"/>
        </w:rPr>
        <w:t xml:space="preserve"> přepočet nápadu na </w:t>
      </w:r>
      <w:r w:rsidR="001B5E6A" w:rsidRPr="001C3EC8">
        <w:rPr>
          <w:color w:val="000000" w:themeColor="text1"/>
        </w:rPr>
        <w:t>1</w:t>
      </w:r>
      <w:r w:rsidR="001B5E6A">
        <w:rPr>
          <w:color w:val="000000" w:themeColor="text1"/>
        </w:rPr>
        <w:t> </w:t>
      </w:r>
      <w:r w:rsidRPr="001C3EC8">
        <w:rPr>
          <w:color w:val="000000" w:themeColor="text1"/>
        </w:rPr>
        <w:t xml:space="preserve">000 obyvatel. Odkazuje-li se ve zprávě na počet obyvatel, jedná se </w:t>
      </w:r>
      <w:r w:rsidR="001B5E6A" w:rsidRPr="001C3EC8">
        <w:rPr>
          <w:color w:val="000000" w:themeColor="text1"/>
        </w:rPr>
        <w:t>o</w:t>
      </w:r>
      <w:r w:rsidR="001B5E6A">
        <w:rPr>
          <w:color w:val="000000" w:themeColor="text1"/>
        </w:rPr>
        <w:t> </w:t>
      </w:r>
      <w:r w:rsidRPr="001C3EC8">
        <w:rPr>
          <w:color w:val="000000" w:themeColor="text1"/>
        </w:rPr>
        <w:t xml:space="preserve">obyvatele bez ohledu na státní příslušnost (více </w:t>
      </w:r>
      <w:r w:rsidR="001B5E6A" w:rsidRPr="001C3EC8">
        <w:rPr>
          <w:color w:val="000000" w:themeColor="text1"/>
        </w:rPr>
        <w:t>o</w:t>
      </w:r>
      <w:r w:rsidR="001B5E6A">
        <w:rPr>
          <w:color w:val="000000" w:themeColor="text1"/>
        </w:rPr>
        <w:t> </w:t>
      </w:r>
      <w:r w:rsidRPr="001C3EC8">
        <w:rPr>
          <w:color w:val="000000" w:themeColor="text1"/>
        </w:rPr>
        <w:t>státní příslušnosti v další odrážce). Pokud se uvádí počty obyvatel dle soudních krajů, jedná se o:</w:t>
      </w:r>
    </w:p>
    <w:p w14:paraId="4941FCBE" w14:textId="77777777" w:rsidR="008430BD" w:rsidRPr="001C3EC8" w:rsidRDefault="008430BD" w:rsidP="008430BD">
      <w:pPr>
        <w:pStyle w:val="Odstavecseseznamem"/>
        <w:numPr>
          <w:ilvl w:val="1"/>
          <w:numId w:val="3"/>
        </w:numPr>
        <w:rPr>
          <w:color w:val="000000" w:themeColor="text1"/>
        </w:rPr>
      </w:pPr>
      <w:r w:rsidRPr="001C3EC8">
        <w:rPr>
          <w:color w:val="000000" w:themeColor="text1"/>
        </w:rPr>
        <w:t>počet obyvatel dopočítaný dle počtu obyvatel okresů spadajících do daného soudního kraje,</w:t>
      </w:r>
    </w:p>
    <w:p w14:paraId="0389F2F2" w14:textId="4E19C128" w:rsidR="008430BD" w:rsidRPr="001C3EC8" w:rsidRDefault="008430BD" w:rsidP="008430BD">
      <w:pPr>
        <w:pStyle w:val="Odstavecseseznamem"/>
        <w:numPr>
          <w:ilvl w:val="1"/>
          <w:numId w:val="3"/>
        </w:numPr>
        <w:rPr>
          <w:color w:val="000000" w:themeColor="text1"/>
        </w:rPr>
      </w:pPr>
      <w:r w:rsidRPr="001C3EC8">
        <w:rPr>
          <w:color w:val="000000" w:themeColor="text1"/>
        </w:rPr>
        <w:t>počet obyvatel mající</w:t>
      </w:r>
      <w:r w:rsidR="00B8488E" w:rsidRPr="001C3EC8">
        <w:rPr>
          <w:color w:val="000000" w:themeColor="text1"/>
        </w:rPr>
        <w:t>ch</w:t>
      </w:r>
      <w:r w:rsidRPr="001C3EC8">
        <w:rPr>
          <w:color w:val="000000" w:themeColor="text1"/>
        </w:rPr>
        <w:t xml:space="preserve"> v daném okresu/soudním kraji trvalé bydliště.</w:t>
      </w:r>
    </w:p>
    <w:p w14:paraId="5E39F34C" w14:textId="06DE078A" w:rsidR="008430BD" w:rsidRPr="001C3EC8" w:rsidRDefault="008430BD" w:rsidP="008430BD">
      <w:pPr>
        <w:rPr>
          <w:color w:val="000000" w:themeColor="text1"/>
        </w:rPr>
      </w:pPr>
      <w:r w:rsidRPr="001C3EC8">
        <w:rPr>
          <w:color w:val="000000" w:themeColor="text1"/>
        </w:rPr>
        <w:t>Uvádí-li se ve zprávě počet obyvatel dle státní příslušnosti („cizinci“), jedná se o cizince s vízy nad 90 dnů (podle zákona č.</w:t>
      </w:r>
      <w:r w:rsidR="00B861E6" w:rsidRPr="001C3EC8">
        <w:rPr>
          <w:color w:val="000000" w:themeColor="text1"/>
        </w:rPr>
        <w:t> </w:t>
      </w:r>
      <w:r w:rsidRPr="001C3EC8">
        <w:rPr>
          <w:color w:val="000000" w:themeColor="text1"/>
        </w:rPr>
        <w:t>326/1999</w:t>
      </w:r>
      <w:r w:rsidR="00B861E6" w:rsidRPr="001C3EC8">
        <w:rPr>
          <w:color w:val="000000" w:themeColor="text1"/>
        </w:rPr>
        <w:t> </w:t>
      </w:r>
      <w:r w:rsidRPr="001C3EC8">
        <w:rPr>
          <w:color w:val="000000" w:themeColor="text1"/>
        </w:rPr>
        <w:t>Sb.</w:t>
      </w:r>
      <w:r w:rsidR="00B861E6" w:rsidRPr="001C3EC8">
        <w:rPr>
          <w:color w:val="000000" w:themeColor="text1"/>
        </w:rPr>
        <w:t xml:space="preserve">, </w:t>
      </w:r>
      <w:r w:rsidRPr="001C3EC8">
        <w:rPr>
          <w:color w:val="000000" w:themeColor="text1"/>
        </w:rPr>
        <w:t>o</w:t>
      </w:r>
      <w:r w:rsidR="00B861E6" w:rsidRPr="001C3EC8">
        <w:rPr>
          <w:color w:val="000000" w:themeColor="text1"/>
        </w:rPr>
        <w:t> </w:t>
      </w:r>
      <w:r w:rsidRPr="001C3EC8">
        <w:rPr>
          <w:color w:val="000000" w:themeColor="text1"/>
        </w:rPr>
        <w:t xml:space="preserve">pobytu cizinců) </w:t>
      </w:r>
      <w:r w:rsidR="001B5E6A" w:rsidRPr="001C3EC8">
        <w:rPr>
          <w:color w:val="000000" w:themeColor="text1"/>
        </w:rPr>
        <w:t>a</w:t>
      </w:r>
      <w:r w:rsidR="001B5E6A">
        <w:rPr>
          <w:color w:val="000000" w:themeColor="text1"/>
        </w:rPr>
        <w:t> </w:t>
      </w:r>
      <w:r w:rsidRPr="001C3EC8">
        <w:rPr>
          <w:color w:val="000000" w:themeColor="text1"/>
        </w:rPr>
        <w:t>taktéž cizince s přiznaným azylem (podle zákona č.</w:t>
      </w:r>
      <w:r w:rsidR="00B861E6" w:rsidRPr="001C3EC8">
        <w:rPr>
          <w:color w:val="000000" w:themeColor="text1"/>
        </w:rPr>
        <w:t> </w:t>
      </w:r>
      <w:r w:rsidRPr="001C3EC8">
        <w:rPr>
          <w:color w:val="000000" w:themeColor="text1"/>
        </w:rPr>
        <w:t>325/1999</w:t>
      </w:r>
      <w:r w:rsidR="00B861E6" w:rsidRPr="001C3EC8">
        <w:rPr>
          <w:color w:val="000000" w:themeColor="text1"/>
        </w:rPr>
        <w:t> </w:t>
      </w:r>
      <w:r w:rsidRPr="001C3EC8">
        <w:rPr>
          <w:color w:val="000000" w:themeColor="text1"/>
        </w:rPr>
        <w:t>Sb.</w:t>
      </w:r>
      <w:r w:rsidR="006E235D" w:rsidRPr="001C3EC8">
        <w:rPr>
          <w:color w:val="000000" w:themeColor="text1"/>
        </w:rPr>
        <w:t>,</w:t>
      </w:r>
      <w:r w:rsidRPr="001C3EC8">
        <w:rPr>
          <w:color w:val="000000" w:themeColor="text1"/>
        </w:rPr>
        <w:t xml:space="preserve"> </w:t>
      </w:r>
      <w:r w:rsidR="001B5E6A" w:rsidRPr="001C3EC8">
        <w:rPr>
          <w:color w:val="000000" w:themeColor="text1"/>
        </w:rPr>
        <w:t>o</w:t>
      </w:r>
      <w:r w:rsidR="001B5E6A">
        <w:rPr>
          <w:color w:val="000000" w:themeColor="text1"/>
        </w:rPr>
        <w:t> </w:t>
      </w:r>
      <w:r w:rsidRPr="001C3EC8">
        <w:rPr>
          <w:color w:val="000000" w:themeColor="text1"/>
        </w:rPr>
        <w:t>azylu</w:t>
      </w:r>
      <w:r w:rsidR="00B8488E" w:rsidRPr="001C3EC8">
        <w:rPr>
          <w:color w:val="000000" w:themeColor="text1"/>
        </w:rPr>
        <w:t>).</w:t>
      </w:r>
      <w:r w:rsidRPr="001C3EC8">
        <w:rPr>
          <w:color w:val="000000" w:themeColor="text1"/>
        </w:rPr>
        <w:t xml:space="preserve"> </w:t>
      </w:r>
      <w:r w:rsidR="00B8488E" w:rsidRPr="001C3EC8">
        <w:rPr>
          <w:color w:val="000000" w:themeColor="text1"/>
        </w:rPr>
        <w:t>N</w:t>
      </w:r>
      <w:r w:rsidRPr="001C3EC8">
        <w:rPr>
          <w:color w:val="000000" w:themeColor="text1"/>
        </w:rPr>
        <w:t xml:space="preserve">ejsou tedy zahrnuti např. žadatelé </w:t>
      </w:r>
      <w:r w:rsidR="001B5E6A" w:rsidRPr="001C3EC8">
        <w:rPr>
          <w:color w:val="000000" w:themeColor="text1"/>
        </w:rPr>
        <w:t>o</w:t>
      </w:r>
      <w:r w:rsidR="001B5E6A">
        <w:rPr>
          <w:color w:val="000000" w:themeColor="text1"/>
        </w:rPr>
        <w:t> </w:t>
      </w:r>
      <w:r w:rsidRPr="001C3EC8">
        <w:rPr>
          <w:color w:val="000000" w:themeColor="text1"/>
        </w:rPr>
        <w:t>azyl). Od 1.</w:t>
      </w:r>
      <w:r w:rsidR="00B861E6" w:rsidRPr="001C3EC8">
        <w:rPr>
          <w:color w:val="000000" w:themeColor="text1"/>
        </w:rPr>
        <w:t> </w:t>
      </w:r>
      <w:r w:rsidRPr="001C3EC8">
        <w:rPr>
          <w:color w:val="000000" w:themeColor="text1"/>
        </w:rPr>
        <w:t>5.</w:t>
      </w:r>
      <w:r w:rsidR="00B861E6" w:rsidRPr="001C3EC8">
        <w:rPr>
          <w:color w:val="000000" w:themeColor="text1"/>
        </w:rPr>
        <w:t> </w:t>
      </w:r>
      <w:r w:rsidRPr="001C3EC8">
        <w:rPr>
          <w:color w:val="000000" w:themeColor="text1"/>
        </w:rPr>
        <w:t xml:space="preserve">2004 v návaznosti na tzv. </w:t>
      </w:r>
      <w:proofErr w:type="spellStart"/>
      <w:r w:rsidR="00B8488E" w:rsidRPr="001C3EC8">
        <w:rPr>
          <w:color w:val="000000" w:themeColor="text1"/>
        </w:rPr>
        <w:t>e</w:t>
      </w:r>
      <w:r w:rsidRPr="001C3EC8">
        <w:rPr>
          <w:color w:val="000000" w:themeColor="text1"/>
        </w:rPr>
        <w:t>uronovelu</w:t>
      </w:r>
      <w:proofErr w:type="spellEnd"/>
      <w:r w:rsidRPr="001C3EC8">
        <w:rPr>
          <w:color w:val="000000" w:themeColor="text1"/>
        </w:rPr>
        <w:t xml:space="preserve"> zákona č.</w:t>
      </w:r>
      <w:r w:rsidR="00B861E6" w:rsidRPr="001C3EC8">
        <w:rPr>
          <w:color w:val="000000" w:themeColor="text1"/>
        </w:rPr>
        <w:t> </w:t>
      </w:r>
      <w:r w:rsidRPr="001C3EC8">
        <w:rPr>
          <w:color w:val="000000" w:themeColor="text1"/>
        </w:rPr>
        <w:t>326/1999</w:t>
      </w:r>
      <w:r w:rsidR="00B861E6" w:rsidRPr="001C3EC8">
        <w:rPr>
          <w:color w:val="000000" w:themeColor="text1"/>
        </w:rPr>
        <w:t> </w:t>
      </w:r>
      <w:r w:rsidRPr="001C3EC8">
        <w:rPr>
          <w:color w:val="000000" w:themeColor="text1"/>
        </w:rPr>
        <w:t xml:space="preserve">Sb. se údaje týkají občanů zemí EU s přechodným pobytem </w:t>
      </w:r>
      <w:r w:rsidR="001B5E6A" w:rsidRPr="001C3EC8">
        <w:rPr>
          <w:color w:val="000000" w:themeColor="text1"/>
        </w:rPr>
        <w:t>a</w:t>
      </w:r>
      <w:r w:rsidR="001B5E6A">
        <w:rPr>
          <w:color w:val="000000" w:themeColor="text1"/>
        </w:rPr>
        <w:t> </w:t>
      </w:r>
      <w:r w:rsidRPr="001C3EC8">
        <w:rPr>
          <w:color w:val="000000" w:themeColor="text1"/>
        </w:rPr>
        <w:t>občanů třetích zemí s dlouhodobým pobytem.</w:t>
      </w:r>
    </w:p>
    <w:p w14:paraId="70378C17" w14:textId="1326B580" w:rsidR="008430BD" w:rsidRPr="001C3EC8" w:rsidRDefault="008430BD" w:rsidP="008430BD">
      <w:pPr>
        <w:pStyle w:val="OdstavecASR"/>
        <w:rPr>
          <w:color w:val="000000" w:themeColor="text1"/>
        </w:rPr>
      </w:pPr>
    </w:p>
    <w:p w14:paraId="6F0FA303" w14:textId="53BFA249" w:rsidR="008430BD" w:rsidRPr="001C3EC8" w:rsidRDefault="008430BD" w:rsidP="008430BD">
      <w:pPr>
        <w:pStyle w:val="Podnadpis"/>
        <w:rPr>
          <w:color w:val="000000" w:themeColor="text1"/>
        </w:rPr>
      </w:pPr>
      <w:bookmarkStart w:id="159" w:name="_Toc7595231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16</w:t>
      </w:r>
      <w:r w:rsidRPr="001C3EC8">
        <w:rPr>
          <w:noProof/>
          <w:color w:val="000000" w:themeColor="text1"/>
        </w:rPr>
        <w:fldChar w:fldCharType="end"/>
      </w:r>
      <w:r w:rsidRPr="001C3EC8">
        <w:rPr>
          <w:color w:val="000000" w:themeColor="text1"/>
        </w:rPr>
        <w:t>: OS – nápad civilních věcí na 1 000 obyvatel</w:t>
      </w:r>
      <w:bookmarkEnd w:id="159"/>
    </w:p>
    <w:tbl>
      <w:tblPr>
        <w:tblW w:w="7880" w:type="dxa"/>
        <w:tblCellMar>
          <w:left w:w="70" w:type="dxa"/>
          <w:right w:w="70" w:type="dxa"/>
        </w:tblCellMar>
        <w:tblLook w:val="04A0" w:firstRow="1" w:lastRow="0" w:firstColumn="1" w:lastColumn="0" w:noHBand="0" w:noVBand="1"/>
      </w:tblPr>
      <w:tblGrid>
        <w:gridCol w:w="1820"/>
        <w:gridCol w:w="2020"/>
        <w:gridCol w:w="2020"/>
        <w:gridCol w:w="2020"/>
      </w:tblGrid>
      <w:tr w:rsidR="00DA32AF" w:rsidRPr="001C3EC8" w14:paraId="7F96CACE" w14:textId="77777777" w:rsidTr="00DA32AF">
        <w:trPr>
          <w:trHeight w:val="660"/>
        </w:trPr>
        <w:tc>
          <w:tcPr>
            <w:tcW w:w="1820" w:type="dxa"/>
            <w:tcBorders>
              <w:top w:val="double" w:sz="6" w:space="0" w:color="auto"/>
              <w:left w:val="nil"/>
              <w:bottom w:val="double" w:sz="6" w:space="0" w:color="auto"/>
              <w:right w:val="nil"/>
            </w:tcBorders>
            <w:shd w:val="clear" w:color="auto" w:fill="auto"/>
            <w:noWrap/>
            <w:vAlign w:val="center"/>
            <w:hideMark/>
          </w:tcPr>
          <w:p w14:paraId="11F0A2D6" w14:textId="77777777"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020" w:type="dxa"/>
            <w:tcBorders>
              <w:top w:val="double" w:sz="6" w:space="0" w:color="auto"/>
              <w:left w:val="nil"/>
              <w:bottom w:val="double" w:sz="6" w:space="0" w:color="auto"/>
              <w:right w:val="nil"/>
            </w:tcBorders>
            <w:shd w:val="clear" w:color="auto" w:fill="auto"/>
            <w:noWrap/>
            <w:vAlign w:val="center"/>
            <w:hideMark/>
          </w:tcPr>
          <w:p w14:paraId="57A3B805" w14:textId="77777777"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obyvatel</w:t>
            </w:r>
          </w:p>
        </w:tc>
        <w:tc>
          <w:tcPr>
            <w:tcW w:w="2020" w:type="dxa"/>
            <w:tcBorders>
              <w:top w:val="double" w:sz="6" w:space="0" w:color="auto"/>
              <w:left w:val="nil"/>
              <w:bottom w:val="double" w:sz="6" w:space="0" w:color="auto"/>
              <w:right w:val="nil"/>
            </w:tcBorders>
            <w:shd w:val="clear" w:color="auto" w:fill="auto"/>
            <w:noWrap/>
            <w:vAlign w:val="center"/>
            <w:hideMark/>
          </w:tcPr>
          <w:p w14:paraId="3ED76E36" w14:textId="13200E3F"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w:t>
            </w:r>
          </w:p>
        </w:tc>
        <w:tc>
          <w:tcPr>
            <w:tcW w:w="2020" w:type="dxa"/>
            <w:tcBorders>
              <w:top w:val="double" w:sz="6" w:space="0" w:color="auto"/>
              <w:left w:val="nil"/>
              <w:bottom w:val="double" w:sz="6" w:space="0" w:color="auto"/>
              <w:right w:val="nil"/>
            </w:tcBorders>
            <w:shd w:val="clear" w:color="auto" w:fill="auto"/>
            <w:vAlign w:val="center"/>
            <w:hideMark/>
          </w:tcPr>
          <w:p w14:paraId="69ABD1A6" w14:textId="4FCF4BAC"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Nápad/1</w:t>
            </w:r>
            <w:r w:rsidR="00FA2F47">
              <w:rPr>
                <w:rFonts w:eastAsia="Times New Roman"/>
                <w:b/>
                <w:bCs/>
                <w:color w:val="000000" w:themeColor="text1"/>
                <w:szCs w:val="24"/>
                <w:lang w:eastAsia="cs-CZ"/>
              </w:rPr>
              <w:t> </w:t>
            </w:r>
            <w:r w:rsidRPr="001C3EC8">
              <w:rPr>
                <w:rFonts w:eastAsia="Times New Roman"/>
                <w:b/>
                <w:bCs/>
                <w:color w:val="000000" w:themeColor="text1"/>
                <w:szCs w:val="24"/>
                <w:lang w:eastAsia="cs-CZ"/>
              </w:rPr>
              <w:t>000 obyvatel</w:t>
            </w:r>
          </w:p>
        </w:tc>
      </w:tr>
      <w:tr w:rsidR="00DA32AF" w:rsidRPr="001C3EC8" w14:paraId="4376E621" w14:textId="77777777" w:rsidTr="00DA32AF">
        <w:trPr>
          <w:trHeight w:val="330"/>
        </w:trPr>
        <w:tc>
          <w:tcPr>
            <w:tcW w:w="1820" w:type="dxa"/>
            <w:tcBorders>
              <w:top w:val="nil"/>
              <w:left w:val="nil"/>
              <w:bottom w:val="single" w:sz="4" w:space="0" w:color="auto"/>
              <w:right w:val="nil"/>
            </w:tcBorders>
            <w:shd w:val="clear" w:color="auto" w:fill="auto"/>
            <w:noWrap/>
            <w:vAlign w:val="bottom"/>
            <w:hideMark/>
          </w:tcPr>
          <w:p w14:paraId="56EF4A8E"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2020" w:type="dxa"/>
            <w:tcBorders>
              <w:top w:val="nil"/>
              <w:left w:val="nil"/>
              <w:bottom w:val="single" w:sz="4" w:space="0" w:color="auto"/>
              <w:right w:val="nil"/>
            </w:tcBorders>
            <w:shd w:val="clear" w:color="auto" w:fill="auto"/>
            <w:noWrap/>
            <w:vAlign w:val="bottom"/>
            <w:hideMark/>
          </w:tcPr>
          <w:p w14:paraId="350BFE08"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1 324 277</w:t>
            </w:r>
          </w:p>
        </w:tc>
        <w:tc>
          <w:tcPr>
            <w:tcW w:w="2020" w:type="dxa"/>
            <w:tcBorders>
              <w:top w:val="single" w:sz="4" w:space="0" w:color="auto"/>
              <w:left w:val="nil"/>
              <w:bottom w:val="single" w:sz="4" w:space="0" w:color="auto"/>
              <w:right w:val="nil"/>
            </w:tcBorders>
            <w:shd w:val="clear" w:color="auto" w:fill="auto"/>
            <w:noWrap/>
            <w:vAlign w:val="bottom"/>
            <w:hideMark/>
          </w:tcPr>
          <w:p w14:paraId="281D4795" w14:textId="0F9A19B6"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419</w:t>
            </w:r>
          </w:p>
        </w:tc>
        <w:tc>
          <w:tcPr>
            <w:tcW w:w="2020" w:type="dxa"/>
            <w:tcBorders>
              <w:top w:val="nil"/>
              <w:left w:val="nil"/>
              <w:bottom w:val="single" w:sz="4" w:space="0" w:color="auto"/>
              <w:right w:val="nil"/>
            </w:tcBorders>
            <w:shd w:val="clear" w:color="auto" w:fill="auto"/>
            <w:noWrap/>
            <w:vAlign w:val="bottom"/>
            <w:hideMark/>
          </w:tcPr>
          <w:p w14:paraId="064FEE55"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w:t>
            </w:r>
          </w:p>
        </w:tc>
      </w:tr>
      <w:tr w:rsidR="00DA32AF" w:rsidRPr="001C3EC8" w14:paraId="77442266" w14:textId="77777777" w:rsidTr="00DA32AF">
        <w:trPr>
          <w:trHeight w:val="315"/>
        </w:trPr>
        <w:tc>
          <w:tcPr>
            <w:tcW w:w="1820" w:type="dxa"/>
            <w:tcBorders>
              <w:top w:val="nil"/>
              <w:left w:val="nil"/>
              <w:bottom w:val="single" w:sz="4" w:space="0" w:color="auto"/>
              <w:right w:val="nil"/>
            </w:tcBorders>
            <w:shd w:val="clear" w:color="auto" w:fill="auto"/>
            <w:noWrap/>
            <w:vAlign w:val="bottom"/>
            <w:hideMark/>
          </w:tcPr>
          <w:p w14:paraId="4367631E"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2020" w:type="dxa"/>
            <w:tcBorders>
              <w:top w:val="nil"/>
              <w:left w:val="nil"/>
              <w:bottom w:val="single" w:sz="4" w:space="0" w:color="auto"/>
              <w:right w:val="nil"/>
            </w:tcBorders>
            <w:shd w:val="clear" w:color="auto" w:fill="auto"/>
            <w:noWrap/>
            <w:vAlign w:val="bottom"/>
            <w:hideMark/>
          </w:tcPr>
          <w:p w14:paraId="70525BA6"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1 385 141</w:t>
            </w:r>
          </w:p>
        </w:tc>
        <w:tc>
          <w:tcPr>
            <w:tcW w:w="2020" w:type="dxa"/>
            <w:tcBorders>
              <w:top w:val="nil"/>
              <w:left w:val="nil"/>
              <w:bottom w:val="single" w:sz="4" w:space="0" w:color="auto"/>
              <w:right w:val="nil"/>
            </w:tcBorders>
            <w:shd w:val="clear" w:color="auto" w:fill="auto"/>
            <w:noWrap/>
            <w:vAlign w:val="bottom"/>
            <w:hideMark/>
          </w:tcPr>
          <w:p w14:paraId="2292E2C5" w14:textId="401C0FE2"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210</w:t>
            </w:r>
          </w:p>
        </w:tc>
        <w:tc>
          <w:tcPr>
            <w:tcW w:w="2020" w:type="dxa"/>
            <w:tcBorders>
              <w:top w:val="nil"/>
              <w:left w:val="nil"/>
              <w:bottom w:val="single" w:sz="4" w:space="0" w:color="auto"/>
              <w:right w:val="nil"/>
            </w:tcBorders>
            <w:shd w:val="clear" w:color="auto" w:fill="auto"/>
            <w:noWrap/>
            <w:vAlign w:val="bottom"/>
            <w:hideMark/>
          </w:tcPr>
          <w:p w14:paraId="781275F5"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w:t>
            </w:r>
          </w:p>
        </w:tc>
      </w:tr>
      <w:tr w:rsidR="00DA32AF" w:rsidRPr="001C3EC8" w14:paraId="40E4EC3E" w14:textId="77777777" w:rsidTr="00DA32AF">
        <w:trPr>
          <w:trHeight w:val="315"/>
        </w:trPr>
        <w:tc>
          <w:tcPr>
            <w:tcW w:w="1820" w:type="dxa"/>
            <w:tcBorders>
              <w:top w:val="nil"/>
              <w:left w:val="nil"/>
              <w:bottom w:val="single" w:sz="4" w:space="0" w:color="auto"/>
              <w:right w:val="nil"/>
            </w:tcBorders>
            <w:shd w:val="clear" w:color="auto" w:fill="auto"/>
            <w:noWrap/>
            <w:vAlign w:val="bottom"/>
            <w:hideMark/>
          </w:tcPr>
          <w:p w14:paraId="0BE8A090"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2020" w:type="dxa"/>
            <w:tcBorders>
              <w:top w:val="nil"/>
              <w:left w:val="nil"/>
              <w:bottom w:val="single" w:sz="4" w:space="0" w:color="auto"/>
              <w:right w:val="nil"/>
            </w:tcBorders>
            <w:shd w:val="clear" w:color="auto" w:fill="auto"/>
            <w:noWrap/>
            <w:vAlign w:val="bottom"/>
            <w:hideMark/>
          </w:tcPr>
          <w:p w14:paraId="76647160"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716 385</w:t>
            </w:r>
          </w:p>
        </w:tc>
        <w:tc>
          <w:tcPr>
            <w:tcW w:w="2020" w:type="dxa"/>
            <w:tcBorders>
              <w:top w:val="nil"/>
              <w:left w:val="nil"/>
              <w:bottom w:val="single" w:sz="4" w:space="0" w:color="auto"/>
              <w:right w:val="nil"/>
            </w:tcBorders>
            <w:shd w:val="clear" w:color="auto" w:fill="auto"/>
            <w:noWrap/>
            <w:vAlign w:val="bottom"/>
            <w:hideMark/>
          </w:tcPr>
          <w:p w14:paraId="065E7181" w14:textId="0B0E5694"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633</w:t>
            </w:r>
          </w:p>
        </w:tc>
        <w:tc>
          <w:tcPr>
            <w:tcW w:w="2020" w:type="dxa"/>
            <w:tcBorders>
              <w:top w:val="nil"/>
              <w:left w:val="nil"/>
              <w:bottom w:val="single" w:sz="4" w:space="0" w:color="auto"/>
              <w:right w:val="nil"/>
            </w:tcBorders>
            <w:shd w:val="clear" w:color="auto" w:fill="auto"/>
            <w:noWrap/>
            <w:vAlign w:val="bottom"/>
            <w:hideMark/>
          </w:tcPr>
          <w:p w14:paraId="70351EA1"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r>
      <w:tr w:rsidR="00DA32AF" w:rsidRPr="001C3EC8" w14:paraId="57DA8FA2" w14:textId="77777777" w:rsidTr="00DA32AF">
        <w:trPr>
          <w:trHeight w:val="315"/>
        </w:trPr>
        <w:tc>
          <w:tcPr>
            <w:tcW w:w="1820" w:type="dxa"/>
            <w:tcBorders>
              <w:top w:val="nil"/>
              <w:left w:val="nil"/>
              <w:bottom w:val="single" w:sz="4" w:space="0" w:color="auto"/>
              <w:right w:val="nil"/>
            </w:tcBorders>
            <w:shd w:val="clear" w:color="auto" w:fill="auto"/>
            <w:noWrap/>
            <w:vAlign w:val="bottom"/>
            <w:hideMark/>
          </w:tcPr>
          <w:p w14:paraId="2947D3C7"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2020" w:type="dxa"/>
            <w:tcBorders>
              <w:top w:val="nil"/>
              <w:left w:val="nil"/>
              <w:bottom w:val="single" w:sz="4" w:space="0" w:color="auto"/>
              <w:right w:val="nil"/>
            </w:tcBorders>
            <w:shd w:val="clear" w:color="auto" w:fill="auto"/>
            <w:noWrap/>
            <w:vAlign w:val="bottom"/>
            <w:hideMark/>
          </w:tcPr>
          <w:p w14:paraId="4394372F"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884 563</w:t>
            </w:r>
          </w:p>
        </w:tc>
        <w:tc>
          <w:tcPr>
            <w:tcW w:w="2020" w:type="dxa"/>
            <w:tcBorders>
              <w:top w:val="nil"/>
              <w:left w:val="nil"/>
              <w:bottom w:val="single" w:sz="4" w:space="0" w:color="auto"/>
              <w:right w:val="nil"/>
            </w:tcBorders>
            <w:shd w:val="clear" w:color="auto" w:fill="auto"/>
            <w:noWrap/>
            <w:vAlign w:val="bottom"/>
            <w:hideMark/>
          </w:tcPr>
          <w:p w14:paraId="2815E144" w14:textId="5F9C524E"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967</w:t>
            </w:r>
          </w:p>
        </w:tc>
        <w:tc>
          <w:tcPr>
            <w:tcW w:w="2020" w:type="dxa"/>
            <w:tcBorders>
              <w:top w:val="nil"/>
              <w:left w:val="nil"/>
              <w:bottom w:val="single" w:sz="4" w:space="0" w:color="auto"/>
              <w:right w:val="nil"/>
            </w:tcBorders>
            <w:shd w:val="clear" w:color="auto" w:fill="auto"/>
            <w:noWrap/>
            <w:vAlign w:val="bottom"/>
            <w:hideMark/>
          </w:tcPr>
          <w:p w14:paraId="6A6FA359"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w:t>
            </w:r>
          </w:p>
        </w:tc>
      </w:tr>
      <w:tr w:rsidR="00DA32AF" w:rsidRPr="001C3EC8" w14:paraId="08355F93" w14:textId="77777777" w:rsidTr="00DA32AF">
        <w:trPr>
          <w:trHeight w:val="315"/>
        </w:trPr>
        <w:tc>
          <w:tcPr>
            <w:tcW w:w="1820" w:type="dxa"/>
            <w:tcBorders>
              <w:top w:val="nil"/>
              <w:left w:val="nil"/>
              <w:bottom w:val="single" w:sz="4" w:space="0" w:color="auto"/>
              <w:right w:val="nil"/>
            </w:tcBorders>
            <w:shd w:val="clear" w:color="auto" w:fill="auto"/>
            <w:noWrap/>
            <w:vAlign w:val="bottom"/>
            <w:hideMark/>
          </w:tcPr>
          <w:p w14:paraId="76C50ED1"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2020" w:type="dxa"/>
            <w:tcBorders>
              <w:top w:val="nil"/>
              <w:left w:val="nil"/>
              <w:bottom w:val="single" w:sz="4" w:space="0" w:color="auto"/>
              <w:right w:val="nil"/>
            </w:tcBorders>
            <w:shd w:val="clear" w:color="auto" w:fill="auto"/>
            <w:noWrap/>
            <w:vAlign w:val="bottom"/>
            <w:hideMark/>
          </w:tcPr>
          <w:p w14:paraId="00D66762"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1 190 558</w:t>
            </w:r>
          </w:p>
        </w:tc>
        <w:tc>
          <w:tcPr>
            <w:tcW w:w="2020" w:type="dxa"/>
            <w:tcBorders>
              <w:top w:val="nil"/>
              <w:left w:val="nil"/>
              <w:bottom w:val="single" w:sz="4" w:space="0" w:color="auto"/>
              <w:right w:val="nil"/>
            </w:tcBorders>
            <w:shd w:val="clear" w:color="auto" w:fill="auto"/>
            <w:noWrap/>
            <w:vAlign w:val="bottom"/>
            <w:hideMark/>
          </w:tcPr>
          <w:p w14:paraId="3C48CD07" w14:textId="4BFDB883"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132</w:t>
            </w:r>
          </w:p>
        </w:tc>
        <w:tc>
          <w:tcPr>
            <w:tcW w:w="2020" w:type="dxa"/>
            <w:tcBorders>
              <w:top w:val="nil"/>
              <w:left w:val="nil"/>
              <w:bottom w:val="single" w:sz="4" w:space="0" w:color="auto"/>
              <w:right w:val="nil"/>
            </w:tcBorders>
            <w:shd w:val="clear" w:color="auto" w:fill="auto"/>
            <w:noWrap/>
            <w:vAlign w:val="bottom"/>
            <w:hideMark/>
          </w:tcPr>
          <w:p w14:paraId="4FEE68C0"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r>
      <w:tr w:rsidR="00DA32AF" w:rsidRPr="001C3EC8" w14:paraId="2F36411B" w14:textId="77777777" w:rsidTr="00DA32AF">
        <w:trPr>
          <w:trHeight w:val="315"/>
        </w:trPr>
        <w:tc>
          <w:tcPr>
            <w:tcW w:w="1820" w:type="dxa"/>
            <w:tcBorders>
              <w:top w:val="nil"/>
              <w:left w:val="nil"/>
              <w:bottom w:val="single" w:sz="4" w:space="0" w:color="auto"/>
              <w:right w:val="nil"/>
            </w:tcBorders>
            <w:shd w:val="clear" w:color="auto" w:fill="auto"/>
            <w:noWrap/>
            <w:vAlign w:val="bottom"/>
            <w:hideMark/>
          </w:tcPr>
          <w:p w14:paraId="02A04B5F"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2020" w:type="dxa"/>
            <w:tcBorders>
              <w:top w:val="nil"/>
              <w:left w:val="nil"/>
              <w:bottom w:val="single" w:sz="4" w:space="0" w:color="auto"/>
              <w:right w:val="nil"/>
            </w:tcBorders>
            <w:shd w:val="clear" w:color="auto" w:fill="auto"/>
            <w:noWrap/>
            <w:vAlign w:val="bottom"/>
            <w:hideMark/>
          </w:tcPr>
          <w:p w14:paraId="5A781B21"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1 243 321</w:t>
            </w:r>
          </w:p>
        </w:tc>
        <w:tc>
          <w:tcPr>
            <w:tcW w:w="2020" w:type="dxa"/>
            <w:tcBorders>
              <w:top w:val="nil"/>
              <w:left w:val="nil"/>
              <w:bottom w:val="single" w:sz="4" w:space="0" w:color="auto"/>
              <w:right w:val="nil"/>
            </w:tcBorders>
            <w:shd w:val="clear" w:color="auto" w:fill="auto"/>
            <w:noWrap/>
            <w:vAlign w:val="bottom"/>
            <w:hideMark/>
          </w:tcPr>
          <w:p w14:paraId="4CB5B3DB" w14:textId="29520E5C"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350</w:t>
            </w:r>
          </w:p>
        </w:tc>
        <w:tc>
          <w:tcPr>
            <w:tcW w:w="2020" w:type="dxa"/>
            <w:tcBorders>
              <w:top w:val="nil"/>
              <w:left w:val="nil"/>
              <w:bottom w:val="single" w:sz="4" w:space="0" w:color="auto"/>
              <w:right w:val="nil"/>
            </w:tcBorders>
            <w:shd w:val="clear" w:color="auto" w:fill="auto"/>
            <w:noWrap/>
            <w:vAlign w:val="bottom"/>
            <w:hideMark/>
          </w:tcPr>
          <w:p w14:paraId="71C1B47E"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r>
      <w:tr w:rsidR="00DA32AF" w:rsidRPr="001C3EC8" w14:paraId="23350745" w14:textId="77777777" w:rsidTr="00DA32AF">
        <w:trPr>
          <w:trHeight w:val="315"/>
        </w:trPr>
        <w:tc>
          <w:tcPr>
            <w:tcW w:w="1820" w:type="dxa"/>
            <w:tcBorders>
              <w:top w:val="nil"/>
              <w:left w:val="nil"/>
              <w:bottom w:val="single" w:sz="4" w:space="0" w:color="auto"/>
              <w:right w:val="nil"/>
            </w:tcBorders>
            <w:shd w:val="clear" w:color="auto" w:fill="auto"/>
            <w:noWrap/>
            <w:vAlign w:val="bottom"/>
            <w:hideMark/>
          </w:tcPr>
          <w:p w14:paraId="4F6C820C"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2020" w:type="dxa"/>
            <w:tcBorders>
              <w:top w:val="nil"/>
              <w:left w:val="nil"/>
              <w:bottom w:val="single" w:sz="4" w:space="0" w:color="auto"/>
              <w:right w:val="nil"/>
            </w:tcBorders>
            <w:shd w:val="clear" w:color="auto" w:fill="auto"/>
            <w:noWrap/>
            <w:vAlign w:val="bottom"/>
            <w:hideMark/>
          </w:tcPr>
          <w:p w14:paraId="10C5ED04"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2 082 452</w:t>
            </w:r>
          </w:p>
        </w:tc>
        <w:tc>
          <w:tcPr>
            <w:tcW w:w="2020" w:type="dxa"/>
            <w:tcBorders>
              <w:top w:val="nil"/>
              <w:left w:val="nil"/>
              <w:bottom w:val="single" w:sz="4" w:space="0" w:color="auto"/>
              <w:right w:val="nil"/>
            </w:tcBorders>
            <w:shd w:val="clear" w:color="auto" w:fill="auto"/>
            <w:noWrap/>
            <w:vAlign w:val="bottom"/>
            <w:hideMark/>
          </w:tcPr>
          <w:p w14:paraId="14226016" w14:textId="47AF40B4"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506</w:t>
            </w:r>
          </w:p>
        </w:tc>
        <w:tc>
          <w:tcPr>
            <w:tcW w:w="2020" w:type="dxa"/>
            <w:tcBorders>
              <w:top w:val="nil"/>
              <w:left w:val="nil"/>
              <w:bottom w:val="single" w:sz="4" w:space="0" w:color="auto"/>
              <w:right w:val="nil"/>
            </w:tcBorders>
            <w:shd w:val="clear" w:color="auto" w:fill="auto"/>
            <w:noWrap/>
            <w:vAlign w:val="bottom"/>
            <w:hideMark/>
          </w:tcPr>
          <w:p w14:paraId="05CCF739"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r>
      <w:tr w:rsidR="00DA32AF" w:rsidRPr="001C3EC8" w14:paraId="54704BED" w14:textId="77777777" w:rsidTr="00DA32AF">
        <w:trPr>
          <w:trHeight w:val="330"/>
        </w:trPr>
        <w:tc>
          <w:tcPr>
            <w:tcW w:w="1820" w:type="dxa"/>
            <w:tcBorders>
              <w:top w:val="nil"/>
              <w:left w:val="nil"/>
              <w:bottom w:val="double" w:sz="6" w:space="0" w:color="auto"/>
              <w:right w:val="nil"/>
            </w:tcBorders>
            <w:shd w:val="clear" w:color="auto" w:fill="auto"/>
            <w:noWrap/>
            <w:vAlign w:val="bottom"/>
            <w:hideMark/>
          </w:tcPr>
          <w:p w14:paraId="4464B96F" w14:textId="77777777" w:rsidR="00DA32AF" w:rsidRPr="001C3EC8" w:rsidRDefault="00DA32AF" w:rsidP="00DA32AF">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2020" w:type="dxa"/>
            <w:tcBorders>
              <w:top w:val="nil"/>
              <w:left w:val="nil"/>
              <w:bottom w:val="double" w:sz="6" w:space="0" w:color="auto"/>
              <w:right w:val="nil"/>
            </w:tcBorders>
            <w:shd w:val="clear" w:color="auto" w:fill="auto"/>
            <w:noWrap/>
            <w:vAlign w:val="bottom"/>
            <w:hideMark/>
          </w:tcPr>
          <w:p w14:paraId="672AA938"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1 867 242</w:t>
            </w:r>
          </w:p>
        </w:tc>
        <w:tc>
          <w:tcPr>
            <w:tcW w:w="2020" w:type="dxa"/>
            <w:tcBorders>
              <w:top w:val="nil"/>
              <w:left w:val="nil"/>
              <w:bottom w:val="double" w:sz="6" w:space="0" w:color="auto"/>
              <w:right w:val="nil"/>
            </w:tcBorders>
            <w:shd w:val="clear" w:color="auto" w:fill="auto"/>
            <w:noWrap/>
            <w:vAlign w:val="bottom"/>
            <w:hideMark/>
          </w:tcPr>
          <w:p w14:paraId="6AAAB7A3" w14:textId="04ABA395"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r w:rsidR="00FA2F47">
              <w:rPr>
                <w:rFonts w:eastAsia="Times New Roman"/>
                <w:color w:val="000000" w:themeColor="text1"/>
                <w:szCs w:val="24"/>
                <w:lang w:eastAsia="cs-CZ"/>
              </w:rPr>
              <w:t xml:space="preserve"> </w:t>
            </w:r>
            <w:r w:rsidRPr="001C3EC8">
              <w:rPr>
                <w:rFonts w:eastAsia="Times New Roman"/>
                <w:color w:val="000000" w:themeColor="text1"/>
                <w:szCs w:val="24"/>
                <w:lang w:eastAsia="cs-CZ"/>
              </w:rPr>
              <w:t>584</w:t>
            </w:r>
          </w:p>
        </w:tc>
        <w:tc>
          <w:tcPr>
            <w:tcW w:w="2020" w:type="dxa"/>
            <w:tcBorders>
              <w:top w:val="nil"/>
              <w:left w:val="nil"/>
              <w:bottom w:val="double" w:sz="6" w:space="0" w:color="auto"/>
              <w:right w:val="nil"/>
            </w:tcBorders>
            <w:shd w:val="clear" w:color="auto" w:fill="auto"/>
            <w:noWrap/>
            <w:vAlign w:val="bottom"/>
            <w:hideMark/>
          </w:tcPr>
          <w:p w14:paraId="3253D071" w14:textId="77777777" w:rsidR="00DA32AF" w:rsidRPr="001C3EC8" w:rsidRDefault="00DA32AF" w:rsidP="00DA32AF">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p>
        </w:tc>
      </w:tr>
      <w:tr w:rsidR="00DA32AF" w:rsidRPr="001C3EC8" w14:paraId="6C82796A" w14:textId="77777777" w:rsidTr="00DA32AF">
        <w:trPr>
          <w:trHeight w:val="345"/>
        </w:trPr>
        <w:tc>
          <w:tcPr>
            <w:tcW w:w="1820" w:type="dxa"/>
            <w:tcBorders>
              <w:top w:val="nil"/>
              <w:left w:val="nil"/>
              <w:bottom w:val="double" w:sz="6" w:space="0" w:color="auto"/>
              <w:right w:val="nil"/>
            </w:tcBorders>
            <w:shd w:val="clear" w:color="auto" w:fill="auto"/>
            <w:noWrap/>
            <w:vAlign w:val="bottom"/>
            <w:hideMark/>
          </w:tcPr>
          <w:p w14:paraId="731DAADF" w14:textId="77777777" w:rsidR="00DA32AF" w:rsidRPr="001C3EC8" w:rsidRDefault="00DA32AF" w:rsidP="00DA32AF">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2020" w:type="dxa"/>
            <w:tcBorders>
              <w:top w:val="nil"/>
              <w:left w:val="nil"/>
              <w:bottom w:val="double" w:sz="6" w:space="0" w:color="auto"/>
              <w:right w:val="nil"/>
            </w:tcBorders>
            <w:shd w:val="clear" w:color="auto" w:fill="auto"/>
            <w:noWrap/>
            <w:vAlign w:val="bottom"/>
            <w:hideMark/>
          </w:tcPr>
          <w:p w14:paraId="54311CCE" w14:textId="77777777"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10 693 939</w:t>
            </w:r>
          </w:p>
        </w:tc>
        <w:tc>
          <w:tcPr>
            <w:tcW w:w="2020" w:type="dxa"/>
            <w:tcBorders>
              <w:top w:val="nil"/>
              <w:left w:val="nil"/>
              <w:bottom w:val="double" w:sz="6" w:space="0" w:color="auto"/>
              <w:right w:val="nil"/>
            </w:tcBorders>
            <w:shd w:val="clear" w:color="auto" w:fill="auto"/>
            <w:noWrap/>
            <w:vAlign w:val="bottom"/>
            <w:hideMark/>
          </w:tcPr>
          <w:p w14:paraId="7B2AE4F9" w14:textId="6D8439D5"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286</w:t>
            </w:r>
            <w:r w:rsidR="00FA2F47">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801</w:t>
            </w:r>
          </w:p>
        </w:tc>
        <w:tc>
          <w:tcPr>
            <w:tcW w:w="2020" w:type="dxa"/>
            <w:tcBorders>
              <w:top w:val="nil"/>
              <w:left w:val="nil"/>
              <w:bottom w:val="double" w:sz="6" w:space="0" w:color="auto"/>
              <w:right w:val="nil"/>
            </w:tcBorders>
            <w:shd w:val="clear" w:color="auto" w:fill="auto"/>
            <w:noWrap/>
            <w:vAlign w:val="bottom"/>
            <w:hideMark/>
          </w:tcPr>
          <w:p w14:paraId="379F1201" w14:textId="77777777" w:rsidR="00DA32AF" w:rsidRPr="001C3EC8" w:rsidRDefault="00DA32AF" w:rsidP="00DA32AF">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27</w:t>
            </w:r>
          </w:p>
        </w:tc>
      </w:tr>
    </w:tbl>
    <w:p w14:paraId="26A6A3D0" w14:textId="77777777" w:rsidR="008430BD" w:rsidRPr="001C3EC8" w:rsidRDefault="008430BD" w:rsidP="008430BD">
      <w:pPr>
        <w:pStyle w:val="OdstavecASR"/>
        <w:rPr>
          <w:color w:val="000000" w:themeColor="text1"/>
        </w:rPr>
      </w:pPr>
    </w:p>
    <w:p w14:paraId="2D5DA645" w14:textId="6468AA19" w:rsidR="00B07E76" w:rsidRDefault="008430BD" w:rsidP="008430BD">
      <w:pPr>
        <w:pStyle w:val="OdstavecASR"/>
        <w:rPr>
          <w:color w:val="000000" w:themeColor="text1"/>
        </w:rPr>
      </w:pPr>
      <w:r w:rsidRPr="001C3EC8">
        <w:rPr>
          <w:color w:val="000000" w:themeColor="text1"/>
        </w:rPr>
        <w:t>Z tabulky vyplývá, že zcela jasně nejvyšší nápad civilních věcí v</w:t>
      </w:r>
      <w:r w:rsidR="001B5E6A">
        <w:rPr>
          <w:color w:val="000000" w:themeColor="text1"/>
        </w:rPr>
        <w:t> </w:t>
      </w:r>
      <w:r w:rsidRPr="001C3EC8">
        <w:rPr>
          <w:color w:val="000000" w:themeColor="text1"/>
        </w:rPr>
        <w:t>rejstříku</w:t>
      </w:r>
      <w:r w:rsidR="001B5E6A">
        <w:rPr>
          <w:color w:val="000000" w:themeColor="text1"/>
        </w:rPr>
        <w:t> </w:t>
      </w:r>
      <w:r w:rsidRPr="001C3EC8">
        <w:rPr>
          <w:color w:val="000000" w:themeColor="text1"/>
        </w:rPr>
        <w:t>C na 1</w:t>
      </w:r>
      <w:r w:rsidR="001B5E6A">
        <w:rPr>
          <w:color w:val="000000" w:themeColor="text1"/>
        </w:rPr>
        <w:t> </w:t>
      </w:r>
      <w:r w:rsidRPr="001C3EC8">
        <w:rPr>
          <w:color w:val="000000" w:themeColor="text1"/>
        </w:rPr>
        <w:t>000 obyvatel má hlavní město Praha – téměř dvojnásobek opro</w:t>
      </w:r>
      <w:r w:rsidR="0044656F" w:rsidRPr="001C3EC8">
        <w:rPr>
          <w:color w:val="000000" w:themeColor="text1"/>
        </w:rPr>
        <w:t>ti celorepublikovému průměru (</w:t>
      </w:r>
      <w:proofErr w:type="gramStart"/>
      <w:r w:rsidR="0044656F" w:rsidRPr="001C3EC8">
        <w:rPr>
          <w:color w:val="000000" w:themeColor="text1"/>
        </w:rPr>
        <w:t>50</w:t>
      </w:r>
      <w:r w:rsidRPr="001C3EC8">
        <w:rPr>
          <w:color w:val="000000" w:themeColor="text1"/>
        </w:rPr>
        <w:t xml:space="preserve"> </w:t>
      </w:r>
      <w:r w:rsidR="00273971" w:rsidRPr="001C3EC8">
        <w:rPr>
          <w:color w:val="000000" w:themeColor="text1"/>
        </w:rPr>
        <w:t>:</w:t>
      </w:r>
      <w:proofErr w:type="gramEnd"/>
      <w:r w:rsidR="00273971" w:rsidRPr="001C3EC8">
        <w:rPr>
          <w:color w:val="000000" w:themeColor="text1"/>
        </w:rPr>
        <w:t xml:space="preserve"> </w:t>
      </w:r>
      <w:r w:rsidRPr="001C3EC8">
        <w:rPr>
          <w:color w:val="000000" w:themeColor="text1"/>
        </w:rPr>
        <w:t>27). To je poměrně očekávaný závěr – v Praze má sídlo velké množství společností, které mohou být žalovány nebo s</w:t>
      </w:r>
      <w:r w:rsidR="00023512" w:rsidRPr="001C3EC8">
        <w:rPr>
          <w:color w:val="000000" w:themeColor="text1"/>
        </w:rPr>
        <w:t>amy</w:t>
      </w:r>
      <w:r w:rsidRPr="001C3EC8">
        <w:rPr>
          <w:color w:val="000000" w:themeColor="text1"/>
        </w:rPr>
        <w:t xml:space="preserve"> podávají žaloby. Je zde také mnoho nezaplacených pokut z hromadné dopravy. </w:t>
      </w:r>
      <w:r w:rsidR="00B8488E" w:rsidRPr="001C3EC8">
        <w:rPr>
          <w:color w:val="000000" w:themeColor="text1"/>
        </w:rPr>
        <w:t>Z</w:t>
      </w:r>
      <w:r w:rsidRPr="001C3EC8">
        <w:rPr>
          <w:color w:val="000000" w:themeColor="text1"/>
        </w:rPr>
        <w:t xml:space="preserve">řejmě </w:t>
      </w:r>
      <w:r w:rsidR="006579E3" w:rsidRPr="001C3EC8">
        <w:rPr>
          <w:color w:val="000000" w:themeColor="text1"/>
        </w:rPr>
        <w:t>i</w:t>
      </w:r>
      <w:r w:rsidR="006579E3">
        <w:rPr>
          <w:color w:val="000000" w:themeColor="text1"/>
        </w:rPr>
        <w:t> </w:t>
      </w:r>
      <w:r w:rsidRPr="001C3EC8">
        <w:rPr>
          <w:color w:val="000000" w:themeColor="text1"/>
        </w:rPr>
        <w:t>fyzické osoby podávají žaloby častěji. Na druhém místě se pak umístil kraj Severočeský</w:t>
      </w:r>
      <w:r w:rsidR="00B8488E" w:rsidRPr="001C3EC8">
        <w:rPr>
          <w:color w:val="000000" w:themeColor="text1"/>
        </w:rPr>
        <w:t xml:space="preserve">, což </w:t>
      </w:r>
      <w:r w:rsidRPr="001C3EC8">
        <w:rPr>
          <w:color w:val="000000" w:themeColor="text1"/>
        </w:rPr>
        <w:t>pravděpodobně souvisí se socioekonomickou situací. Velkou část žalob pak tvoří bagatelní spory</w:t>
      </w:r>
      <w:r w:rsidR="00B8488E" w:rsidRPr="001C3EC8">
        <w:rPr>
          <w:color w:val="000000" w:themeColor="text1"/>
        </w:rPr>
        <w:t>,</w:t>
      </w:r>
      <w:r w:rsidRPr="001C3EC8">
        <w:rPr>
          <w:color w:val="000000" w:themeColor="text1"/>
        </w:rPr>
        <w:t xml:space="preserve"> jako je nezaplacený účet za elektřinu, plyn apod.</w:t>
      </w:r>
    </w:p>
    <w:p w14:paraId="7BF48870" w14:textId="5B0A5A5A" w:rsidR="00B07E76" w:rsidRDefault="008430BD" w:rsidP="008430BD">
      <w:pPr>
        <w:pStyle w:val="OdstavecASR"/>
        <w:rPr>
          <w:color w:val="000000" w:themeColor="text1"/>
        </w:rPr>
      </w:pPr>
      <w:r w:rsidRPr="001C3EC8">
        <w:rPr>
          <w:color w:val="000000" w:themeColor="text1"/>
        </w:rPr>
        <w:t xml:space="preserve">Z jednotlivých okresních soudů mají největší nápad na </w:t>
      </w:r>
      <w:r w:rsidR="006579E3" w:rsidRPr="001C3EC8">
        <w:rPr>
          <w:color w:val="000000" w:themeColor="text1"/>
        </w:rPr>
        <w:t>1</w:t>
      </w:r>
      <w:r w:rsidR="006579E3">
        <w:rPr>
          <w:color w:val="000000" w:themeColor="text1"/>
        </w:rPr>
        <w:t> </w:t>
      </w:r>
      <w:r w:rsidRPr="001C3EC8">
        <w:rPr>
          <w:color w:val="000000" w:themeColor="text1"/>
        </w:rPr>
        <w:t xml:space="preserve">000 obyvatel samozřejmě obvodní soudy v Praze, dále také Ústí nad Labem (52), Most (51) </w:t>
      </w:r>
      <w:r w:rsidR="006579E3" w:rsidRPr="001C3EC8">
        <w:rPr>
          <w:color w:val="000000" w:themeColor="text1"/>
        </w:rPr>
        <w:t>a</w:t>
      </w:r>
      <w:r w:rsidR="006579E3">
        <w:rPr>
          <w:color w:val="000000" w:themeColor="text1"/>
        </w:rPr>
        <w:t> </w:t>
      </w:r>
      <w:r w:rsidRPr="001C3EC8">
        <w:rPr>
          <w:color w:val="000000" w:themeColor="text1"/>
        </w:rPr>
        <w:t xml:space="preserve">Sokolov (40). Nejméně naopak mají Pelhřimov (10), Semily (11) </w:t>
      </w:r>
      <w:r w:rsidR="006579E3" w:rsidRPr="001C3EC8">
        <w:rPr>
          <w:color w:val="000000" w:themeColor="text1"/>
        </w:rPr>
        <w:t>a</w:t>
      </w:r>
      <w:r w:rsidR="006579E3">
        <w:rPr>
          <w:color w:val="000000" w:themeColor="text1"/>
        </w:rPr>
        <w:t> </w:t>
      </w:r>
      <w:r w:rsidR="0053190F">
        <w:rPr>
          <w:color w:val="000000" w:themeColor="text1"/>
        </w:rPr>
        <w:t>Brno</w:t>
      </w:r>
      <w:r w:rsidR="0053190F">
        <w:rPr>
          <w:color w:val="000000" w:themeColor="text1"/>
        </w:rPr>
        <w:noBreakHyphen/>
      </w:r>
      <w:r w:rsidRPr="001C3EC8">
        <w:rPr>
          <w:color w:val="000000" w:themeColor="text1"/>
        </w:rPr>
        <w:t>venkov (12). To ukazuje, že mezi okresy jsou opravdu markantní rozdíly. Ústí nad Labem vykazuje pětkrát více napadlých věcí na obyvatele než Pelhřimov.</w:t>
      </w:r>
    </w:p>
    <w:p w14:paraId="5EF59132" w14:textId="7CC06520" w:rsidR="008430BD" w:rsidRPr="001C3EC8" w:rsidRDefault="008430BD" w:rsidP="008430BD">
      <w:pPr>
        <w:spacing w:line="240" w:lineRule="auto"/>
        <w:jc w:val="left"/>
        <w:rPr>
          <w:color w:val="000000" w:themeColor="text1"/>
        </w:rPr>
      </w:pPr>
      <w:r w:rsidRPr="001C3EC8">
        <w:rPr>
          <w:color w:val="000000" w:themeColor="text1"/>
        </w:rPr>
        <w:br w:type="page"/>
      </w:r>
    </w:p>
    <w:p w14:paraId="0DD00635" w14:textId="77777777" w:rsidR="008430BD" w:rsidRPr="001C3EC8" w:rsidRDefault="008430BD" w:rsidP="008430BD">
      <w:pPr>
        <w:pStyle w:val="Nadpis2"/>
        <w:numPr>
          <w:ilvl w:val="1"/>
          <w:numId w:val="1"/>
        </w:numPr>
        <w:spacing w:before="120"/>
      </w:pPr>
      <w:bookmarkStart w:id="160" w:name="_Toc43903029"/>
      <w:bookmarkStart w:id="161" w:name="_Toc75952062"/>
      <w:r w:rsidRPr="001C3EC8">
        <w:lastRenderedPageBreak/>
        <w:t>Civilní agenda – elektronické rozkazní řízení</w:t>
      </w:r>
      <w:bookmarkEnd w:id="160"/>
      <w:bookmarkEnd w:id="161"/>
    </w:p>
    <w:p w14:paraId="008AC6F8" w14:textId="52B4F45F" w:rsidR="008430BD" w:rsidRPr="001C3EC8" w:rsidRDefault="008430BD" w:rsidP="008430BD">
      <w:pPr>
        <w:pStyle w:val="OdstavecASR"/>
        <w:rPr>
          <w:color w:val="000000" w:themeColor="text1"/>
        </w:rPr>
      </w:pPr>
      <w:r w:rsidRPr="001C3EC8">
        <w:rPr>
          <w:color w:val="000000" w:themeColor="text1"/>
        </w:rPr>
        <w:t xml:space="preserve">Jak jsme uvedli v úvodu kapitoly </w:t>
      </w:r>
      <w:r w:rsidRPr="001C3EC8">
        <w:rPr>
          <w:b/>
          <w:bCs/>
          <w:color w:val="000000" w:themeColor="text1"/>
        </w:rPr>
        <w:fldChar w:fldCharType="begin"/>
      </w:r>
      <w:r w:rsidRPr="001C3EC8">
        <w:rPr>
          <w:color w:val="000000" w:themeColor="text1"/>
        </w:rPr>
        <w:instrText xml:space="preserve"> REF _Ref9425277 \r \h </w:instrText>
      </w:r>
      <w:r w:rsidRPr="001C3EC8">
        <w:rPr>
          <w:b/>
          <w:bCs/>
          <w:color w:val="000000" w:themeColor="text1"/>
        </w:rPr>
        <w:instrText xml:space="preserve"> \* MERGEFORMAT </w:instrText>
      </w:r>
      <w:r w:rsidRPr="001C3EC8">
        <w:rPr>
          <w:b/>
          <w:bCs/>
          <w:color w:val="000000" w:themeColor="text1"/>
        </w:rPr>
      </w:r>
      <w:r w:rsidRPr="001C3EC8">
        <w:rPr>
          <w:b/>
          <w:bCs/>
          <w:color w:val="000000" w:themeColor="text1"/>
        </w:rPr>
        <w:fldChar w:fldCharType="separate"/>
      </w:r>
      <w:r w:rsidR="009C575D">
        <w:rPr>
          <w:color w:val="000000" w:themeColor="text1"/>
        </w:rPr>
        <w:t>2.2</w:t>
      </w:r>
      <w:r w:rsidRPr="001C3EC8">
        <w:rPr>
          <w:b/>
          <w:bCs/>
          <w:color w:val="000000" w:themeColor="text1"/>
        </w:rPr>
        <w:fldChar w:fldCharType="end"/>
      </w:r>
      <w:r w:rsidRPr="001C3EC8">
        <w:rPr>
          <w:color w:val="000000" w:themeColor="text1"/>
        </w:rPr>
        <w:t xml:space="preserve">, zkoumaná data jsme očistili právě o rozkazní řízení. Tato data ale samozřejmě mají svou informační hodnotu, </w:t>
      </w:r>
      <w:r w:rsidR="006579E3" w:rsidRPr="001C3EC8">
        <w:rPr>
          <w:color w:val="000000" w:themeColor="text1"/>
        </w:rPr>
        <w:t>a</w:t>
      </w:r>
      <w:r w:rsidR="006579E3">
        <w:rPr>
          <w:color w:val="000000" w:themeColor="text1"/>
        </w:rPr>
        <w:t> </w:t>
      </w:r>
      <w:r w:rsidRPr="001C3EC8">
        <w:rPr>
          <w:color w:val="000000" w:themeColor="text1"/>
        </w:rPr>
        <w:t>proto je analyzujeme v této části.</w:t>
      </w:r>
    </w:p>
    <w:p w14:paraId="66FFD5E8" w14:textId="77777777" w:rsidR="008430BD" w:rsidRPr="001C3EC8" w:rsidRDefault="008430BD" w:rsidP="008430BD">
      <w:pPr>
        <w:pStyle w:val="OdstavecASR"/>
        <w:rPr>
          <w:color w:val="000000" w:themeColor="text1"/>
        </w:rPr>
      </w:pPr>
      <w:r w:rsidRPr="001C3EC8">
        <w:rPr>
          <w:color w:val="000000" w:themeColor="text1"/>
        </w:rPr>
        <w:t>Jedná se o civilní řízení ve zkrácené formě, jehož cílem je skončení věcí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7FBE1FDD" w14:textId="3BE3982E" w:rsidR="008430BD" w:rsidRPr="001C3EC8" w:rsidRDefault="008430BD" w:rsidP="008430BD">
      <w:pPr>
        <w:pStyle w:val="OdstavecASR"/>
        <w:rPr>
          <w:color w:val="000000" w:themeColor="text1"/>
        </w:rPr>
      </w:pPr>
      <w:r w:rsidRPr="001C3EC8">
        <w:rPr>
          <w:color w:val="000000" w:themeColor="text1"/>
        </w:rPr>
        <w:t>Ne všechna data, o která byla očištěna kapitola </w:t>
      </w:r>
      <w:r w:rsidRPr="001C3EC8">
        <w:rPr>
          <w:bCs/>
          <w:color w:val="000000" w:themeColor="text1"/>
        </w:rPr>
        <w:fldChar w:fldCharType="begin"/>
      </w:r>
      <w:r w:rsidRPr="001C3EC8">
        <w:rPr>
          <w:bCs/>
          <w:color w:val="000000" w:themeColor="text1"/>
        </w:rPr>
        <w:instrText xml:space="preserve"> REF _Ref10553167 \r \h  \* MERGEFORMAT </w:instrText>
      </w:r>
      <w:r w:rsidRPr="001C3EC8">
        <w:rPr>
          <w:bCs/>
          <w:color w:val="000000" w:themeColor="text1"/>
        </w:rPr>
      </w:r>
      <w:r w:rsidRPr="001C3EC8">
        <w:rPr>
          <w:bCs/>
          <w:color w:val="000000" w:themeColor="text1"/>
        </w:rPr>
        <w:fldChar w:fldCharType="separate"/>
      </w:r>
      <w:r w:rsidR="009C575D">
        <w:rPr>
          <w:bCs/>
          <w:color w:val="000000" w:themeColor="text1"/>
        </w:rPr>
        <w:t>2.2</w:t>
      </w:r>
      <w:r w:rsidRPr="001C3EC8">
        <w:rPr>
          <w:bCs/>
          <w:color w:val="000000" w:themeColor="text1"/>
        </w:rPr>
        <w:fldChar w:fldCharType="end"/>
      </w:r>
      <w:r w:rsidRPr="001C3EC8">
        <w:rPr>
          <w:color w:val="000000" w:themeColor="text1"/>
        </w:rPr>
        <w:t>, však zahrnujeme do této kapitoly.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Zároveň ve statistickém sledování rozkazního řízení proběhlo v letech 2009 až 2013 nejvíce změn. V časových řadách by se tak objevovaly výkyvy způsobené právě změnami ve statistikách, což by vedlo ke zkreslení. Z tohoto důvodu se tato kapitola zabývá pouze elektronickým platebním rozkazem od roku 2013, protože od tohoto roku se již neudály žádné významné změny a všechny návrhy na vydání elektronického platebního rozkazu se evidují v rejstříku EPR.</w:t>
      </w:r>
    </w:p>
    <w:p w14:paraId="3BD94CE2" w14:textId="77777777" w:rsidR="008430BD" w:rsidRPr="001C3EC8" w:rsidRDefault="008430BD" w:rsidP="008430BD">
      <w:pPr>
        <w:pStyle w:val="OdstavecASR"/>
        <w:rPr>
          <w:color w:val="000000" w:themeColor="text1"/>
        </w:rPr>
      </w:pPr>
      <w:r w:rsidRPr="001C3EC8">
        <w:rPr>
          <w:color w:val="000000" w:themeColor="text1"/>
        </w:rPr>
        <w:t>Dalším důvodem, proč byl vybrán rejstřík EPR, je ten, že tvoří největší část agendy rozkazního řízení (každý rok více než 85 %).</w:t>
      </w:r>
    </w:p>
    <w:p w14:paraId="1A674DA6" w14:textId="77777777" w:rsidR="008430BD" w:rsidRPr="001C3EC8" w:rsidRDefault="008430BD" w:rsidP="008430BD">
      <w:pPr>
        <w:pStyle w:val="Nadpis3"/>
        <w:numPr>
          <w:ilvl w:val="2"/>
          <w:numId w:val="1"/>
        </w:numPr>
        <w:rPr>
          <w:color w:val="000000" w:themeColor="text1"/>
        </w:rPr>
      </w:pPr>
      <w:bookmarkStart w:id="162" w:name="_Toc515871227"/>
      <w:bookmarkStart w:id="163" w:name="_Toc75952063"/>
      <w:r w:rsidRPr="001C3EC8">
        <w:rPr>
          <w:color w:val="000000" w:themeColor="text1"/>
        </w:rPr>
        <w:t>Délka řízení</w:t>
      </w:r>
      <w:bookmarkEnd w:id="162"/>
      <w:bookmarkEnd w:id="163"/>
    </w:p>
    <w:p w14:paraId="081AA117" w14:textId="3315030C" w:rsidR="008430BD" w:rsidRPr="001C3EC8" w:rsidRDefault="008430BD" w:rsidP="008430BD">
      <w:pPr>
        <w:pStyle w:val="OdstavecASR"/>
        <w:rPr>
          <w:color w:val="000000" w:themeColor="text1"/>
        </w:rPr>
      </w:pPr>
      <w:r w:rsidRPr="001C3EC8">
        <w:rPr>
          <w:color w:val="000000" w:themeColor="text1"/>
        </w:rPr>
        <w:t>Platí stejné poznámky jako v přechozí kapitole</w:t>
      </w:r>
      <w:r w:rsidR="00B8488E" w:rsidRPr="001C3EC8">
        <w:rPr>
          <w:color w:val="000000" w:themeColor="text1"/>
        </w:rPr>
        <w:t>:</w:t>
      </w:r>
      <w:r w:rsidRPr="001C3EC8">
        <w:rPr>
          <w:color w:val="000000" w:themeColor="text1"/>
        </w:rPr>
        <w:t xml:space="preserve"> délky řízení zjišťujeme ze statistických listů a uvádíme v kalendářních dnech ode dne nápadu do dne konečného rozhodnutí soudem </w:t>
      </w:r>
      <w:r w:rsidR="000C3B1E">
        <w:rPr>
          <w:color w:val="000000" w:themeColor="text1"/>
        </w:rPr>
        <w:t>I. stupně</w:t>
      </w:r>
      <w:r w:rsidRPr="001C3EC8">
        <w:rPr>
          <w:color w:val="000000" w:themeColor="text1"/>
        </w:rPr>
        <w:t>.</w:t>
      </w:r>
    </w:p>
    <w:p w14:paraId="00A2A349" w14:textId="73754493" w:rsidR="008430BD" w:rsidRPr="001C3EC8" w:rsidRDefault="008430BD" w:rsidP="008430BD">
      <w:pPr>
        <w:pStyle w:val="Podnadpis"/>
        <w:rPr>
          <w:color w:val="000000" w:themeColor="text1"/>
        </w:rPr>
      </w:pPr>
      <w:bookmarkStart w:id="164" w:name="_Toc515871346"/>
      <w:bookmarkStart w:id="165" w:name="_Toc11135081"/>
      <w:bookmarkStart w:id="166" w:name="_Toc43841397"/>
      <w:bookmarkStart w:id="167" w:name="_Toc7595219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18</w:t>
      </w:r>
      <w:r w:rsidRPr="001C3EC8">
        <w:rPr>
          <w:color w:val="000000" w:themeColor="text1"/>
        </w:rPr>
        <w:fldChar w:fldCharType="end"/>
      </w:r>
      <w:r w:rsidRPr="001C3EC8">
        <w:rPr>
          <w:color w:val="000000" w:themeColor="text1"/>
        </w:rPr>
        <w:t>: OS – délka civilního el. rozkazního řízení v letech 2013–20</w:t>
      </w:r>
      <w:bookmarkEnd w:id="164"/>
      <w:bookmarkEnd w:id="165"/>
      <w:bookmarkEnd w:id="166"/>
      <w:r w:rsidRPr="001C3EC8">
        <w:rPr>
          <w:color w:val="000000" w:themeColor="text1"/>
        </w:rPr>
        <w:t>20</w:t>
      </w:r>
      <w:bookmarkEnd w:id="167"/>
    </w:p>
    <w:p w14:paraId="7A5ED646"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4742619" wp14:editId="66E65ADB">
            <wp:extent cx="5115560" cy="3743960"/>
            <wp:effectExtent l="0" t="0" r="0" b="889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2DE9BE98" w14:textId="736E3D94" w:rsidR="008430BD" w:rsidRPr="001C3EC8" w:rsidRDefault="008430BD" w:rsidP="008430BD">
      <w:pPr>
        <w:pStyle w:val="Podnadpis"/>
        <w:rPr>
          <w:color w:val="000000" w:themeColor="text1"/>
        </w:rPr>
      </w:pPr>
      <w:bookmarkStart w:id="168" w:name="_Toc515871448"/>
      <w:bookmarkStart w:id="169" w:name="_Toc11133216"/>
      <w:bookmarkStart w:id="170" w:name="_Toc43931190"/>
      <w:bookmarkStart w:id="171" w:name="_Toc75952320"/>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17</w:t>
      </w:r>
      <w:r w:rsidRPr="001C3EC8">
        <w:rPr>
          <w:noProof/>
          <w:color w:val="000000" w:themeColor="text1"/>
        </w:rPr>
        <w:fldChar w:fldCharType="end"/>
      </w:r>
      <w:r w:rsidRPr="001C3EC8">
        <w:rPr>
          <w:color w:val="000000" w:themeColor="text1"/>
        </w:rPr>
        <w:t>: OS – délky el. rozkazního civilního řízení dle krajů</w:t>
      </w:r>
      <w:bookmarkEnd w:id="168"/>
      <w:bookmarkEnd w:id="169"/>
      <w:bookmarkEnd w:id="170"/>
      <w:bookmarkEnd w:id="171"/>
    </w:p>
    <w:tbl>
      <w:tblPr>
        <w:tblW w:w="8800" w:type="dxa"/>
        <w:tblCellMar>
          <w:left w:w="70" w:type="dxa"/>
          <w:right w:w="70" w:type="dxa"/>
        </w:tblCellMar>
        <w:tblLook w:val="04A0" w:firstRow="1" w:lastRow="0" w:firstColumn="1" w:lastColumn="0" w:noHBand="0" w:noVBand="1"/>
      </w:tblPr>
      <w:tblGrid>
        <w:gridCol w:w="2320"/>
        <w:gridCol w:w="691"/>
        <w:gridCol w:w="1533"/>
        <w:gridCol w:w="691"/>
        <w:gridCol w:w="1341"/>
        <w:gridCol w:w="691"/>
        <w:gridCol w:w="1533"/>
      </w:tblGrid>
      <w:tr w:rsidR="008430BD" w:rsidRPr="001C3EC8" w14:paraId="165C0F7B" w14:textId="77777777" w:rsidTr="00E077F3">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14:paraId="7B4189C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1C4ECEB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4AD5A8AF" w14:textId="77777777" w:rsidTr="00E077F3">
        <w:trPr>
          <w:trHeight w:val="330"/>
        </w:trPr>
        <w:tc>
          <w:tcPr>
            <w:tcW w:w="2320" w:type="dxa"/>
            <w:vMerge/>
            <w:tcBorders>
              <w:top w:val="double" w:sz="6" w:space="0" w:color="auto"/>
              <w:left w:val="nil"/>
              <w:bottom w:val="double" w:sz="6" w:space="0" w:color="000000"/>
              <w:right w:val="nil"/>
            </w:tcBorders>
            <w:vAlign w:val="center"/>
            <w:hideMark/>
          </w:tcPr>
          <w:p w14:paraId="64CA977B"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2224" w:type="dxa"/>
            <w:gridSpan w:val="2"/>
            <w:tcBorders>
              <w:top w:val="nil"/>
              <w:left w:val="nil"/>
              <w:bottom w:val="double" w:sz="6" w:space="0" w:color="auto"/>
              <w:right w:val="nil"/>
            </w:tcBorders>
            <w:shd w:val="clear" w:color="auto" w:fill="auto"/>
            <w:noWrap/>
            <w:vAlign w:val="center"/>
            <w:hideMark/>
          </w:tcPr>
          <w:p w14:paraId="4B22338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203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A20C1A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2224" w:type="dxa"/>
            <w:gridSpan w:val="2"/>
            <w:tcBorders>
              <w:top w:val="nil"/>
              <w:left w:val="nil"/>
              <w:bottom w:val="double" w:sz="6" w:space="0" w:color="auto"/>
              <w:right w:val="nil"/>
            </w:tcBorders>
            <w:shd w:val="clear" w:color="auto" w:fill="auto"/>
            <w:noWrap/>
            <w:vAlign w:val="center"/>
            <w:hideMark/>
          </w:tcPr>
          <w:p w14:paraId="55B2E3B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05772DB2" w14:textId="77777777" w:rsidTr="00E077F3">
        <w:trPr>
          <w:trHeight w:val="330"/>
        </w:trPr>
        <w:tc>
          <w:tcPr>
            <w:tcW w:w="2320" w:type="dxa"/>
            <w:tcBorders>
              <w:top w:val="single" w:sz="4" w:space="0" w:color="auto"/>
              <w:left w:val="nil"/>
              <w:bottom w:val="single" w:sz="4" w:space="0" w:color="auto"/>
              <w:right w:val="nil"/>
            </w:tcBorders>
            <w:shd w:val="clear" w:color="auto" w:fill="auto"/>
            <w:noWrap/>
            <w:vAlign w:val="bottom"/>
            <w:hideMark/>
          </w:tcPr>
          <w:p w14:paraId="01B521F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691" w:type="dxa"/>
            <w:tcBorders>
              <w:top w:val="single" w:sz="4" w:space="0" w:color="auto"/>
              <w:left w:val="nil"/>
              <w:bottom w:val="single" w:sz="4" w:space="0" w:color="auto"/>
              <w:right w:val="nil"/>
            </w:tcBorders>
            <w:shd w:val="clear" w:color="auto" w:fill="auto"/>
            <w:noWrap/>
            <w:vAlign w:val="bottom"/>
            <w:hideMark/>
          </w:tcPr>
          <w:p w14:paraId="1CE397E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533" w:type="dxa"/>
            <w:tcBorders>
              <w:top w:val="single" w:sz="4" w:space="0" w:color="auto"/>
              <w:left w:val="nil"/>
              <w:bottom w:val="single" w:sz="4" w:space="0" w:color="auto"/>
              <w:right w:val="nil"/>
            </w:tcBorders>
            <w:shd w:val="clear" w:color="auto" w:fill="auto"/>
            <w:noWrap/>
            <w:vAlign w:val="center"/>
            <w:hideMark/>
          </w:tcPr>
          <w:p w14:paraId="62485197" w14:textId="0DDED5C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0B6EED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w:t>
            </w:r>
          </w:p>
        </w:tc>
        <w:tc>
          <w:tcPr>
            <w:tcW w:w="1341" w:type="dxa"/>
            <w:tcBorders>
              <w:top w:val="nil"/>
              <w:left w:val="nil"/>
              <w:bottom w:val="single" w:sz="4" w:space="0" w:color="auto"/>
              <w:right w:val="single" w:sz="4" w:space="0" w:color="auto"/>
            </w:tcBorders>
            <w:shd w:val="clear" w:color="auto" w:fill="auto"/>
            <w:noWrap/>
            <w:vAlign w:val="center"/>
            <w:hideMark/>
          </w:tcPr>
          <w:p w14:paraId="3992FFA3" w14:textId="392A105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-25 </w:t>
            </w:r>
            <w:r w:rsidR="00B07E76">
              <w:rPr>
                <w:rFonts w:eastAsia="Times New Roman"/>
                <w:color w:val="000000" w:themeColor="text1"/>
                <w:sz w:val="20"/>
                <w:szCs w:val="20"/>
                <w:lang w:eastAsia="cs-CZ"/>
              </w:rPr>
              <w:t>%</w:t>
            </w:r>
          </w:p>
        </w:tc>
        <w:tc>
          <w:tcPr>
            <w:tcW w:w="691" w:type="dxa"/>
            <w:tcBorders>
              <w:top w:val="single" w:sz="4" w:space="0" w:color="auto"/>
              <w:left w:val="nil"/>
              <w:bottom w:val="single" w:sz="4" w:space="0" w:color="auto"/>
              <w:right w:val="nil"/>
            </w:tcBorders>
            <w:shd w:val="clear" w:color="auto" w:fill="auto"/>
            <w:noWrap/>
            <w:vAlign w:val="bottom"/>
            <w:hideMark/>
          </w:tcPr>
          <w:p w14:paraId="5765E7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91</w:t>
            </w:r>
          </w:p>
        </w:tc>
        <w:tc>
          <w:tcPr>
            <w:tcW w:w="1533" w:type="dxa"/>
            <w:tcBorders>
              <w:top w:val="single" w:sz="4" w:space="0" w:color="auto"/>
              <w:left w:val="nil"/>
              <w:bottom w:val="single" w:sz="4" w:space="0" w:color="auto"/>
              <w:right w:val="nil"/>
            </w:tcBorders>
            <w:shd w:val="clear" w:color="auto" w:fill="auto"/>
            <w:noWrap/>
            <w:vAlign w:val="center"/>
            <w:hideMark/>
          </w:tcPr>
          <w:p w14:paraId="7B6C5148" w14:textId="244B7BF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r>
      <w:tr w:rsidR="008430BD" w:rsidRPr="001C3EC8" w14:paraId="154C2D1B" w14:textId="77777777" w:rsidTr="00E077F3">
        <w:trPr>
          <w:trHeight w:val="315"/>
        </w:trPr>
        <w:tc>
          <w:tcPr>
            <w:tcW w:w="2320" w:type="dxa"/>
            <w:tcBorders>
              <w:top w:val="nil"/>
              <w:left w:val="nil"/>
              <w:bottom w:val="single" w:sz="4" w:space="0" w:color="auto"/>
              <w:right w:val="nil"/>
            </w:tcBorders>
            <w:shd w:val="clear" w:color="auto" w:fill="auto"/>
            <w:noWrap/>
            <w:vAlign w:val="bottom"/>
            <w:hideMark/>
          </w:tcPr>
          <w:p w14:paraId="4820C6E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691" w:type="dxa"/>
            <w:tcBorders>
              <w:top w:val="nil"/>
              <w:left w:val="nil"/>
              <w:bottom w:val="single" w:sz="4" w:space="0" w:color="auto"/>
              <w:right w:val="nil"/>
            </w:tcBorders>
            <w:shd w:val="clear" w:color="auto" w:fill="auto"/>
            <w:noWrap/>
            <w:vAlign w:val="bottom"/>
            <w:hideMark/>
          </w:tcPr>
          <w:p w14:paraId="2C7C53F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1533" w:type="dxa"/>
            <w:tcBorders>
              <w:top w:val="nil"/>
              <w:left w:val="nil"/>
              <w:bottom w:val="single" w:sz="4" w:space="0" w:color="auto"/>
              <w:right w:val="nil"/>
            </w:tcBorders>
            <w:shd w:val="clear" w:color="auto" w:fill="auto"/>
            <w:noWrap/>
            <w:vAlign w:val="center"/>
            <w:hideMark/>
          </w:tcPr>
          <w:p w14:paraId="38AD9A06" w14:textId="3CA832C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76FA9E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p>
        </w:tc>
        <w:tc>
          <w:tcPr>
            <w:tcW w:w="1341" w:type="dxa"/>
            <w:tcBorders>
              <w:top w:val="nil"/>
              <w:left w:val="nil"/>
              <w:bottom w:val="single" w:sz="4" w:space="0" w:color="auto"/>
              <w:right w:val="single" w:sz="4" w:space="0" w:color="auto"/>
            </w:tcBorders>
            <w:shd w:val="clear" w:color="auto" w:fill="auto"/>
            <w:noWrap/>
            <w:vAlign w:val="center"/>
            <w:hideMark/>
          </w:tcPr>
          <w:p w14:paraId="07A3BCFD" w14:textId="527F379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691" w:type="dxa"/>
            <w:tcBorders>
              <w:top w:val="nil"/>
              <w:left w:val="nil"/>
              <w:bottom w:val="single" w:sz="4" w:space="0" w:color="auto"/>
              <w:right w:val="nil"/>
            </w:tcBorders>
            <w:shd w:val="clear" w:color="auto" w:fill="auto"/>
            <w:noWrap/>
            <w:vAlign w:val="bottom"/>
            <w:hideMark/>
          </w:tcPr>
          <w:p w14:paraId="2F95E2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533" w:type="dxa"/>
            <w:tcBorders>
              <w:top w:val="nil"/>
              <w:left w:val="nil"/>
              <w:bottom w:val="single" w:sz="4" w:space="0" w:color="auto"/>
              <w:right w:val="nil"/>
            </w:tcBorders>
            <w:shd w:val="clear" w:color="auto" w:fill="auto"/>
            <w:noWrap/>
            <w:vAlign w:val="center"/>
            <w:hideMark/>
          </w:tcPr>
          <w:p w14:paraId="2413590E" w14:textId="0FF0107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5F742B76" w14:textId="77777777" w:rsidTr="00E077F3">
        <w:trPr>
          <w:trHeight w:val="315"/>
        </w:trPr>
        <w:tc>
          <w:tcPr>
            <w:tcW w:w="2320" w:type="dxa"/>
            <w:tcBorders>
              <w:top w:val="nil"/>
              <w:left w:val="nil"/>
              <w:bottom w:val="single" w:sz="4" w:space="0" w:color="auto"/>
              <w:right w:val="nil"/>
            </w:tcBorders>
            <w:shd w:val="clear" w:color="auto" w:fill="auto"/>
            <w:noWrap/>
            <w:vAlign w:val="bottom"/>
            <w:hideMark/>
          </w:tcPr>
          <w:p w14:paraId="266B0F1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691" w:type="dxa"/>
            <w:tcBorders>
              <w:top w:val="nil"/>
              <w:left w:val="nil"/>
              <w:bottom w:val="single" w:sz="4" w:space="0" w:color="auto"/>
              <w:right w:val="nil"/>
            </w:tcBorders>
            <w:shd w:val="clear" w:color="auto" w:fill="auto"/>
            <w:noWrap/>
            <w:vAlign w:val="bottom"/>
            <w:hideMark/>
          </w:tcPr>
          <w:p w14:paraId="742DEA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w:t>
            </w:r>
          </w:p>
        </w:tc>
        <w:tc>
          <w:tcPr>
            <w:tcW w:w="1533" w:type="dxa"/>
            <w:tcBorders>
              <w:top w:val="nil"/>
              <w:left w:val="nil"/>
              <w:bottom w:val="single" w:sz="4" w:space="0" w:color="auto"/>
              <w:right w:val="nil"/>
            </w:tcBorders>
            <w:shd w:val="clear" w:color="auto" w:fill="auto"/>
            <w:noWrap/>
            <w:vAlign w:val="center"/>
            <w:hideMark/>
          </w:tcPr>
          <w:p w14:paraId="207AA2A4" w14:textId="239252F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1BBE343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p>
        </w:tc>
        <w:tc>
          <w:tcPr>
            <w:tcW w:w="1341" w:type="dxa"/>
            <w:tcBorders>
              <w:top w:val="nil"/>
              <w:left w:val="nil"/>
              <w:bottom w:val="single" w:sz="4" w:space="0" w:color="auto"/>
              <w:right w:val="single" w:sz="4" w:space="0" w:color="auto"/>
            </w:tcBorders>
            <w:shd w:val="clear" w:color="auto" w:fill="auto"/>
            <w:noWrap/>
            <w:vAlign w:val="center"/>
            <w:hideMark/>
          </w:tcPr>
          <w:p w14:paraId="6AE6C6A6" w14:textId="77EFB9A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691" w:type="dxa"/>
            <w:tcBorders>
              <w:top w:val="nil"/>
              <w:left w:val="nil"/>
              <w:bottom w:val="single" w:sz="4" w:space="0" w:color="auto"/>
              <w:right w:val="nil"/>
            </w:tcBorders>
            <w:shd w:val="clear" w:color="auto" w:fill="auto"/>
            <w:noWrap/>
            <w:vAlign w:val="bottom"/>
            <w:hideMark/>
          </w:tcPr>
          <w:p w14:paraId="325FBA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w:t>
            </w:r>
          </w:p>
        </w:tc>
        <w:tc>
          <w:tcPr>
            <w:tcW w:w="1533" w:type="dxa"/>
            <w:tcBorders>
              <w:top w:val="nil"/>
              <w:left w:val="nil"/>
              <w:bottom w:val="single" w:sz="4" w:space="0" w:color="auto"/>
              <w:right w:val="nil"/>
            </w:tcBorders>
            <w:shd w:val="clear" w:color="auto" w:fill="auto"/>
            <w:noWrap/>
            <w:vAlign w:val="center"/>
            <w:hideMark/>
          </w:tcPr>
          <w:p w14:paraId="1D9104DC" w14:textId="6A87BCF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07731907" w14:textId="77777777" w:rsidTr="00E077F3">
        <w:trPr>
          <w:trHeight w:val="315"/>
        </w:trPr>
        <w:tc>
          <w:tcPr>
            <w:tcW w:w="2320" w:type="dxa"/>
            <w:tcBorders>
              <w:top w:val="nil"/>
              <w:left w:val="nil"/>
              <w:bottom w:val="single" w:sz="4" w:space="0" w:color="auto"/>
              <w:right w:val="nil"/>
            </w:tcBorders>
            <w:shd w:val="clear" w:color="auto" w:fill="auto"/>
            <w:noWrap/>
            <w:vAlign w:val="bottom"/>
            <w:hideMark/>
          </w:tcPr>
          <w:p w14:paraId="06B428E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691" w:type="dxa"/>
            <w:tcBorders>
              <w:top w:val="nil"/>
              <w:left w:val="nil"/>
              <w:bottom w:val="single" w:sz="4" w:space="0" w:color="auto"/>
              <w:right w:val="nil"/>
            </w:tcBorders>
            <w:shd w:val="clear" w:color="auto" w:fill="auto"/>
            <w:noWrap/>
            <w:vAlign w:val="bottom"/>
            <w:hideMark/>
          </w:tcPr>
          <w:p w14:paraId="48921A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1533" w:type="dxa"/>
            <w:tcBorders>
              <w:top w:val="nil"/>
              <w:left w:val="nil"/>
              <w:bottom w:val="single" w:sz="4" w:space="0" w:color="auto"/>
              <w:right w:val="nil"/>
            </w:tcBorders>
            <w:shd w:val="clear" w:color="auto" w:fill="auto"/>
            <w:noWrap/>
            <w:vAlign w:val="center"/>
            <w:hideMark/>
          </w:tcPr>
          <w:p w14:paraId="2809F93D" w14:textId="26EA87E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21AB6D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p>
        </w:tc>
        <w:tc>
          <w:tcPr>
            <w:tcW w:w="1341" w:type="dxa"/>
            <w:tcBorders>
              <w:top w:val="nil"/>
              <w:left w:val="nil"/>
              <w:bottom w:val="single" w:sz="4" w:space="0" w:color="auto"/>
              <w:right w:val="single" w:sz="4" w:space="0" w:color="auto"/>
            </w:tcBorders>
            <w:shd w:val="clear" w:color="auto" w:fill="auto"/>
            <w:noWrap/>
            <w:vAlign w:val="center"/>
            <w:hideMark/>
          </w:tcPr>
          <w:p w14:paraId="4890025F" w14:textId="6468105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691" w:type="dxa"/>
            <w:tcBorders>
              <w:top w:val="nil"/>
              <w:left w:val="nil"/>
              <w:bottom w:val="single" w:sz="4" w:space="0" w:color="auto"/>
              <w:right w:val="nil"/>
            </w:tcBorders>
            <w:shd w:val="clear" w:color="auto" w:fill="auto"/>
            <w:noWrap/>
            <w:vAlign w:val="bottom"/>
            <w:hideMark/>
          </w:tcPr>
          <w:p w14:paraId="57B7D2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w:t>
            </w:r>
          </w:p>
        </w:tc>
        <w:tc>
          <w:tcPr>
            <w:tcW w:w="1533" w:type="dxa"/>
            <w:tcBorders>
              <w:top w:val="nil"/>
              <w:left w:val="nil"/>
              <w:bottom w:val="single" w:sz="4" w:space="0" w:color="auto"/>
              <w:right w:val="nil"/>
            </w:tcBorders>
            <w:shd w:val="clear" w:color="auto" w:fill="auto"/>
            <w:noWrap/>
            <w:vAlign w:val="center"/>
            <w:hideMark/>
          </w:tcPr>
          <w:p w14:paraId="4202FB65" w14:textId="0191A1F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r>
      <w:tr w:rsidR="008430BD" w:rsidRPr="001C3EC8" w14:paraId="697B0442" w14:textId="77777777" w:rsidTr="00E077F3">
        <w:trPr>
          <w:trHeight w:val="315"/>
        </w:trPr>
        <w:tc>
          <w:tcPr>
            <w:tcW w:w="2320" w:type="dxa"/>
            <w:tcBorders>
              <w:top w:val="nil"/>
              <w:left w:val="nil"/>
              <w:bottom w:val="single" w:sz="4" w:space="0" w:color="auto"/>
              <w:right w:val="nil"/>
            </w:tcBorders>
            <w:shd w:val="clear" w:color="auto" w:fill="auto"/>
            <w:noWrap/>
            <w:vAlign w:val="bottom"/>
            <w:hideMark/>
          </w:tcPr>
          <w:p w14:paraId="6593D20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691" w:type="dxa"/>
            <w:tcBorders>
              <w:top w:val="nil"/>
              <w:left w:val="nil"/>
              <w:bottom w:val="single" w:sz="4" w:space="0" w:color="auto"/>
              <w:right w:val="nil"/>
            </w:tcBorders>
            <w:shd w:val="clear" w:color="auto" w:fill="auto"/>
            <w:noWrap/>
            <w:vAlign w:val="bottom"/>
            <w:hideMark/>
          </w:tcPr>
          <w:p w14:paraId="72ECF7A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w:t>
            </w:r>
          </w:p>
        </w:tc>
        <w:tc>
          <w:tcPr>
            <w:tcW w:w="1533" w:type="dxa"/>
            <w:tcBorders>
              <w:top w:val="nil"/>
              <w:left w:val="nil"/>
              <w:bottom w:val="single" w:sz="4" w:space="0" w:color="auto"/>
              <w:right w:val="nil"/>
            </w:tcBorders>
            <w:shd w:val="clear" w:color="auto" w:fill="auto"/>
            <w:noWrap/>
            <w:vAlign w:val="center"/>
            <w:hideMark/>
          </w:tcPr>
          <w:p w14:paraId="07E5F32D" w14:textId="533F558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1BAEC4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1341" w:type="dxa"/>
            <w:tcBorders>
              <w:top w:val="nil"/>
              <w:left w:val="nil"/>
              <w:bottom w:val="single" w:sz="4" w:space="0" w:color="auto"/>
              <w:right w:val="single" w:sz="4" w:space="0" w:color="auto"/>
            </w:tcBorders>
            <w:shd w:val="clear" w:color="auto" w:fill="auto"/>
            <w:noWrap/>
            <w:vAlign w:val="center"/>
            <w:hideMark/>
          </w:tcPr>
          <w:p w14:paraId="1ABB73E5" w14:textId="6F87C17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691" w:type="dxa"/>
            <w:tcBorders>
              <w:top w:val="nil"/>
              <w:left w:val="nil"/>
              <w:bottom w:val="single" w:sz="4" w:space="0" w:color="auto"/>
              <w:right w:val="nil"/>
            </w:tcBorders>
            <w:shd w:val="clear" w:color="auto" w:fill="auto"/>
            <w:noWrap/>
            <w:vAlign w:val="bottom"/>
            <w:hideMark/>
          </w:tcPr>
          <w:p w14:paraId="2459CC4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w:t>
            </w:r>
          </w:p>
        </w:tc>
        <w:tc>
          <w:tcPr>
            <w:tcW w:w="1533" w:type="dxa"/>
            <w:tcBorders>
              <w:top w:val="nil"/>
              <w:left w:val="nil"/>
              <w:bottom w:val="single" w:sz="4" w:space="0" w:color="auto"/>
              <w:right w:val="nil"/>
            </w:tcBorders>
            <w:shd w:val="clear" w:color="auto" w:fill="auto"/>
            <w:noWrap/>
            <w:vAlign w:val="center"/>
            <w:hideMark/>
          </w:tcPr>
          <w:p w14:paraId="23FE2FC3" w14:textId="7C0CA57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r>
      <w:tr w:rsidR="008430BD" w:rsidRPr="001C3EC8" w14:paraId="732F9BC2" w14:textId="77777777" w:rsidTr="00E077F3">
        <w:trPr>
          <w:trHeight w:val="315"/>
        </w:trPr>
        <w:tc>
          <w:tcPr>
            <w:tcW w:w="2320" w:type="dxa"/>
            <w:tcBorders>
              <w:top w:val="nil"/>
              <w:left w:val="nil"/>
              <w:bottom w:val="single" w:sz="4" w:space="0" w:color="auto"/>
              <w:right w:val="nil"/>
            </w:tcBorders>
            <w:shd w:val="clear" w:color="auto" w:fill="auto"/>
            <w:noWrap/>
            <w:vAlign w:val="bottom"/>
            <w:hideMark/>
          </w:tcPr>
          <w:p w14:paraId="2F5F4F9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691" w:type="dxa"/>
            <w:tcBorders>
              <w:top w:val="nil"/>
              <w:left w:val="nil"/>
              <w:bottom w:val="single" w:sz="4" w:space="0" w:color="auto"/>
              <w:right w:val="nil"/>
            </w:tcBorders>
            <w:shd w:val="clear" w:color="auto" w:fill="auto"/>
            <w:noWrap/>
            <w:vAlign w:val="bottom"/>
            <w:hideMark/>
          </w:tcPr>
          <w:p w14:paraId="767C1D4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1533" w:type="dxa"/>
            <w:tcBorders>
              <w:top w:val="nil"/>
              <w:left w:val="nil"/>
              <w:bottom w:val="single" w:sz="4" w:space="0" w:color="auto"/>
              <w:right w:val="nil"/>
            </w:tcBorders>
            <w:shd w:val="clear" w:color="auto" w:fill="auto"/>
            <w:noWrap/>
            <w:vAlign w:val="center"/>
            <w:hideMark/>
          </w:tcPr>
          <w:p w14:paraId="127B2D91" w14:textId="529898C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1A8FDD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w:t>
            </w:r>
          </w:p>
        </w:tc>
        <w:tc>
          <w:tcPr>
            <w:tcW w:w="1341" w:type="dxa"/>
            <w:tcBorders>
              <w:top w:val="nil"/>
              <w:left w:val="nil"/>
              <w:bottom w:val="single" w:sz="4" w:space="0" w:color="auto"/>
              <w:right w:val="single" w:sz="4" w:space="0" w:color="auto"/>
            </w:tcBorders>
            <w:shd w:val="clear" w:color="auto" w:fill="auto"/>
            <w:noWrap/>
            <w:vAlign w:val="center"/>
            <w:hideMark/>
          </w:tcPr>
          <w:p w14:paraId="1C2ACE90" w14:textId="69FCAB5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691" w:type="dxa"/>
            <w:tcBorders>
              <w:top w:val="nil"/>
              <w:left w:val="nil"/>
              <w:bottom w:val="single" w:sz="4" w:space="0" w:color="auto"/>
              <w:right w:val="nil"/>
            </w:tcBorders>
            <w:shd w:val="clear" w:color="auto" w:fill="auto"/>
            <w:noWrap/>
            <w:vAlign w:val="bottom"/>
            <w:hideMark/>
          </w:tcPr>
          <w:p w14:paraId="314325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c>
          <w:tcPr>
            <w:tcW w:w="1533" w:type="dxa"/>
            <w:tcBorders>
              <w:top w:val="nil"/>
              <w:left w:val="nil"/>
              <w:bottom w:val="single" w:sz="4" w:space="0" w:color="auto"/>
              <w:right w:val="nil"/>
            </w:tcBorders>
            <w:shd w:val="clear" w:color="auto" w:fill="auto"/>
            <w:noWrap/>
            <w:vAlign w:val="center"/>
            <w:hideMark/>
          </w:tcPr>
          <w:p w14:paraId="77F45361" w14:textId="0E46628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34BBBF4F" w14:textId="77777777" w:rsidTr="00E077F3">
        <w:trPr>
          <w:trHeight w:val="315"/>
        </w:trPr>
        <w:tc>
          <w:tcPr>
            <w:tcW w:w="2320" w:type="dxa"/>
            <w:tcBorders>
              <w:top w:val="nil"/>
              <w:left w:val="nil"/>
              <w:bottom w:val="single" w:sz="4" w:space="0" w:color="auto"/>
              <w:right w:val="nil"/>
            </w:tcBorders>
            <w:shd w:val="clear" w:color="auto" w:fill="auto"/>
            <w:noWrap/>
            <w:vAlign w:val="bottom"/>
            <w:hideMark/>
          </w:tcPr>
          <w:p w14:paraId="0477547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691" w:type="dxa"/>
            <w:tcBorders>
              <w:top w:val="nil"/>
              <w:left w:val="nil"/>
              <w:bottom w:val="single" w:sz="4" w:space="0" w:color="auto"/>
              <w:right w:val="nil"/>
            </w:tcBorders>
            <w:shd w:val="clear" w:color="auto" w:fill="auto"/>
            <w:noWrap/>
            <w:vAlign w:val="bottom"/>
            <w:hideMark/>
          </w:tcPr>
          <w:p w14:paraId="70F138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w:t>
            </w:r>
          </w:p>
        </w:tc>
        <w:tc>
          <w:tcPr>
            <w:tcW w:w="1533" w:type="dxa"/>
            <w:tcBorders>
              <w:top w:val="nil"/>
              <w:left w:val="nil"/>
              <w:bottom w:val="single" w:sz="4" w:space="0" w:color="auto"/>
              <w:right w:val="nil"/>
            </w:tcBorders>
            <w:shd w:val="clear" w:color="auto" w:fill="auto"/>
            <w:noWrap/>
            <w:vAlign w:val="center"/>
            <w:hideMark/>
          </w:tcPr>
          <w:p w14:paraId="7119C79A" w14:textId="01D4466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691" w:type="dxa"/>
            <w:tcBorders>
              <w:top w:val="nil"/>
              <w:left w:val="single" w:sz="4" w:space="0" w:color="auto"/>
              <w:bottom w:val="single" w:sz="4" w:space="0" w:color="auto"/>
              <w:right w:val="nil"/>
            </w:tcBorders>
            <w:shd w:val="clear" w:color="auto" w:fill="auto"/>
            <w:noWrap/>
            <w:vAlign w:val="bottom"/>
            <w:hideMark/>
          </w:tcPr>
          <w:p w14:paraId="050B5A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w:t>
            </w:r>
          </w:p>
        </w:tc>
        <w:tc>
          <w:tcPr>
            <w:tcW w:w="1341" w:type="dxa"/>
            <w:tcBorders>
              <w:top w:val="nil"/>
              <w:left w:val="nil"/>
              <w:bottom w:val="single" w:sz="4" w:space="0" w:color="auto"/>
              <w:right w:val="single" w:sz="4" w:space="0" w:color="auto"/>
            </w:tcBorders>
            <w:shd w:val="clear" w:color="auto" w:fill="auto"/>
            <w:noWrap/>
            <w:vAlign w:val="center"/>
            <w:hideMark/>
          </w:tcPr>
          <w:p w14:paraId="1F960ED5" w14:textId="0C3266A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691" w:type="dxa"/>
            <w:tcBorders>
              <w:top w:val="nil"/>
              <w:left w:val="nil"/>
              <w:bottom w:val="single" w:sz="4" w:space="0" w:color="auto"/>
              <w:right w:val="nil"/>
            </w:tcBorders>
            <w:shd w:val="clear" w:color="auto" w:fill="auto"/>
            <w:noWrap/>
            <w:vAlign w:val="bottom"/>
            <w:hideMark/>
          </w:tcPr>
          <w:p w14:paraId="5AC3B69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w:t>
            </w:r>
          </w:p>
        </w:tc>
        <w:tc>
          <w:tcPr>
            <w:tcW w:w="1533" w:type="dxa"/>
            <w:tcBorders>
              <w:top w:val="nil"/>
              <w:left w:val="nil"/>
              <w:bottom w:val="single" w:sz="4" w:space="0" w:color="auto"/>
              <w:right w:val="nil"/>
            </w:tcBorders>
            <w:shd w:val="clear" w:color="auto" w:fill="auto"/>
            <w:noWrap/>
            <w:vAlign w:val="center"/>
            <w:hideMark/>
          </w:tcPr>
          <w:p w14:paraId="21402442" w14:textId="4A27AA1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503F188B" w14:textId="77777777" w:rsidTr="00E077F3">
        <w:trPr>
          <w:trHeight w:val="330"/>
        </w:trPr>
        <w:tc>
          <w:tcPr>
            <w:tcW w:w="2320" w:type="dxa"/>
            <w:tcBorders>
              <w:top w:val="nil"/>
              <w:left w:val="nil"/>
              <w:bottom w:val="double" w:sz="6" w:space="0" w:color="auto"/>
              <w:right w:val="nil"/>
            </w:tcBorders>
            <w:shd w:val="clear" w:color="auto" w:fill="auto"/>
            <w:noWrap/>
            <w:vAlign w:val="bottom"/>
            <w:hideMark/>
          </w:tcPr>
          <w:p w14:paraId="21A7108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691" w:type="dxa"/>
            <w:tcBorders>
              <w:top w:val="nil"/>
              <w:left w:val="nil"/>
              <w:bottom w:val="double" w:sz="6" w:space="0" w:color="auto"/>
              <w:right w:val="nil"/>
            </w:tcBorders>
            <w:shd w:val="clear" w:color="auto" w:fill="auto"/>
            <w:noWrap/>
            <w:vAlign w:val="bottom"/>
            <w:hideMark/>
          </w:tcPr>
          <w:p w14:paraId="21326BF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533" w:type="dxa"/>
            <w:tcBorders>
              <w:top w:val="nil"/>
              <w:left w:val="nil"/>
              <w:bottom w:val="double" w:sz="6" w:space="0" w:color="auto"/>
              <w:right w:val="nil"/>
            </w:tcBorders>
            <w:shd w:val="clear" w:color="auto" w:fill="auto"/>
            <w:noWrap/>
            <w:vAlign w:val="center"/>
            <w:hideMark/>
          </w:tcPr>
          <w:p w14:paraId="26653A9A" w14:textId="2C2633F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+40 </w:t>
            </w:r>
            <w:r w:rsidR="00B07E76">
              <w:rPr>
                <w:rFonts w:eastAsia="Times New Roman"/>
                <w:color w:val="000000" w:themeColor="text1"/>
                <w:sz w:val="20"/>
                <w:szCs w:val="20"/>
                <w:lang w:eastAsia="cs-CZ"/>
              </w:rPr>
              <w:t>%</w:t>
            </w:r>
          </w:p>
        </w:tc>
        <w:tc>
          <w:tcPr>
            <w:tcW w:w="691" w:type="dxa"/>
            <w:tcBorders>
              <w:top w:val="nil"/>
              <w:left w:val="single" w:sz="4" w:space="0" w:color="auto"/>
              <w:bottom w:val="double" w:sz="6" w:space="0" w:color="auto"/>
              <w:right w:val="nil"/>
            </w:tcBorders>
            <w:shd w:val="clear" w:color="auto" w:fill="auto"/>
            <w:noWrap/>
            <w:vAlign w:val="bottom"/>
            <w:hideMark/>
          </w:tcPr>
          <w:p w14:paraId="1485E53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1341" w:type="dxa"/>
            <w:tcBorders>
              <w:top w:val="nil"/>
              <w:left w:val="nil"/>
              <w:bottom w:val="double" w:sz="6" w:space="0" w:color="auto"/>
              <w:right w:val="single" w:sz="4" w:space="0" w:color="auto"/>
            </w:tcBorders>
            <w:shd w:val="clear" w:color="auto" w:fill="auto"/>
            <w:noWrap/>
            <w:vAlign w:val="center"/>
            <w:hideMark/>
          </w:tcPr>
          <w:p w14:paraId="6FB62199" w14:textId="35FC17D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691" w:type="dxa"/>
            <w:tcBorders>
              <w:top w:val="nil"/>
              <w:left w:val="nil"/>
              <w:bottom w:val="double" w:sz="6" w:space="0" w:color="auto"/>
              <w:right w:val="nil"/>
            </w:tcBorders>
            <w:shd w:val="clear" w:color="auto" w:fill="auto"/>
            <w:noWrap/>
            <w:vAlign w:val="bottom"/>
            <w:hideMark/>
          </w:tcPr>
          <w:p w14:paraId="3933EF8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w:t>
            </w:r>
          </w:p>
        </w:tc>
        <w:tc>
          <w:tcPr>
            <w:tcW w:w="1533" w:type="dxa"/>
            <w:tcBorders>
              <w:top w:val="nil"/>
              <w:left w:val="nil"/>
              <w:bottom w:val="double" w:sz="6" w:space="0" w:color="auto"/>
              <w:right w:val="nil"/>
            </w:tcBorders>
            <w:shd w:val="clear" w:color="auto" w:fill="auto"/>
            <w:noWrap/>
            <w:vAlign w:val="center"/>
            <w:hideMark/>
          </w:tcPr>
          <w:p w14:paraId="18780AB2" w14:textId="5EB5963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16B17415" w14:textId="77777777" w:rsidTr="00E077F3">
        <w:trPr>
          <w:trHeight w:val="345"/>
        </w:trPr>
        <w:tc>
          <w:tcPr>
            <w:tcW w:w="2320" w:type="dxa"/>
            <w:tcBorders>
              <w:top w:val="nil"/>
              <w:left w:val="nil"/>
              <w:bottom w:val="double" w:sz="6" w:space="0" w:color="auto"/>
              <w:right w:val="nil"/>
            </w:tcBorders>
            <w:shd w:val="clear" w:color="auto" w:fill="auto"/>
            <w:noWrap/>
            <w:vAlign w:val="bottom"/>
            <w:hideMark/>
          </w:tcPr>
          <w:p w14:paraId="1F9D6A15"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691" w:type="dxa"/>
            <w:tcBorders>
              <w:top w:val="nil"/>
              <w:left w:val="nil"/>
              <w:bottom w:val="double" w:sz="6" w:space="0" w:color="auto"/>
              <w:right w:val="nil"/>
            </w:tcBorders>
            <w:shd w:val="clear" w:color="auto" w:fill="auto"/>
            <w:noWrap/>
            <w:vAlign w:val="bottom"/>
            <w:hideMark/>
          </w:tcPr>
          <w:p w14:paraId="74FB7C7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27</w:t>
            </w:r>
          </w:p>
        </w:tc>
        <w:tc>
          <w:tcPr>
            <w:tcW w:w="1533" w:type="dxa"/>
            <w:tcBorders>
              <w:top w:val="nil"/>
              <w:left w:val="nil"/>
              <w:bottom w:val="double" w:sz="6" w:space="0" w:color="auto"/>
              <w:right w:val="nil"/>
            </w:tcBorders>
            <w:shd w:val="clear" w:color="auto" w:fill="auto"/>
            <w:noWrap/>
            <w:vAlign w:val="center"/>
            <w:hideMark/>
          </w:tcPr>
          <w:p w14:paraId="6EE212EE" w14:textId="60FC4DC4"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 </w:t>
            </w:r>
            <w:r w:rsidR="00B07E76">
              <w:rPr>
                <w:rFonts w:eastAsia="Times New Roman"/>
                <w:b/>
                <w:bCs/>
                <w:color w:val="000000" w:themeColor="text1"/>
                <w:sz w:val="20"/>
                <w:szCs w:val="20"/>
                <w:lang w:eastAsia="cs-CZ"/>
              </w:rPr>
              <w:t>%</w:t>
            </w:r>
          </w:p>
        </w:tc>
        <w:tc>
          <w:tcPr>
            <w:tcW w:w="691" w:type="dxa"/>
            <w:tcBorders>
              <w:top w:val="nil"/>
              <w:left w:val="single" w:sz="4" w:space="0" w:color="auto"/>
              <w:bottom w:val="double" w:sz="6" w:space="0" w:color="auto"/>
              <w:right w:val="nil"/>
            </w:tcBorders>
            <w:shd w:val="clear" w:color="auto" w:fill="auto"/>
            <w:noWrap/>
            <w:vAlign w:val="bottom"/>
            <w:hideMark/>
          </w:tcPr>
          <w:p w14:paraId="71FD157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w:t>
            </w:r>
          </w:p>
        </w:tc>
        <w:tc>
          <w:tcPr>
            <w:tcW w:w="1341" w:type="dxa"/>
            <w:tcBorders>
              <w:top w:val="nil"/>
              <w:left w:val="nil"/>
              <w:bottom w:val="double" w:sz="6" w:space="0" w:color="auto"/>
              <w:right w:val="single" w:sz="4" w:space="0" w:color="auto"/>
            </w:tcBorders>
            <w:shd w:val="clear" w:color="auto" w:fill="auto"/>
            <w:noWrap/>
            <w:vAlign w:val="center"/>
            <w:hideMark/>
          </w:tcPr>
          <w:p w14:paraId="152E654F" w14:textId="1C289D88"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 </w:t>
            </w:r>
            <w:r w:rsidR="00B07E76">
              <w:rPr>
                <w:rFonts w:eastAsia="Times New Roman"/>
                <w:b/>
                <w:bCs/>
                <w:color w:val="000000" w:themeColor="text1"/>
                <w:sz w:val="20"/>
                <w:szCs w:val="20"/>
                <w:lang w:eastAsia="cs-CZ"/>
              </w:rPr>
              <w:t>%</w:t>
            </w:r>
          </w:p>
        </w:tc>
        <w:tc>
          <w:tcPr>
            <w:tcW w:w="691" w:type="dxa"/>
            <w:tcBorders>
              <w:top w:val="nil"/>
              <w:left w:val="nil"/>
              <w:bottom w:val="double" w:sz="6" w:space="0" w:color="auto"/>
              <w:right w:val="nil"/>
            </w:tcBorders>
            <w:shd w:val="clear" w:color="auto" w:fill="auto"/>
            <w:noWrap/>
            <w:vAlign w:val="bottom"/>
            <w:hideMark/>
          </w:tcPr>
          <w:p w14:paraId="2FF135C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56</w:t>
            </w:r>
          </w:p>
        </w:tc>
        <w:tc>
          <w:tcPr>
            <w:tcW w:w="1533" w:type="dxa"/>
            <w:tcBorders>
              <w:top w:val="nil"/>
              <w:left w:val="nil"/>
              <w:bottom w:val="double" w:sz="6" w:space="0" w:color="auto"/>
              <w:right w:val="nil"/>
            </w:tcBorders>
            <w:shd w:val="clear" w:color="auto" w:fill="auto"/>
            <w:noWrap/>
            <w:vAlign w:val="center"/>
            <w:hideMark/>
          </w:tcPr>
          <w:p w14:paraId="53A90855" w14:textId="1D21D44E"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-3 </w:t>
            </w:r>
            <w:r w:rsidR="00B07E76">
              <w:rPr>
                <w:rFonts w:eastAsia="Times New Roman"/>
                <w:b/>
                <w:bCs/>
                <w:color w:val="000000" w:themeColor="text1"/>
                <w:sz w:val="20"/>
                <w:szCs w:val="20"/>
                <w:lang w:eastAsia="cs-CZ"/>
              </w:rPr>
              <w:t>%</w:t>
            </w:r>
          </w:p>
        </w:tc>
      </w:tr>
    </w:tbl>
    <w:p w14:paraId="30BEFCE2" w14:textId="77777777" w:rsidR="008430BD" w:rsidRPr="001C3EC8" w:rsidRDefault="008430BD" w:rsidP="008430BD">
      <w:pPr>
        <w:rPr>
          <w:color w:val="000000" w:themeColor="text1"/>
        </w:rPr>
      </w:pPr>
    </w:p>
    <w:p w14:paraId="29F826DF" w14:textId="0EDADC8C" w:rsidR="008430BD" w:rsidRPr="001C3EC8" w:rsidRDefault="008430BD" w:rsidP="008430BD">
      <w:pPr>
        <w:rPr>
          <w:color w:val="000000" w:themeColor="text1"/>
        </w:rPr>
      </w:pPr>
      <w:r w:rsidRPr="001C3EC8">
        <w:rPr>
          <w:color w:val="000000" w:themeColor="text1"/>
        </w:rPr>
        <w:t xml:space="preserve">Délky řízení jsou řádově nižší než u klasického civilního řízení (rejstřík C). Například mediánová délka řízení v roce 2019 byla v klasickém civilním řízení 172 dnů, v elektronickém rozkazním řízení byla pouze 13 dnů. To je asi třináctkrát méně. To samozřejmě plyne z již diskutované výrazně nižší obtížnosti agendy EPR. Z toho pak plynou i nižší absolutní rozdíly mezi jednotlivými soudy a kraji. Mezi nejrychlejšími soudy ve Jihočeském kraji a nejpomalejšími soudy v Jihomoravském kraji je rozdíl pouze 13 dnů v mediánové délce řízení a 21 dnů v průměrné délce řízení. Z jednotlivých soudů jsou nejrychlejší OS </w:t>
      </w:r>
      <w:r w:rsidR="0053190F">
        <w:rPr>
          <w:color w:val="000000" w:themeColor="text1"/>
        </w:rPr>
        <w:t>Plzeň</w:t>
      </w:r>
      <w:r w:rsidR="0053190F">
        <w:rPr>
          <w:color w:val="000000" w:themeColor="text1"/>
        </w:rPr>
        <w:noBreakHyphen/>
      </w:r>
      <w:r w:rsidRPr="001C3EC8">
        <w:rPr>
          <w:color w:val="000000" w:themeColor="text1"/>
        </w:rPr>
        <w:t xml:space="preserve">sever </w:t>
      </w:r>
      <w:r w:rsidR="006579E3" w:rsidRPr="001C3EC8">
        <w:rPr>
          <w:color w:val="000000" w:themeColor="text1"/>
        </w:rPr>
        <w:t>a</w:t>
      </w:r>
      <w:r w:rsidR="006579E3">
        <w:rPr>
          <w:color w:val="000000" w:themeColor="text1"/>
        </w:rPr>
        <w:t> </w:t>
      </w:r>
      <w:r w:rsidRPr="001C3EC8">
        <w:rPr>
          <w:color w:val="000000" w:themeColor="text1"/>
        </w:rPr>
        <w:t xml:space="preserve">OS Rokycany (medián 6 dnů). Nejpomalejší je OS </w:t>
      </w:r>
      <w:r w:rsidR="0053190F">
        <w:rPr>
          <w:color w:val="000000" w:themeColor="text1"/>
        </w:rPr>
        <w:t>Brno</w:t>
      </w:r>
      <w:r w:rsidR="0053190F">
        <w:rPr>
          <w:color w:val="000000" w:themeColor="text1"/>
        </w:rPr>
        <w:noBreakHyphen/>
      </w:r>
      <w:r w:rsidRPr="001C3EC8">
        <w:rPr>
          <w:color w:val="000000" w:themeColor="text1"/>
        </w:rPr>
        <w:t xml:space="preserve">město (49 dnů) </w:t>
      </w:r>
      <w:r w:rsidR="006579E3" w:rsidRPr="001C3EC8">
        <w:rPr>
          <w:color w:val="000000" w:themeColor="text1"/>
        </w:rPr>
        <w:t>a</w:t>
      </w:r>
      <w:r w:rsidR="006579E3">
        <w:rPr>
          <w:color w:val="000000" w:themeColor="text1"/>
        </w:rPr>
        <w:t> </w:t>
      </w:r>
      <w:r w:rsidRPr="001C3EC8">
        <w:rPr>
          <w:color w:val="000000" w:themeColor="text1"/>
        </w:rPr>
        <w:t xml:space="preserve">OS pro Prahu 1 (51 dnů). Loni nejhorší OS pro Prahu 7 se zlepšil ze 126 dnů </w:t>
      </w:r>
      <w:r w:rsidR="00555BA2" w:rsidRPr="001C3EC8">
        <w:rPr>
          <w:color w:val="000000" w:themeColor="text1"/>
        </w:rPr>
        <w:t>na </w:t>
      </w:r>
      <w:r w:rsidRPr="001C3EC8">
        <w:rPr>
          <w:color w:val="000000" w:themeColor="text1"/>
        </w:rPr>
        <w:t>35.</w:t>
      </w:r>
    </w:p>
    <w:p w14:paraId="2FF7F867" w14:textId="695B7445" w:rsidR="008430BD" w:rsidRPr="001C3EC8" w:rsidRDefault="008430BD" w:rsidP="008430BD">
      <w:pPr>
        <w:rPr>
          <w:color w:val="000000" w:themeColor="text1"/>
        </w:rPr>
      </w:pPr>
      <w:r w:rsidRPr="001C3EC8">
        <w:rPr>
          <w:color w:val="000000" w:themeColor="text1"/>
        </w:rPr>
        <w:t xml:space="preserve">Z výše uvedeného také plyne menší variabilita v absolutních číslech mezi roky. Z tabulky vyplývá, že </w:t>
      </w:r>
      <w:r w:rsidR="006579E3" w:rsidRPr="001C3EC8">
        <w:rPr>
          <w:color w:val="000000" w:themeColor="text1"/>
        </w:rPr>
        <w:t>u</w:t>
      </w:r>
      <w:r w:rsidR="006579E3">
        <w:rPr>
          <w:color w:val="000000" w:themeColor="text1"/>
        </w:rPr>
        <w:t> </w:t>
      </w:r>
      <w:r w:rsidRPr="001C3EC8">
        <w:rPr>
          <w:color w:val="000000" w:themeColor="text1"/>
        </w:rPr>
        <w:t xml:space="preserve">většiny krajů došlo k velmi malé změně ve všech ukazatelích. Někde je procentní změna větší, řádově se ale jedná v absolutních číslech pouze </w:t>
      </w:r>
      <w:r w:rsidR="006579E3" w:rsidRPr="001C3EC8">
        <w:rPr>
          <w:color w:val="000000" w:themeColor="text1"/>
        </w:rPr>
        <w:t>o</w:t>
      </w:r>
      <w:r w:rsidR="006579E3">
        <w:rPr>
          <w:color w:val="000000" w:themeColor="text1"/>
        </w:rPr>
        <w:t> </w:t>
      </w:r>
      <w:r w:rsidRPr="001C3EC8">
        <w:rPr>
          <w:color w:val="000000" w:themeColor="text1"/>
        </w:rPr>
        <w:t>dny.</w:t>
      </w:r>
    </w:p>
    <w:p w14:paraId="57015485" w14:textId="232CFD48" w:rsidR="008430BD" w:rsidRPr="001C3EC8" w:rsidRDefault="008430BD" w:rsidP="008430BD">
      <w:pPr>
        <w:pStyle w:val="OdstavecASR"/>
        <w:rPr>
          <w:color w:val="000000" w:themeColor="text1"/>
        </w:rPr>
      </w:pPr>
      <w:r w:rsidRPr="001C3EC8">
        <w:rPr>
          <w:color w:val="000000" w:themeColor="text1"/>
        </w:rPr>
        <w:t>Ještě zbývá poznamenat, že rychlost vyřizování dle krajů v zásadě odpovídá rychlosti vyřizování v klasickém civilním řízení (absolutní hodnoty jsou ale daleko menší). Nejnižší délky řízení tak vykazují soudy, které spadají pod KS Praha a KS České Budějovice</w:t>
      </w:r>
      <w:r w:rsidR="00B8488E" w:rsidRPr="001C3EC8">
        <w:rPr>
          <w:color w:val="000000" w:themeColor="text1"/>
        </w:rPr>
        <w:t>,</w:t>
      </w:r>
      <w:r w:rsidRPr="001C3EC8">
        <w:rPr>
          <w:color w:val="000000" w:themeColor="text1"/>
        </w:rPr>
        <w:t xml:space="preserve"> </w:t>
      </w:r>
      <w:r w:rsidR="006579E3" w:rsidRPr="001C3EC8">
        <w:rPr>
          <w:color w:val="000000" w:themeColor="text1"/>
        </w:rPr>
        <w:t>a</w:t>
      </w:r>
      <w:r w:rsidR="006579E3">
        <w:rPr>
          <w:color w:val="000000" w:themeColor="text1"/>
        </w:rPr>
        <w:t> </w:t>
      </w:r>
      <w:r w:rsidRPr="001C3EC8">
        <w:rPr>
          <w:color w:val="000000" w:themeColor="text1"/>
        </w:rPr>
        <w:t>také soudy spadající pod KS Hradec Králové. Naopak nejvyšší délky řízení jsou u soudů, které spadají pod KS Ústí nad Labem a KS Brno. To je logické, neboť soudy, kde je přetížen celý civilní úsek, zřejmě budou mít problémy vyřizovat veškerou agendu na tomto úseku.</w:t>
      </w:r>
    </w:p>
    <w:p w14:paraId="691448A2" w14:textId="77777777" w:rsidR="008430BD" w:rsidRPr="001C3EC8" w:rsidRDefault="008430BD" w:rsidP="008430BD">
      <w:pPr>
        <w:pStyle w:val="Nadpis3"/>
        <w:numPr>
          <w:ilvl w:val="2"/>
          <w:numId w:val="1"/>
        </w:numPr>
        <w:rPr>
          <w:color w:val="000000" w:themeColor="text1"/>
        </w:rPr>
      </w:pPr>
      <w:bookmarkStart w:id="172" w:name="_Toc515871228"/>
      <w:bookmarkStart w:id="173" w:name="_Toc75952064"/>
      <w:r w:rsidRPr="001C3EC8">
        <w:rPr>
          <w:color w:val="000000" w:themeColor="text1"/>
        </w:rPr>
        <w:lastRenderedPageBreak/>
        <w:t>Vyřizování věcí</w:t>
      </w:r>
      <w:bookmarkEnd w:id="172"/>
      <w:bookmarkEnd w:id="173"/>
    </w:p>
    <w:p w14:paraId="4A335248" w14:textId="2D3FF310" w:rsidR="008430BD" w:rsidRPr="001C3EC8" w:rsidRDefault="008430BD" w:rsidP="008430BD">
      <w:pPr>
        <w:pStyle w:val="Podnadpis"/>
        <w:rPr>
          <w:color w:val="000000" w:themeColor="text1"/>
        </w:rPr>
      </w:pPr>
      <w:bookmarkStart w:id="174" w:name="_Toc515871347"/>
      <w:bookmarkStart w:id="175" w:name="_Toc11135082"/>
      <w:bookmarkStart w:id="176" w:name="_Toc43841398"/>
      <w:bookmarkStart w:id="177" w:name="_Toc7595219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19</w:t>
      </w:r>
      <w:r w:rsidRPr="001C3EC8">
        <w:rPr>
          <w:color w:val="000000" w:themeColor="text1"/>
        </w:rPr>
        <w:fldChar w:fldCharType="end"/>
      </w:r>
      <w:r w:rsidRPr="001C3EC8">
        <w:rPr>
          <w:color w:val="000000" w:themeColor="text1"/>
        </w:rPr>
        <w:t>: OS – vyřizování věcí v rejstříku EPR v letech 2013–20</w:t>
      </w:r>
      <w:bookmarkEnd w:id="174"/>
      <w:bookmarkEnd w:id="175"/>
      <w:bookmarkEnd w:id="176"/>
      <w:r w:rsidRPr="001C3EC8">
        <w:rPr>
          <w:color w:val="000000" w:themeColor="text1"/>
        </w:rPr>
        <w:t>20</w:t>
      </w:r>
      <w:bookmarkEnd w:id="177"/>
    </w:p>
    <w:p w14:paraId="2DE86F6C"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E38723B" wp14:editId="4682FFC6">
            <wp:extent cx="5115560" cy="3743960"/>
            <wp:effectExtent l="0" t="0" r="0" b="889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49073EDA" w14:textId="6B83F0E5" w:rsidR="008430BD" w:rsidRPr="001C3EC8" w:rsidRDefault="008430BD" w:rsidP="008430BD">
      <w:pPr>
        <w:pStyle w:val="OdstavecASR"/>
        <w:rPr>
          <w:color w:val="000000" w:themeColor="text1"/>
        </w:rPr>
      </w:pPr>
      <w:r w:rsidRPr="001C3EC8">
        <w:rPr>
          <w:color w:val="000000" w:themeColor="text1"/>
        </w:rPr>
        <w:t>Je jasně vidět, že s vyřizováním této agendy nemají až na výjimky soudy žádné potíže. To ilustruje i poměr počtu nevyřízených věcí k počtu vyřízených věcí či k nápadu. V roce 2020 došlo k nemalému nárůstu (</w:t>
      </w:r>
      <w:r w:rsidR="006579E3" w:rsidRPr="001C3EC8">
        <w:rPr>
          <w:color w:val="000000" w:themeColor="text1"/>
        </w:rPr>
        <w:t>o</w:t>
      </w:r>
      <w:r w:rsidR="006579E3">
        <w:rPr>
          <w:color w:val="000000" w:themeColor="text1"/>
        </w:rPr>
        <w:t> </w:t>
      </w:r>
      <w:r w:rsidRPr="001C3EC8">
        <w:rPr>
          <w:color w:val="000000" w:themeColor="text1"/>
        </w:rPr>
        <w:t>17 %) v po</w:t>
      </w:r>
      <w:r w:rsidR="006E235D" w:rsidRPr="001C3EC8">
        <w:rPr>
          <w:color w:val="000000" w:themeColor="text1"/>
        </w:rPr>
        <w:t>č</w:t>
      </w:r>
      <w:r w:rsidRPr="001C3EC8">
        <w:rPr>
          <w:color w:val="000000" w:themeColor="text1"/>
        </w:rPr>
        <w:t xml:space="preserve">tu příchozích věcí oproti roku 2019. K obdobnému nárůstu došlo ve všech krajích. Pandemie </w:t>
      </w:r>
      <w:r w:rsidR="000C3B1E">
        <w:rPr>
          <w:color w:val="000000" w:themeColor="text1"/>
        </w:rPr>
        <w:t>COVID</w:t>
      </w:r>
      <w:r w:rsidR="000C3B1E">
        <w:rPr>
          <w:color w:val="000000" w:themeColor="text1"/>
        </w:rPr>
        <w:noBreakHyphen/>
        <w:t>19</w:t>
      </w:r>
      <w:r w:rsidRPr="001C3EC8">
        <w:rPr>
          <w:color w:val="000000" w:themeColor="text1"/>
        </w:rPr>
        <w:t xml:space="preserve"> </w:t>
      </w:r>
      <w:r w:rsidR="006579E3" w:rsidRPr="001C3EC8">
        <w:rPr>
          <w:color w:val="000000" w:themeColor="text1"/>
        </w:rPr>
        <w:t>a</w:t>
      </w:r>
      <w:r w:rsidR="006579E3">
        <w:rPr>
          <w:color w:val="000000" w:themeColor="text1"/>
        </w:rPr>
        <w:t> </w:t>
      </w:r>
      <w:r w:rsidRPr="001C3EC8">
        <w:rPr>
          <w:color w:val="000000" w:themeColor="text1"/>
        </w:rPr>
        <w:t xml:space="preserve">vládní restrikce tedy zřejmě ovlivnily nápad v opačném </w:t>
      </w:r>
      <w:r w:rsidR="008A5067" w:rsidRPr="001C3EC8">
        <w:rPr>
          <w:color w:val="000000" w:themeColor="text1"/>
        </w:rPr>
        <w:t>směru, než</w:t>
      </w:r>
      <w:r w:rsidRPr="001C3EC8">
        <w:rPr>
          <w:color w:val="000000" w:themeColor="text1"/>
        </w:rPr>
        <w:t xml:space="preserve"> </w:t>
      </w:r>
      <w:r w:rsidR="006579E3" w:rsidRPr="001C3EC8">
        <w:rPr>
          <w:color w:val="000000" w:themeColor="text1"/>
        </w:rPr>
        <w:t>u</w:t>
      </w:r>
      <w:r w:rsidR="006579E3">
        <w:rPr>
          <w:color w:val="000000" w:themeColor="text1"/>
        </w:rPr>
        <w:t> </w:t>
      </w:r>
      <w:r w:rsidRPr="001C3EC8">
        <w:rPr>
          <w:color w:val="000000" w:themeColor="text1"/>
        </w:rPr>
        <w:t xml:space="preserve">rejstříku C. To koneckonců dává smysl – EPR je agenda elektronická, a tudíž nijak omezená zavedenými vládními opatřeními. Narůst agenda mohla právě proto, že se v době pandemie </w:t>
      </w:r>
      <w:r w:rsidR="000C3B1E">
        <w:rPr>
          <w:color w:val="000000" w:themeColor="text1"/>
        </w:rPr>
        <w:t>COVID</w:t>
      </w:r>
      <w:r w:rsidR="000C3B1E">
        <w:rPr>
          <w:color w:val="000000" w:themeColor="text1"/>
        </w:rPr>
        <w:noBreakHyphen/>
        <w:t>19</w:t>
      </w:r>
      <w:r w:rsidRPr="001C3EC8">
        <w:rPr>
          <w:color w:val="000000" w:themeColor="text1"/>
        </w:rPr>
        <w:t xml:space="preserve"> přesouvá do bezkontaktní </w:t>
      </w:r>
      <w:r w:rsidR="006579E3" w:rsidRPr="001C3EC8">
        <w:rPr>
          <w:color w:val="000000" w:themeColor="text1"/>
        </w:rPr>
        <w:t>a</w:t>
      </w:r>
      <w:r w:rsidR="006579E3">
        <w:rPr>
          <w:color w:val="000000" w:themeColor="text1"/>
        </w:rPr>
        <w:t> </w:t>
      </w:r>
      <w:r w:rsidRPr="001C3EC8">
        <w:rPr>
          <w:color w:val="000000" w:themeColor="text1"/>
        </w:rPr>
        <w:t xml:space="preserve">elektronické podoby. Soudy </w:t>
      </w:r>
      <w:r w:rsidR="00B8488E" w:rsidRPr="001C3EC8">
        <w:rPr>
          <w:color w:val="000000" w:themeColor="text1"/>
        </w:rPr>
        <w:t>an</w:t>
      </w:r>
      <w:r w:rsidRPr="001C3EC8">
        <w:rPr>
          <w:color w:val="000000" w:themeColor="text1"/>
        </w:rPr>
        <w:t xml:space="preserve">i tak neměly vážnější problémy agendu vyřizovat. Nárůst </w:t>
      </w:r>
      <w:r w:rsidR="006C0333">
        <w:rPr>
          <w:color w:val="000000" w:themeColor="text1"/>
        </w:rPr>
        <w:t>nevyřízených věcí</w:t>
      </w:r>
      <w:r w:rsidR="006337AB">
        <w:rPr>
          <w:color w:val="000000" w:themeColor="text1"/>
        </w:rPr>
        <w:t xml:space="preserve"> </w:t>
      </w:r>
      <w:r w:rsidR="006579E3">
        <w:rPr>
          <w:color w:val="000000" w:themeColor="text1"/>
        </w:rPr>
        <w:t>o </w:t>
      </w:r>
      <w:r w:rsidR="00023512" w:rsidRPr="001C3EC8">
        <w:rPr>
          <w:color w:val="000000" w:themeColor="text1"/>
        </w:rPr>
        <w:t>více</w:t>
      </w:r>
      <w:r w:rsidRPr="001C3EC8">
        <w:rPr>
          <w:color w:val="000000" w:themeColor="text1"/>
        </w:rPr>
        <w:t xml:space="preserve"> než 40 % v některých krajích sice může vypadat hrozivě, </w:t>
      </w:r>
      <w:r w:rsidR="006579E3" w:rsidRPr="001C3EC8">
        <w:rPr>
          <w:color w:val="000000" w:themeColor="text1"/>
        </w:rPr>
        <w:t>u</w:t>
      </w:r>
      <w:r w:rsidR="006579E3">
        <w:rPr>
          <w:color w:val="000000" w:themeColor="text1"/>
        </w:rPr>
        <w:t> </w:t>
      </w:r>
      <w:r w:rsidRPr="001C3EC8">
        <w:rPr>
          <w:color w:val="000000" w:themeColor="text1"/>
        </w:rPr>
        <w:t xml:space="preserve">EPR se ale </w:t>
      </w:r>
      <w:r w:rsidR="006579E3" w:rsidRPr="001C3EC8">
        <w:rPr>
          <w:color w:val="000000" w:themeColor="text1"/>
        </w:rPr>
        <w:t>o</w:t>
      </w:r>
      <w:r w:rsidR="006579E3">
        <w:rPr>
          <w:color w:val="000000" w:themeColor="text1"/>
        </w:rPr>
        <w:t> </w:t>
      </w:r>
      <w:r w:rsidRPr="001C3EC8">
        <w:rPr>
          <w:color w:val="000000" w:themeColor="text1"/>
        </w:rPr>
        <w:t>žádný problém nejedná. Věci jsou stále vyřizovány velmi rychle a nevyřízených věcí je málo.</w:t>
      </w:r>
    </w:p>
    <w:p w14:paraId="36030903" w14:textId="77777777" w:rsidR="008430BD" w:rsidRPr="001C3EC8" w:rsidRDefault="008430BD" w:rsidP="008430BD">
      <w:pPr>
        <w:spacing w:line="240" w:lineRule="auto"/>
        <w:jc w:val="left"/>
        <w:rPr>
          <w:rFonts w:eastAsia="Times New Roman"/>
          <w:b/>
          <w:iCs/>
          <w:color w:val="000000" w:themeColor="text1"/>
          <w:spacing w:val="15"/>
          <w:szCs w:val="24"/>
        </w:rPr>
      </w:pPr>
      <w:bookmarkStart w:id="178" w:name="_Toc515871449"/>
      <w:bookmarkStart w:id="179" w:name="_Toc11133217"/>
      <w:bookmarkStart w:id="180" w:name="_Toc43931191"/>
      <w:r w:rsidRPr="001C3EC8">
        <w:rPr>
          <w:color w:val="000000" w:themeColor="text1"/>
        </w:rPr>
        <w:br w:type="page"/>
      </w:r>
    </w:p>
    <w:p w14:paraId="2D7D8D6F" w14:textId="4F4C07E7" w:rsidR="008430BD" w:rsidRPr="001C3EC8" w:rsidRDefault="008430BD" w:rsidP="008430BD">
      <w:pPr>
        <w:pStyle w:val="Podnadpis"/>
        <w:rPr>
          <w:color w:val="000000" w:themeColor="text1"/>
        </w:rPr>
      </w:pPr>
      <w:bookmarkStart w:id="181" w:name="_Toc75952321"/>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18</w:t>
      </w:r>
      <w:r w:rsidRPr="001C3EC8">
        <w:rPr>
          <w:noProof/>
          <w:color w:val="000000" w:themeColor="text1"/>
        </w:rPr>
        <w:fldChar w:fldCharType="end"/>
      </w:r>
      <w:r w:rsidRPr="001C3EC8">
        <w:rPr>
          <w:color w:val="000000" w:themeColor="text1"/>
        </w:rPr>
        <w:t>: OS – vyřizování věcí v rejstříku EPR dle krajů</w:t>
      </w:r>
      <w:bookmarkEnd w:id="178"/>
      <w:bookmarkEnd w:id="179"/>
      <w:bookmarkEnd w:id="180"/>
      <w:bookmarkEnd w:id="181"/>
    </w:p>
    <w:tbl>
      <w:tblPr>
        <w:tblW w:w="9140" w:type="dxa"/>
        <w:tblCellMar>
          <w:left w:w="70" w:type="dxa"/>
          <w:right w:w="70" w:type="dxa"/>
        </w:tblCellMar>
        <w:tblLook w:val="04A0" w:firstRow="1" w:lastRow="0" w:firstColumn="1" w:lastColumn="0" w:noHBand="0" w:noVBand="1"/>
      </w:tblPr>
      <w:tblGrid>
        <w:gridCol w:w="2020"/>
        <w:gridCol w:w="1067"/>
        <w:gridCol w:w="878"/>
        <w:gridCol w:w="1013"/>
        <w:gridCol w:w="878"/>
        <w:gridCol w:w="866"/>
        <w:gridCol w:w="878"/>
        <w:gridCol w:w="1540"/>
      </w:tblGrid>
      <w:tr w:rsidR="008430BD" w:rsidRPr="001C3EC8" w14:paraId="409CB9DD"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4A7B0E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703A054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7CEA391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165675FF"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57932807"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945" w:type="dxa"/>
            <w:gridSpan w:val="2"/>
            <w:tcBorders>
              <w:top w:val="nil"/>
              <w:left w:val="nil"/>
              <w:bottom w:val="double" w:sz="6" w:space="0" w:color="auto"/>
              <w:right w:val="nil"/>
            </w:tcBorders>
            <w:shd w:val="clear" w:color="auto" w:fill="auto"/>
            <w:noWrap/>
            <w:vAlign w:val="center"/>
            <w:hideMark/>
          </w:tcPr>
          <w:p w14:paraId="43737F1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9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0DF7A6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744" w:type="dxa"/>
            <w:gridSpan w:val="2"/>
            <w:tcBorders>
              <w:top w:val="nil"/>
              <w:left w:val="nil"/>
              <w:bottom w:val="double" w:sz="6" w:space="0" w:color="auto"/>
              <w:right w:val="single" w:sz="4" w:space="0" w:color="000000"/>
            </w:tcBorders>
            <w:shd w:val="clear" w:color="auto" w:fill="auto"/>
            <w:noWrap/>
            <w:vAlign w:val="center"/>
            <w:hideMark/>
          </w:tcPr>
          <w:p w14:paraId="5868CF7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47EAD0BB"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40F5C3D1"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DF965D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67" w:type="dxa"/>
            <w:tcBorders>
              <w:top w:val="single" w:sz="4" w:space="0" w:color="auto"/>
              <w:left w:val="nil"/>
              <w:bottom w:val="single" w:sz="4" w:space="0" w:color="auto"/>
              <w:right w:val="nil"/>
            </w:tcBorders>
            <w:shd w:val="clear" w:color="auto" w:fill="auto"/>
            <w:noWrap/>
            <w:vAlign w:val="bottom"/>
            <w:hideMark/>
          </w:tcPr>
          <w:p w14:paraId="33C5D24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65 796</w:t>
            </w:r>
          </w:p>
        </w:tc>
        <w:tc>
          <w:tcPr>
            <w:tcW w:w="878" w:type="dxa"/>
            <w:tcBorders>
              <w:top w:val="single" w:sz="4" w:space="0" w:color="auto"/>
              <w:left w:val="nil"/>
              <w:bottom w:val="single" w:sz="4" w:space="0" w:color="auto"/>
              <w:right w:val="nil"/>
            </w:tcBorders>
            <w:shd w:val="clear" w:color="auto" w:fill="auto"/>
            <w:noWrap/>
            <w:vAlign w:val="center"/>
            <w:hideMark/>
          </w:tcPr>
          <w:p w14:paraId="47201B4C" w14:textId="1ACCBA3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1013" w:type="dxa"/>
            <w:tcBorders>
              <w:top w:val="single" w:sz="4" w:space="0" w:color="auto"/>
              <w:left w:val="single" w:sz="4" w:space="0" w:color="auto"/>
              <w:bottom w:val="single" w:sz="4" w:space="0" w:color="auto"/>
              <w:right w:val="nil"/>
            </w:tcBorders>
            <w:shd w:val="clear" w:color="auto" w:fill="auto"/>
            <w:noWrap/>
            <w:vAlign w:val="bottom"/>
            <w:hideMark/>
          </w:tcPr>
          <w:p w14:paraId="35C40C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66 564</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3D32888B" w14:textId="6B1B4AD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66" w:type="dxa"/>
            <w:tcBorders>
              <w:top w:val="single" w:sz="4" w:space="0" w:color="auto"/>
              <w:left w:val="nil"/>
              <w:bottom w:val="single" w:sz="4" w:space="0" w:color="auto"/>
              <w:right w:val="nil"/>
            </w:tcBorders>
            <w:shd w:val="clear" w:color="auto" w:fill="auto"/>
            <w:noWrap/>
            <w:vAlign w:val="bottom"/>
            <w:hideMark/>
          </w:tcPr>
          <w:p w14:paraId="56AD1F6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4 109</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14:paraId="4A9A8344" w14:textId="2A5FDB5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24AAA12B" w14:textId="4CB4336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101,2 %</w:t>
            </w:r>
          </w:p>
        </w:tc>
      </w:tr>
      <w:tr w:rsidR="008430BD" w:rsidRPr="001C3EC8" w14:paraId="724A46A1"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F65F08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67" w:type="dxa"/>
            <w:tcBorders>
              <w:top w:val="nil"/>
              <w:left w:val="nil"/>
              <w:bottom w:val="single" w:sz="4" w:space="0" w:color="auto"/>
              <w:right w:val="nil"/>
            </w:tcBorders>
            <w:shd w:val="clear" w:color="auto" w:fill="auto"/>
            <w:noWrap/>
            <w:vAlign w:val="bottom"/>
            <w:hideMark/>
          </w:tcPr>
          <w:p w14:paraId="74CA6A4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40 307</w:t>
            </w:r>
          </w:p>
        </w:tc>
        <w:tc>
          <w:tcPr>
            <w:tcW w:w="878" w:type="dxa"/>
            <w:tcBorders>
              <w:top w:val="nil"/>
              <w:left w:val="nil"/>
              <w:bottom w:val="single" w:sz="4" w:space="0" w:color="auto"/>
              <w:right w:val="nil"/>
            </w:tcBorders>
            <w:shd w:val="clear" w:color="auto" w:fill="auto"/>
            <w:noWrap/>
            <w:vAlign w:val="center"/>
            <w:hideMark/>
          </w:tcPr>
          <w:p w14:paraId="145CE956" w14:textId="32F6C3F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1013" w:type="dxa"/>
            <w:tcBorders>
              <w:top w:val="nil"/>
              <w:left w:val="single" w:sz="4" w:space="0" w:color="auto"/>
              <w:bottom w:val="single" w:sz="4" w:space="0" w:color="auto"/>
              <w:right w:val="nil"/>
            </w:tcBorders>
            <w:shd w:val="clear" w:color="auto" w:fill="auto"/>
            <w:noWrap/>
            <w:vAlign w:val="bottom"/>
            <w:hideMark/>
          </w:tcPr>
          <w:p w14:paraId="4B70484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39 983</w:t>
            </w:r>
          </w:p>
        </w:tc>
        <w:tc>
          <w:tcPr>
            <w:tcW w:w="878" w:type="dxa"/>
            <w:tcBorders>
              <w:top w:val="nil"/>
              <w:left w:val="nil"/>
              <w:bottom w:val="single" w:sz="4" w:space="0" w:color="auto"/>
              <w:right w:val="single" w:sz="4" w:space="0" w:color="auto"/>
            </w:tcBorders>
            <w:shd w:val="clear" w:color="auto" w:fill="auto"/>
            <w:noWrap/>
            <w:vAlign w:val="center"/>
            <w:hideMark/>
          </w:tcPr>
          <w:p w14:paraId="2D92BDCA" w14:textId="2D9FB5D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866" w:type="dxa"/>
            <w:tcBorders>
              <w:top w:val="nil"/>
              <w:left w:val="nil"/>
              <w:bottom w:val="single" w:sz="4" w:space="0" w:color="auto"/>
              <w:right w:val="nil"/>
            </w:tcBorders>
            <w:shd w:val="clear" w:color="auto" w:fill="auto"/>
            <w:noWrap/>
            <w:vAlign w:val="bottom"/>
            <w:hideMark/>
          </w:tcPr>
          <w:p w14:paraId="7187C5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1 201</w:t>
            </w:r>
          </w:p>
        </w:tc>
        <w:tc>
          <w:tcPr>
            <w:tcW w:w="878" w:type="dxa"/>
            <w:tcBorders>
              <w:top w:val="nil"/>
              <w:left w:val="nil"/>
              <w:bottom w:val="single" w:sz="4" w:space="0" w:color="auto"/>
              <w:right w:val="single" w:sz="4" w:space="0" w:color="auto"/>
            </w:tcBorders>
            <w:shd w:val="clear" w:color="auto" w:fill="auto"/>
            <w:noWrap/>
            <w:vAlign w:val="center"/>
            <w:hideMark/>
          </w:tcPr>
          <w:p w14:paraId="00C2C843" w14:textId="0516198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B896DE8" w14:textId="3824455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99,2 %</w:t>
            </w:r>
          </w:p>
        </w:tc>
      </w:tr>
      <w:tr w:rsidR="008430BD" w:rsidRPr="001C3EC8" w14:paraId="428DDC63"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68482A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67" w:type="dxa"/>
            <w:tcBorders>
              <w:top w:val="nil"/>
              <w:left w:val="nil"/>
              <w:bottom w:val="single" w:sz="4" w:space="0" w:color="auto"/>
              <w:right w:val="nil"/>
            </w:tcBorders>
            <w:shd w:val="clear" w:color="auto" w:fill="auto"/>
            <w:noWrap/>
            <w:vAlign w:val="bottom"/>
            <w:hideMark/>
          </w:tcPr>
          <w:p w14:paraId="449422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19 584</w:t>
            </w:r>
          </w:p>
        </w:tc>
        <w:tc>
          <w:tcPr>
            <w:tcW w:w="878" w:type="dxa"/>
            <w:tcBorders>
              <w:top w:val="nil"/>
              <w:left w:val="nil"/>
              <w:bottom w:val="single" w:sz="4" w:space="0" w:color="auto"/>
              <w:right w:val="nil"/>
            </w:tcBorders>
            <w:shd w:val="clear" w:color="auto" w:fill="auto"/>
            <w:noWrap/>
            <w:vAlign w:val="center"/>
            <w:hideMark/>
          </w:tcPr>
          <w:p w14:paraId="020D6A32" w14:textId="4310C30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013" w:type="dxa"/>
            <w:tcBorders>
              <w:top w:val="nil"/>
              <w:left w:val="single" w:sz="4" w:space="0" w:color="auto"/>
              <w:bottom w:val="single" w:sz="4" w:space="0" w:color="auto"/>
              <w:right w:val="nil"/>
            </w:tcBorders>
            <w:shd w:val="clear" w:color="auto" w:fill="auto"/>
            <w:noWrap/>
            <w:vAlign w:val="bottom"/>
            <w:hideMark/>
          </w:tcPr>
          <w:p w14:paraId="57AFB03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19 311</w:t>
            </w:r>
          </w:p>
        </w:tc>
        <w:tc>
          <w:tcPr>
            <w:tcW w:w="878" w:type="dxa"/>
            <w:tcBorders>
              <w:top w:val="nil"/>
              <w:left w:val="nil"/>
              <w:bottom w:val="single" w:sz="4" w:space="0" w:color="auto"/>
              <w:right w:val="single" w:sz="4" w:space="0" w:color="auto"/>
            </w:tcBorders>
            <w:shd w:val="clear" w:color="auto" w:fill="auto"/>
            <w:noWrap/>
            <w:vAlign w:val="center"/>
            <w:hideMark/>
          </w:tcPr>
          <w:p w14:paraId="0A073234" w14:textId="230AE99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66" w:type="dxa"/>
            <w:tcBorders>
              <w:top w:val="nil"/>
              <w:left w:val="nil"/>
              <w:bottom w:val="single" w:sz="4" w:space="0" w:color="auto"/>
              <w:right w:val="nil"/>
            </w:tcBorders>
            <w:shd w:val="clear" w:color="auto" w:fill="auto"/>
            <w:noWrap/>
            <w:vAlign w:val="bottom"/>
            <w:hideMark/>
          </w:tcPr>
          <w:p w14:paraId="511DBC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845</w:t>
            </w:r>
          </w:p>
        </w:tc>
        <w:tc>
          <w:tcPr>
            <w:tcW w:w="878" w:type="dxa"/>
            <w:tcBorders>
              <w:top w:val="nil"/>
              <w:left w:val="nil"/>
              <w:bottom w:val="single" w:sz="4" w:space="0" w:color="auto"/>
              <w:right w:val="single" w:sz="4" w:space="0" w:color="auto"/>
            </w:tcBorders>
            <w:shd w:val="clear" w:color="auto" w:fill="auto"/>
            <w:noWrap/>
            <w:vAlign w:val="center"/>
            <w:hideMark/>
          </w:tcPr>
          <w:p w14:paraId="7CDBECC5" w14:textId="3546B75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1C173D0D" w14:textId="6284F56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98,6 %</w:t>
            </w:r>
          </w:p>
        </w:tc>
      </w:tr>
      <w:tr w:rsidR="008430BD" w:rsidRPr="001C3EC8" w14:paraId="2FF05C54"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574C927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67" w:type="dxa"/>
            <w:tcBorders>
              <w:top w:val="nil"/>
              <w:left w:val="nil"/>
              <w:bottom w:val="single" w:sz="4" w:space="0" w:color="auto"/>
              <w:right w:val="nil"/>
            </w:tcBorders>
            <w:shd w:val="clear" w:color="auto" w:fill="auto"/>
            <w:noWrap/>
            <w:vAlign w:val="bottom"/>
            <w:hideMark/>
          </w:tcPr>
          <w:p w14:paraId="2F9AAF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31 612</w:t>
            </w:r>
          </w:p>
        </w:tc>
        <w:tc>
          <w:tcPr>
            <w:tcW w:w="878" w:type="dxa"/>
            <w:tcBorders>
              <w:top w:val="nil"/>
              <w:left w:val="nil"/>
              <w:bottom w:val="single" w:sz="4" w:space="0" w:color="auto"/>
              <w:right w:val="nil"/>
            </w:tcBorders>
            <w:shd w:val="clear" w:color="auto" w:fill="auto"/>
            <w:noWrap/>
            <w:vAlign w:val="center"/>
            <w:hideMark/>
          </w:tcPr>
          <w:p w14:paraId="5C524348" w14:textId="4DB846C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c>
          <w:tcPr>
            <w:tcW w:w="1013" w:type="dxa"/>
            <w:tcBorders>
              <w:top w:val="nil"/>
              <w:left w:val="single" w:sz="4" w:space="0" w:color="auto"/>
              <w:bottom w:val="single" w:sz="4" w:space="0" w:color="auto"/>
              <w:right w:val="nil"/>
            </w:tcBorders>
            <w:shd w:val="clear" w:color="auto" w:fill="auto"/>
            <w:noWrap/>
            <w:vAlign w:val="bottom"/>
            <w:hideMark/>
          </w:tcPr>
          <w:p w14:paraId="5AEC0D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31 600</w:t>
            </w:r>
          </w:p>
        </w:tc>
        <w:tc>
          <w:tcPr>
            <w:tcW w:w="878" w:type="dxa"/>
            <w:tcBorders>
              <w:top w:val="nil"/>
              <w:left w:val="nil"/>
              <w:bottom w:val="single" w:sz="4" w:space="0" w:color="auto"/>
              <w:right w:val="single" w:sz="4" w:space="0" w:color="auto"/>
            </w:tcBorders>
            <w:shd w:val="clear" w:color="auto" w:fill="auto"/>
            <w:noWrap/>
            <w:vAlign w:val="center"/>
            <w:hideMark/>
          </w:tcPr>
          <w:p w14:paraId="2CC63AC1" w14:textId="38A6006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c>
          <w:tcPr>
            <w:tcW w:w="866" w:type="dxa"/>
            <w:tcBorders>
              <w:top w:val="nil"/>
              <w:left w:val="nil"/>
              <w:bottom w:val="single" w:sz="4" w:space="0" w:color="auto"/>
              <w:right w:val="nil"/>
            </w:tcBorders>
            <w:shd w:val="clear" w:color="auto" w:fill="auto"/>
            <w:noWrap/>
            <w:vAlign w:val="bottom"/>
            <w:hideMark/>
          </w:tcPr>
          <w:p w14:paraId="4BC8CF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1 096</w:t>
            </w:r>
          </w:p>
        </w:tc>
        <w:tc>
          <w:tcPr>
            <w:tcW w:w="878" w:type="dxa"/>
            <w:tcBorders>
              <w:top w:val="nil"/>
              <w:left w:val="nil"/>
              <w:bottom w:val="single" w:sz="4" w:space="0" w:color="auto"/>
              <w:right w:val="single" w:sz="4" w:space="0" w:color="auto"/>
            </w:tcBorders>
            <w:shd w:val="clear" w:color="auto" w:fill="auto"/>
            <w:noWrap/>
            <w:vAlign w:val="center"/>
            <w:hideMark/>
          </w:tcPr>
          <w:p w14:paraId="71C9CC0E" w14:textId="25686F4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5A617EA" w14:textId="21C7E96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100,0 %</w:t>
            </w:r>
          </w:p>
        </w:tc>
      </w:tr>
      <w:tr w:rsidR="008430BD" w:rsidRPr="001C3EC8" w14:paraId="798FE641"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3312C0B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67" w:type="dxa"/>
            <w:tcBorders>
              <w:top w:val="nil"/>
              <w:left w:val="nil"/>
              <w:bottom w:val="single" w:sz="4" w:space="0" w:color="auto"/>
              <w:right w:val="nil"/>
            </w:tcBorders>
            <w:shd w:val="clear" w:color="auto" w:fill="auto"/>
            <w:noWrap/>
            <w:vAlign w:val="bottom"/>
            <w:hideMark/>
          </w:tcPr>
          <w:p w14:paraId="7177B0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60 233</w:t>
            </w:r>
          </w:p>
        </w:tc>
        <w:tc>
          <w:tcPr>
            <w:tcW w:w="878" w:type="dxa"/>
            <w:tcBorders>
              <w:top w:val="nil"/>
              <w:left w:val="nil"/>
              <w:bottom w:val="single" w:sz="4" w:space="0" w:color="auto"/>
              <w:right w:val="nil"/>
            </w:tcBorders>
            <w:shd w:val="clear" w:color="auto" w:fill="auto"/>
            <w:noWrap/>
            <w:vAlign w:val="center"/>
            <w:hideMark/>
          </w:tcPr>
          <w:p w14:paraId="17B91DAC" w14:textId="5AFFA2F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+26 </w:t>
            </w:r>
            <w:r w:rsidR="00B07E76">
              <w:rPr>
                <w:rFonts w:eastAsia="Times New Roman"/>
                <w:color w:val="000000" w:themeColor="text1"/>
                <w:sz w:val="20"/>
                <w:szCs w:val="20"/>
                <w:lang w:eastAsia="cs-CZ"/>
              </w:rPr>
              <w:t>%</w:t>
            </w:r>
          </w:p>
        </w:tc>
        <w:tc>
          <w:tcPr>
            <w:tcW w:w="1013" w:type="dxa"/>
            <w:tcBorders>
              <w:top w:val="nil"/>
              <w:left w:val="single" w:sz="4" w:space="0" w:color="auto"/>
              <w:bottom w:val="single" w:sz="4" w:space="0" w:color="auto"/>
              <w:right w:val="nil"/>
            </w:tcBorders>
            <w:shd w:val="clear" w:color="auto" w:fill="auto"/>
            <w:noWrap/>
            <w:vAlign w:val="bottom"/>
            <w:hideMark/>
          </w:tcPr>
          <w:p w14:paraId="33B406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58 716</w:t>
            </w:r>
          </w:p>
        </w:tc>
        <w:tc>
          <w:tcPr>
            <w:tcW w:w="878" w:type="dxa"/>
            <w:tcBorders>
              <w:top w:val="nil"/>
              <w:left w:val="nil"/>
              <w:bottom w:val="single" w:sz="4" w:space="0" w:color="auto"/>
              <w:right w:val="single" w:sz="4" w:space="0" w:color="auto"/>
            </w:tcBorders>
            <w:shd w:val="clear" w:color="auto" w:fill="auto"/>
            <w:noWrap/>
            <w:vAlign w:val="center"/>
            <w:hideMark/>
          </w:tcPr>
          <w:p w14:paraId="1C6C62D5" w14:textId="191A818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866" w:type="dxa"/>
            <w:tcBorders>
              <w:top w:val="nil"/>
              <w:left w:val="nil"/>
              <w:bottom w:val="single" w:sz="4" w:space="0" w:color="auto"/>
              <w:right w:val="nil"/>
            </w:tcBorders>
            <w:shd w:val="clear" w:color="auto" w:fill="auto"/>
            <w:noWrap/>
            <w:vAlign w:val="bottom"/>
            <w:hideMark/>
          </w:tcPr>
          <w:p w14:paraId="051858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5 028</w:t>
            </w:r>
          </w:p>
        </w:tc>
        <w:tc>
          <w:tcPr>
            <w:tcW w:w="878" w:type="dxa"/>
            <w:tcBorders>
              <w:top w:val="nil"/>
              <w:left w:val="nil"/>
              <w:bottom w:val="single" w:sz="4" w:space="0" w:color="auto"/>
              <w:right w:val="single" w:sz="4" w:space="0" w:color="auto"/>
            </w:tcBorders>
            <w:shd w:val="clear" w:color="auto" w:fill="auto"/>
            <w:noWrap/>
            <w:vAlign w:val="center"/>
            <w:hideMark/>
          </w:tcPr>
          <w:p w14:paraId="12128424" w14:textId="3808452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+43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B64153E" w14:textId="0D5204F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97,5 %</w:t>
            </w:r>
          </w:p>
        </w:tc>
      </w:tr>
      <w:tr w:rsidR="008430BD" w:rsidRPr="001C3EC8" w14:paraId="043B7234"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08139D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67" w:type="dxa"/>
            <w:tcBorders>
              <w:top w:val="nil"/>
              <w:left w:val="nil"/>
              <w:bottom w:val="single" w:sz="4" w:space="0" w:color="auto"/>
              <w:right w:val="nil"/>
            </w:tcBorders>
            <w:shd w:val="clear" w:color="auto" w:fill="auto"/>
            <w:noWrap/>
            <w:vAlign w:val="bottom"/>
            <w:hideMark/>
          </w:tcPr>
          <w:p w14:paraId="189481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31 247</w:t>
            </w:r>
          </w:p>
        </w:tc>
        <w:tc>
          <w:tcPr>
            <w:tcW w:w="878" w:type="dxa"/>
            <w:tcBorders>
              <w:top w:val="nil"/>
              <w:left w:val="nil"/>
              <w:bottom w:val="single" w:sz="4" w:space="0" w:color="auto"/>
              <w:right w:val="nil"/>
            </w:tcBorders>
            <w:shd w:val="clear" w:color="auto" w:fill="auto"/>
            <w:noWrap/>
            <w:vAlign w:val="center"/>
            <w:hideMark/>
          </w:tcPr>
          <w:p w14:paraId="1440FB16" w14:textId="7566D51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13" w:type="dxa"/>
            <w:tcBorders>
              <w:top w:val="nil"/>
              <w:left w:val="single" w:sz="4" w:space="0" w:color="auto"/>
              <w:bottom w:val="single" w:sz="4" w:space="0" w:color="auto"/>
              <w:right w:val="nil"/>
            </w:tcBorders>
            <w:shd w:val="clear" w:color="auto" w:fill="auto"/>
            <w:noWrap/>
            <w:vAlign w:val="bottom"/>
            <w:hideMark/>
          </w:tcPr>
          <w:p w14:paraId="1BED37E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31 331</w:t>
            </w:r>
          </w:p>
        </w:tc>
        <w:tc>
          <w:tcPr>
            <w:tcW w:w="878" w:type="dxa"/>
            <w:tcBorders>
              <w:top w:val="nil"/>
              <w:left w:val="nil"/>
              <w:bottom w:val="single" w:sz="4" w:space="0" w:color="auto"/>
              <w:right w:val="single" w:sz="4" w:space="0" w:color="auto"/>
            </w:tcBorders>
            <w:shd w:val="clear" w:color="auto" w:fill="auto"/>
            <w:noWrap/>
            <w:vAlign w:val="center"/>
            <w:hideMark/>
          </w:tcPr>
          <w:p w14:paraId="7686B2F8" w14:textId="53E92BC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66" w:type="dxa"/>
            <w:tcBorders>
              <w:top w:val="nil"/>
              <w:left w:val="nil"/>
              <w:bottom w:val="single" w:sz="4" w:space="0" w:color="auto"/>
              <w:right w:val="nil"/>
            </w:tcBorders>
            <w:shd w:val="clear" w:color="auto" w:fill="auto"/>
            <w:noWrap/>
            <w:vAlign w:val="bottom"/>
            <w:hideMark/>
          </w:tcPr>
          <w:p w14:paraId="288CBF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1 008</w:t>
            </w:r>
          </w:p>
        </w:tc>
        <w:tc>
          <w:tcPr>
            <w:tcW w:w="878" w:type="dxa"/>
            <w:tcBorders>
              <w:top w:val="nil"/>
              <w:left w:val="nil"/>
              <w:bottom w:val="single" w:sz="4" w:space="0" w:color="auto"/>
              <w:right w:val="single" w:sz="4" w:space="0" w:color="auto"/>
            </w:tcBorders>
            <w:shd w:val="clear" w:color="auto" w:fill="auto"/>
            <w:noWrap/>
            <w:vAlign w:val="center"/>
            <w:hideMark/>
          </w:tcPr>
          <w:p w14:paraId="3A945D91" w14:textId="7B7C0A4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8D66707" w14:textId="1E9524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100,3 %</w:t>
            </w:r>
          </w:p>
        </w:tc>
      </w:tr>
      <w:tr w:rsidR="008430BD" w:rsidRPr="001C3EC8" w14:paraId="2741D9EA"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798F5A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67" w:type="dxa"/>
            <w:tcBorders>
              <w:top w:val="nil"/>
              <w:left w:val="nil"/>
              <w:bottom w:val="single" w:sz="4" w:space="0" w:color="auto"/>
              <w:right w:val="nil"/>
            </w:tcBorders>
            <w:shd w:val="clear" w:color="auto" w:fill="auto"/>
            <w:noWrap/>
            <w:vAlign w:val="bottom"/>
            <w:hideMark/>
          </w:tcPr>
          <w:p w14:paraId="4213F8E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45 682</w:t>
            </w:r>
          </w:p>
        </w:tc>
        <w:tc>
          <w:tcPr>
            <w:tcW w:w="878" w:type="dxa"/>
            <w:tcBorders>
              <w:top w:val="nil"/>
              <w:left w:val="nil"/>
              <w:bottom w:val="single" w:sz="4" w:space="0" w:color="auto"/>
              <w:right w:val="nil"/>
            </w:tcBorders>
            <w:shd w:val="clear" w:color="auto" w:fill="auto"/>
            <w:noWrap/>
            <w:vAlign w:val="center"/>
            <w:hideMark/>
          </w:tcPr>
          <w:p w14:paraId="13419B67" w14:textId="5EDE5E5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1013" w:type="dxa"/>
            <w:tcBorders>
              <w:top w:val="nil"/>
              <w:left w:val="single" w:sz="4" w:space="0" w:color="auto"/>
              <w:bottom w:val="single" w:sz="4" w:space="0" w:color="auto"/>
              <w:right w:val="nil"/>
            </w:tcBorders>
            <w:shd w:val="clear" w:color="auto" w:fill="auto"/>
            <w:noWrap/>
            <w:vAlign w:val="bottom"/>
            <w:hideMark/>
          </w:tcPr>
          <w:p w14:paraId="56F389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46 118</w:t>
            </w:r>
          </w:p>
        </w:tc>
        <w:tc>
          <w:tcPr>
            <w:tcW w:w="878" w:type="dxa"/>
            <w:tcBorders>
              <w:top w:val="nil"/>
              <w:left w:val="nil"/>
              <w:bottom w:val="single" w:sz="4" w:space="0" w:color="auto"/>
              <w:right w:val="single" w:sz="4" w:space="0" w:color="auto"/>
            </w:tcBorders>
            <w:shd w:val="clear" w:color="auto" w:fill="auto"/>
            <w:noWrap/>
            <w:vAlign w:val="center"/>
            <w:hideMark/>
          </w:tcPr>
          <w:p w14:paraId="57E327A4" w14:textId="1C4AFA7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66" w:type="dxa"/>
            <w:tcBorders>
              <w:top w:val="nil"/>
              <w:left w:val="nil"/>
              <w:bottom w:val="single" w:sz="4" w:space="0" w:color="auto"/>
              <w:right w:val="nil"/>
            </w:tcBorders>
            <w:shd w:val="clear" w:color="auto" w:fill="auto"/>
            <w:noWrap/>
            <w:vAlign w:val="bottom"/>
            <w:hideMark/>
          </w:tcPr>
          <w:p w14:paraId="4074AE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4 892</w:t>
            </w:r>
          </w:p>
        </w:tc>
        <w:tc>
          <w:tcPr>
            <w:tcW w:w="878" w:type="dxa"/>
            <w:tcBorders>
              <w:top w:val="nil"/>
              <w:left w:val="nil"/>
              <w:bottom w:val="single" w:sz="4" w:space="0" w:color="auto"/>
              <w:right w:val="single" w:sz="4" w:space="0" w:color="auto"/>
            </w:tcBorders>
            <w:shd w:val="clear" w:color="auto" w:fill="auto"/>
            <w:noWrap/>
            <w:vAlign w:val="center"/>
            <w:hideMark/>
          </w:tcPr>
          <w:p w14:paraId="575DCC22" w14:textId="32CC2AC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46D116A" w14:textId="5AA4AD9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101,0 %</w:t>
            </w:r>
          </w:p>
        </w:tc>
      </w:tr>
      <w:tr w:rsidR="008430BD" w:rsidRPr="001C3EC8" w14:paraId="12FBF062"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2451A7A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67" w:type="dxa"/>
            <w:tcBorders>
              <w:top w:val="nil"/>
              <w:left w:val="nil"/>
              <w:bottom w:val="double" w:sz="6" w:space="0" w:color="auto"/>
              <w:right w:val="nil"/>
            </w:tcBorders>
            <w:shd w:val="clear" w:color="auto" w:fill="auto"/>
            <w:noWrap/>
            <w:vAlign w:val="bottom"/>
            <w:hideMark/>
          </w:tcPr>
          <w:p w14:paraId="6B9943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59 400</w:t>
            </w:r>
          </w:p>
        </w:tc>
        <w:tc>
          <w:tcPr>
            <w:tcW w:w="878" w:type="dxa"/>
            <w:tcBorders>
              <w:top w:val="nil"/>
              <w:left w:val="nil"/>
              <w:bottom w:val="double" w:sz="6" w:space="0" w:color="auto"/>
              <w:right w:val="nil"/>
            </w:tcBorders>
            <w:shd w:val="clear" w:color="auto" w:fill="auto"/>
            <w:noWrap/>
            <w:vAlign w:val="center"/>
            <w:hideMark/>
          </w:tcPr>
          <w:p w14:paraId="71B6C891" w14:textId="3AFD558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1013" w:type="dxa"/>
            <w:tcBorders>
              <w:top w:val="nil"/>
              <w:left w:val="single" w:sz="4" w:space="0" w:color="auto"/>
              <w:bottom w:val="double" w:sz="6" w:space="0" w:color="auto"/>
              <w:right w:val="nil"/>
            </w:tcBorders>
            <w:shd w:val="clear" w:color="auto" w:fill="auto"/>
            <w:noWrap/>
            <w:vAlign w:val="bottom"/>
            <w:hideMark/>
          </w:tcPr>
          <w:p w14:paraId="0C39518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58 288</w:t>
            </w:r>
          </w:p>
        </w:tc>
        <w:tc>
          <w:tcPr>
            <w:tcW w:w="878" w:type="dxa"/>
            <w:tcBorders>
              <w:top w:val="nil"/>
              <w:left w:val="nil"/>
              <w:bottom w:val="double" w:sz="6" w:space="0" w:color="auto"/>
              <w:right w:val="single" w:sz="4" w:space="0" w:color="auto"/>
            </w:tcBorders>
            <w:shd w:val="clear" w:color="auto" w:fill="auto"/>
            <w:noWrap/>
            <w:vAlign w:val="center"/>
            <w:hideMark/>
          </w:tcPr>
          <w:p w14:paraId="0DF8417E" w14:textId="060C5C3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866" w:type="dxa"/>
            <w:tcBorders>
              <w:top w:val="nil"/>
              <w:left w:val="nil"/>
              <w:bottom w:val="double" w:sz="6" w:space="0" w:color="auto"/>
              <w:right w:val="nil"/>
            </w:tcBorders>
            <w:shd w:val="clear" w:color="auto" w:fill="auto"/>
            <w:noWrap/>
            <w:vAlign w:val="bottom"/>
            <w:hideMark/>
          </w:tcPr>
          <w:p w14:paraId="07F535C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3 634</w:t>
            </w:r>
          </w:p>
        </w:tc>
        <w:tc>
          <w:tcPr>
            <w:tcW w:w="878" w:type="dxa"/>
            <w:tcBorders>
              <w:top w:val="nil"/>
              <w:left w:val="nil"/>
              <w:bottom w:val="double" w:sz="6" w:space="0" w:color="auto"/>
              <w:right w:val="single" w:sz="4" w:space="0" w:color="auto"/>
            </w:tcBorders>
            <w:shd w:val="clear" w:color="auto" w:fill="auto"/>
            <w:noWrap/>
            <w:vAlign w:val="center"/>
            <w:hideMark/>
          </w:tcPr>
          <w:p w14:paraId="651CACD7" w14:textId="3567A153"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+44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181FB1FD" w14:textId="7AA3605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98,1 %</w:t>
            </w:r>
          </w:p>
        </w:tc>
      </w:tr>
      <w:tr w:rsidR="008430BD" w:rsidRPr="001C3EC8" w14:paraId="25EDED59"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66419F4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67" w:type="dxa"/>
            <w:tcBorders>
              <w:top w:val="nil"/>
              <w:left w:val="nil"/>
              <w:bottom w:val="double" w:sz="6" w:space="0" w:color="auto"/>
              <w:right w:val="nil"/>
            </w:tcBorders>
            <w:shd w:val="clear" w:color="auto" w:fill="auto"/>
            <w:noWrap/>
            <w:vAlign w:val="bottom"/>
            <w:hideMark/>
          </w:tcPr>
          <w:p w14:paraId="7E88C2D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353 861</w:t>
            </w:r>
          </w:p>
        </w:tc>
        <w:tc>
          <w:tcPr>
            <w:tcW w:w="878" w:type="dxa"/>
            <w:tcBorders>
              <w:top w:val="nil"/>
              <w:left w:val="nil"/>
              <w:bottom w:val="double" w:sz="6" w:space="0" w:color="auto"/>
              <w:right w:val="nil"/>
            </w:tcBorders>
            <w:shd w:val="clear" w:color="auto" w:fill="auto"/>
            <w:noWrap/>
            <w:vAlign w:val="center"/>
            <w:hideMark/>
          </w:tcPr>
          <w:p w14:paraId="5FA837C1" w14:textId="42EBB606"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+17 </w:t>
            </w:r>
            <w:r w:rsidR="00B07E76">
              <w:rPr>
                <w:rFonts w:eastAsia="Times New Roman"/>
                <w:b/>
                <w:bCs/>
                <w:color w:val="000000" w:themeColor="text1"/>
                <w:sz w:val="20"/>
                <w:szCs w:val="20"/>
                <w:lang w:eastAsia="cs-CZ"/>
              </w:rPr>
              <w:t>%</w:t>
            </w:r>
          </w:p>
        </w:tc>
        <w:tc>
          <w:tcPr>
            <w:tcW w:w="1013" w:type="dxa"/>
            <w:tcBorders>
              <w:top w:val="nil"/>
              <w:left w:val="single" w:sz="4" w:space="0" w:color="auto"/>
              <w:bottom w:val="double" w:sz="6" w:space="0" w:color="auto"/>
              <w:right w:val="nil"/>
            </w:tcBorders>
            <w:shd w:val="clear" w:color="auto" w:fill="auto"/>
            <w:noWrap/>
            <w:vAlign w:val="bottom"/>
            <w:hideMark/>
          </w:tcPr>
          <w:p w14:paraId="536FCC0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351 911</w:t>
            </w:r>
          </w:p>
        </w:tc>
        <w:tc>
          <w:tcPr>
            <w:tcW w:w="878" w:type="dxa"/>
            <w:tcBorders>
              <w:top w:val="nil"/>
              <w:left w:val="nil"/>
              <w:bottom w:val="double" w:sz="6" w:space="0" w:color="auto"/>
              <w:right w:val="single" w:sz="4" w:space="0" w:color="auto"/>
            </w:tcBorders>
            <w:shd w:val="clear" w:color="auto" w:fill="auto"/>
            <w:noWrap/>
            <w:vAlign w:val="center"/>
            <w:hideMark/>
          </w:tcPr>
          <w:p w14:paraId="02F38F2D" w14:textId="5432D508"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+16 </w:t>
            </w:r>
            <w:r w:rsidR="00B07E76">
              <w:rPr>
                <w:rFonts w:eastAsia="Times New Roman"/>
                <w:b/>
                <w:bCs/>
                <w:color w:val="000000" w:themeColor="text1"/>
                <w:sz w:val="20"/>
                <w:szCs w:val="20"/>
                <w:lang w:eastAsia="cs-CZ"/>
              </w:rPr>
              <w:t>%</w:t>
            </w:r>
          </w:p>
        </w:tc>
        <w:tc>
          <w:tcPr>
            <w:tcW w:w="866" w:type="dxa"/>
            <w:tcBorders>
              <w:top w:val="nil"/>
              <w:left w:val="nil"/>
              <w:bottom w:val="double" w:sz="6" w:space="0" w:color="auto"/>
              <w:right w:val="nil"/>
            </w:tcBorders>
            <w:shd w:val="clear" w:color="auto" w:fill="auto"/>
            <w:noWrap/>
            <w:vAlign w:val="bottom"/>
            <w:hideMark/>
          </w:tcPr>
          <w:p w14:paraId="54C8684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21 813</w:t>
            </w:r>
          </w:p>
        </w:tc>
        <w:tc>
          <w:tcPr>
            <w:tcW w:w="878" w:type="dxa"/>
            <w:tcBorders>
              <w:top w:val="nil"/>
              <w:left w:val="nil"/>
              <w:bottom w:val="double" w:sz="6" w:space="0" w:color="auto"/>
              <w:right w:val="single" w:sz="4" w:space="0" w:color="auto"/>
            </w:tcBorders>
            <w:shd w:val="clear" w:color="auto" w:fill="auto"/>
            <w:noWrap/>
            <w:vAlign w:val="center"/>
            <w:hideMark/>
          </w:tcPr>
          <w:p w14:paraId="2754FE61" w14:textId="12E86D8E"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+10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02AF9B85" w14:textId="68B3496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99,4 %</w:t>
            </w:r>
          </w:p>
        </w:tc>
      </w:tr>
    </w:tbl>
    <w:p w14:paraId="33B7335F" w14:textId="77777777" w:rsidR="008430BD" w:rsidRPr="001C3EC8" w:rsidRDefault="008430BD" w:rsidP="008430BD">
      <w:pPr>
        <w:rPr>
          <w:color w:val="000000" w:themeColor="text1"/>
          <w:highlight w:val="yellow"/>
        </w:rPr>
      </w:pPr>
    </w:p>
    <w:p w14:paraId="163A8B4C" w14:textId="65862D63" w:rsidR="008430BD" w:rsidRPr="001C3EC8" w:rsidRDefault="008430BD" w:rsidP="008430BD">
      <w:pPr>
        <w:rPr>
          <w:color w:val="000000" w:themeColor="text1"/>
        </w:rPr>
      </w:pPr>
      <w:r w:rsidRPr="001C3EC8">
        <w:rPr>
          <w:color w:val="000000" w:themeColor="text1"/>
        </w:rPr>
        <w:t xml:space="preserve">Pro zajímavost se stejně jako </w:t>
      </w:r>
      <w:r w:rsidR="006579E3" w:rsidRPr="001C3EC8">
        <w:rPr>
          <w:color w:val="000000" w:themeColor="text1"/>
        </w:rPr>
        <w:t>u</w:t>
      </w:r>
      <w:r w:rsidR="006579E3">
        <w:rPr>
          <w:color w:val="000000" w:themeColor="text1"/>
        </w:rPr>
        <w:t> </w:t>
      </w:r>
      <w:r w:rsidRPr="001C3EC8">
        <w:rPr>
          <w:color w:val="000000" w:themeColor="text1"/>
        </w:rPr>
        <w:t xml:space="preserve">agendy C podíváme na nápad po měsících </w:t>
      </w:r>
      <w:r w:rsidR="006579E3" w:rsidRPr="001C3EC8">
        <w:rPr>
          <w:color w:val="000000" w:themeColor="text1"/>
        </w:rPr>
        <w:t>a</w:t>
      </w:r>
      <w:r w:rsidR="006579E3">
        <w:rPr>
          <w:color w:val="000000" w:themeColor="text1"/>
        </w:rPr>
        <w:t> </w:t>
      </w:r>
      <w:r w:rsidRPr="001C3EC8">
        <w:rPr>
          <w:color w:val="000000" w:themeColor="text1"/>
        </w:rPr>
        <w:t>porovnáme ho s předchozími roky. Srovnání je v tabulce níže.</w:t>
      </w:r>
    </w:p>
    <w:p w14:paraId="5EFE9688" w14:textId="247FE3F4" w:rsidR="008430BD" w:rsidRPr="001C3EC8" w:rsidRDefault="008430BD" w:rsidP="008430BD">
      <w:pPr>
        <w:pStyle w:val="Podnadpis"/>
        <w:rPr>
          <w:color w:val="000000" w:themeColor="text1"/>
        </w:rPr>
      </w:pPr>
      <w:bookmarkStart w:id="182" w:name="_Toc75952200"/>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20</w:t>
      </w:r>
      <w:r w:rsidRPr="001C3EC8">
        <w:rPr>
          <w:color w:val="000000" w:themeColor="text1"/>
        </w:rPr>
        <w:fldChar w:fldCharType="end"/>
      </w:r>
      <w:r w:rsidRPr="001C3EC8">
        <w:rPr>
          <w:color w:val="000000" w:themeColor="text1"/>
        </w:rPr>
        <w:t>: OS – měsíční nápad věcí v rejstříku EPR</w:t>
      </w:r>
      <w:bookmarkEnd w:id="182"/>
    </w:p>
    <w:p w14:paraId="67E1DAE3"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2A9B2D91" wp14:editId="1E2FD6F7">
            <wp:extent cx="5115560" cy="3743960"/>
            <wp:effectExtent l="0" t="0" r="0"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5E971D7D" w14:textId="77777777" w:rsidR="008430BD" w:rsidRPr="001C3EC8" w:rsidRDefault="008430BD" w:rsidP="008430BD">
      <w:pPr>
        <w:rPr>
          <w:color w:val="000000" w:themeColor="text1"/>
          <w:highlight w:val="yellow"/>
        </w:rPr>
      </w:pPr>
    </w:p>
    <w:p w14:paraId="66533B3F" w14:textId="35C6D090" w:rsidR="008430BD" w:rsidRPr="001C3EC8" w:rsidRDefault="008430BD" w:rsidP="008430BD">
      <w:pPr>
        <w:rPr>
          <w:color w:val="000000" w:themeColor="text1"/>
        </w:rPr>
      </w:pPr>
      <w:r w:rsidRPr="001C3EC8">
        <w:rPr>
          <w:color w:val="000000" w:themeColor="text1"/>
        </w:rPr>
        <w:t>V datech je těžké najít nějaký vzorec. Zdá se, že během prvního nouzového stavu opět došlo k určitému poklesu. V druhé polovině roku ale nastal velký nárůst</w:t>
      </w:r>
      <w:r w:rsidR="00DC7EA7" w:rsidRPr="001C3EC8">
        <w:rPr>
          <w:color w:val="000000" w:themeColor="text1"/>
        </w:rPr>
        <w:t xml:space="preserve">. Možným vysvětlením je, že se </w:t>
      </w:r>
      <w:r w:rsidRPr="001C3EC8">
        <w:rPr>
          <w:color w:val="000000" w:themeColor="text1"/>
        </w:rPr>
        <w:t>agenda nashromáždi</w:t>
      </w:r>
      <w:r w:rsidR="00DC7EA7" w:rsidRPr="001C3EC8">
        <w:rPr>
          <w:color w:val="000000" w:themeColor="text1"/>
        </w:rPr>
        <w:t>la</w:t>
      </w:r>
      <w:r w:rsidR="00CA7D8F" w:rsidRPr="001C3EC8">
        <w:rPr>
          <w:color w:val="000000" w:themeColor="text1"/>
        </w:rPr>
        <w:t xml:space="preserve">; </w:t>
      </w:r>
      <w:r w:rsidR="00592B64" w:rsidRPr="001C3EC8">
        <w:rPr>
          <w:color w:val="000000" w:themeColor="text1"/>
        </w:rPr>
        <w:t>velké společnosti s nejčastějšími spory (</w:t>
      </w:r>
      <w:r w:rsidR="00895695" w:rsidRPr="001C3EC8">
        <w:rPr>
          <w:color w:val="000000" w:themeColor="text1"/>
        </w:rPr>
        <w:t xml:space="preserve">jízda na </w:t>
      </w:r>
      <w:proofErr w:type="spellStart"/>
      <w:r w:rsidR="00895695" w:rsidRPr="001C3EC8">
        <w:rPr>
          <w:color w:val="000000" w:themeColor="text1"/>
        </w:rPr>
        <w:t>čeno</w:t>
      </w:r>
      <w:proofErr w:type="spellEnd"/>
      <w:r w:rsidR="00592B64" w:rsidRPr="001C3EC8">
        <w:rPr>
          <w:color w:val="000000" w:themeColor="text1"/>
        </w:rPr>
        <w:t>, pojistné, účty za energie) si chtěl</w:t>
      </w:r>
      <w:r w:rsidR="00773989" w:rsidRPr="001C3EC8">
        <w:rPr>
          <w:color w:val="000000" w:themeColor="text1"/>
        </w:rPr>
        <w:t>y</w:t>
      </w:r>
      <w:r w:rsidR="00592B64" w:rsidRPr="001C3EC8">
        <w:rPr>
          <w:color w:val="000000" w:themeColor="text1"/>
        </w:rPr>
        <w:t xml:space="preserve"> zajistit své nezaplacené pohledávky exekučním titulem.</w:t>
      </w:r>
      <w:r w:rsidRPr="001C3EC8">
        <w:rPr>
          <w:color w:val="000000" w:themeColor="text1"/>
        </w:rPr>
        <w:t xml:space="preserve"> Obecně lze říct, že v rejstříku EPR je nápad mezi měsíci poměrně nevyrovnaný, </w:t>
      </w:r>
      <w:r w:rsidR="006579E3" w:rsidRPr="001C3EC8">
        <w:rPr>
          <w:color w:val="000000" w:themeColor="text1"/>
        </w:rPr>
        <w:t>a</w:t>
      </w:r>
      <w:r w:rsidR="006579E3">
        <w:rPr>
          <w:color w:val="000000" w:themeColor="text1"/>
        </w:rPr>
        <w:t> </w:t>
      </w:r>
      <w:r w:rsidRPr="001C3EC8">
        <w:rPr>
          <w:color w:val="000000" w:themeColor="text1"/>
        </w:rPr>
        <w:t xml:space="preserve">to jak během pandemie </w:t>
      </w:r>
      <w:r w:rsidR="000C3B1E">
        <w:rPr>
          <w:color w:val="000000" w:themeColor="text1"/>
        </w:rPr>
        <w:t>COVID</w:t>
      </w:r>
      <w:r w:rsidR="000C3B1E">
        <w:rPr>
          <w:color w:val="000000" w:themeColor="text1"/>
        </w:rPr>
        <w:noBreakHyphen/>
        <w:t>19</w:t>
      </w:r>
      <w:r w:rsidRPr="001C3EC8">
        <w:rPr>
          <w:color w:val="000000" w:themeColor="text1"/>
        </w:rPr>
        <w:t xml:space="preserve">, tak </w:t>
      </w:r>
      <w:r w:rsidR="00DC7EA7" w:rsidRPr="001C3EC8">
        <w:rPr>
          <w:color w:val="000000" w:themeColor="text1"/>
        </w:rPr>
        <w:t>mimo</w:t>
      </w:r>
      <w:r w:rsidRPr="001C3EC8">
        <w:rPr>
          <w:color w:val="000000" w:themeColor="text1"/>
        </w:rPr>
        <w:t xml:space="preserve"> n</w:t>
      </w:r>
      <w:r w:rsidR="00DC7EA7" w:rsidRPr="001C3EC8">
        <w:rPr>
          <w:color w:val="000000" w:themeColor="text1"/>
        </w:rPr>
        <w:t>i</w:t>
      </w:r>
      <w:r w:rsidRPr="001C3EC8">
        <w:rPr>
          <w:color w:val="000000" w:themeColor="text1"/>
        </w:rPr>
        <w:t xml:space="preserve">. Stejně jako v agendě C </w:t>
      </w:r>
      <w:r w:rsidR="00DC7EA7" w:rsidRPr="001C3EC8">
        <w:rPr>
          <w:color w:val="000000" w:themeColor="text1"/>
        </w:rPr>
        <w:t>konstatujeme</w:t>
      </w:r>
      <w:r w:rsidRPr="001C3EC8">
        <w:rPr>
          <w:color w:val="000000" w:themeColor="text1"/>
        </w:rPr>
        <w:t xml:space="preserve"> pokles nápadu v prosinci.</w:t>
      </w:r>
    </w:p>
    <w:p w14:paraId="2214BCE0" w14:textId="77777777" w:rsidR="008430BD" w:rsidRPr="001C3EC8" w:rsidRDefault="008430BD" w:rsidP="008430BD">
      <w:pPr>
        <w:rPr>
          <w:color w:val="000000" w:themeColor="text1"/>
          <w:highlight w:val="yellow"/>
        </w:rPr>
      </w:pPr>
    </w:p>
    <w:p w14:paraId="109EA0D0" w14:textId="77777777" w:rsidR="008430BD" w:rsidRPr="001C3EC8" w:rsidRDefault="008430BD" w:rsidP="008430BD">
      <w:pPr>
        <w:pStyle w:val="Nadpis3"/>
        <w:numPr>
          <w:ilvl w:val="2"/>
          <w:numId w:val="1"/>
        </w:numPr>
        <w:rPr>
          <w:color w:val="000000" w:themeColor="text1"/>
        </w:rPr>
      </w:pPr>
      <w:bookmarkStart w:id="183" w:name="_Toc515871229"/>
      <w:bookmarkStart w:id="184" w:name="_Toc75952065"/>
      <w:r w:rsidRPr="001C3EC8">
        <w:rPr>
          <w:color w:val="000000" w:themeColor="text1"/>
        </w:rPr>
        <w:lastRenderedPageBreak/>
        <w:t>Další statistiky</w:t>
      </w:r>
      <w:bookmarkEnd w:id="183"/>
      <w:bookmarkEnd w:id="184"/>
    </w:p>
    <w:p w14:paraId="308C1152" w14:textId="77777777" w:rsidR="008430BD" w:rsidRPr="001C3EC8" w:rsidRDefault="008430BD" w:rsidP="008430BD">
      <w:pPr>
        <w:pStyle w:val="OdstavecASR"/>
        <w:rPr>
          <w:color w:val="000000" w:themeColor="text1"/>
        </w:rPr>
      </w:pPr>
      <w:r w:rsidRPr="001C3EC8">
        <w:rPr>
          <w:color w:val="000000" w:themeColor="text1"/>
        </w:rPr>
        <w:t>Velkou část civilních věcí tvoří spory o úhradu dlužné částky (za pojistné, energie, za jízdu na černo, splátky úvěrů) a většina těchto sporů byla převedena z rejstříku EPR. V této kapitole zodpovíme otázku, kolik věcí je vlastně z rejstříku EPR převedeno do rejstříku C, tedy, jak často nestačí, aby soud věc jednoduše vyřídil elektronickým platebním rozkazem, ale musel se jí dále zabývat v civilním řízení. Opět uvádíme časové řady za celou ČR a průřezová data po krajích za rok 2020.</w:t>
      </w:r>
    </w:p>
    <w:p w14:paraId="088154C1" w14:textId="48F8BEAE" w:rsidR="008430BD" w:rsidRPr="001C3EC8" w:rsidRDefault="008430BD" w:rsidP="008430BD">
      <w:pPr>
        <w:pStyle w:val="Podnadpis"/>
        <w:rPr>
          <w:color w:val="000000" w:themeColor="text1"/>
        </w:rPr>
      </w:pPr>
      <w:bookmarkStart w:id="185" w:name="_Toc515871348"/>
      <w:bookmarkStart w:id="186" w:name="_Toc11135083"/>
      <w:bookmarkStart w:id="187" w:name="_Toc43841399"/>
      <w:bookmarkStart w:id="188" w:name="_Toc7595220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21</w:t>
      </w:r>
      <w:r w:rsidRPr="001C3EC8">
        <w:rPr>
          <w:color w:val="000000" w:themeColor="text1"/>
        </w:rPr>
        <w:fldChar w:fldCharType="end"/>
      </w:r>
      <w:r w:rsidRPr="001C3EC8">
        <w:rPr>
          <w:color w:val="000000" w:themeColor="text1"/>
        </w:rPr>
        <w:t>: OS – převedeno z rejstříku EPR v letech 2013–20</w:t>
      </w:r>
      <w:bookmarkEnd w:id="185"/>
      <w:bookmarkEnd w:id="186"/>
      <w:bookmarkEnd w:id="187"/>
      <w:r w:rsidRPr="001C3EC8">
        <w:rPr>
          <w:color w:val="000000" w:themeColor="text1"/>
        </w:rPr>
        <w:t>20</w:t>
      </w:r>
      <w:bookmarkEnd w:id="188"/>
    </w:p>
    <w:p w14:paraId="649D1B0C"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2C56798E" wp14:editId="0C81FC6E">
            <wp:extent cx="5115560" cy="3743960"/>
            <wp:effectExtent l="0" t="0" r="0" b="889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7A237844" w14:textId="36E34B72" w:rsidR="008430BD" w:rsidRPr="001C3EC8" w:rsidRDefault="008430BD" w:rsidP="008430BD">
      <w:pPr>
        <w:pStyle w:val="Podnadpis"/>
        <w:rPr>
          <w:color w:val="000000" w:themeColor="text1"/>
        </w:rPr>
      </w:pPr>
      <w:bookmarkStart w:id="189" w:name="_Toc515871450"/>
      <w:bookmarkStart w:id="190" w:name="_Toc11133218"/>
      <w:bookmarkStart w:id="191" w:name="_Toc43931192"/>
      <w:bookmarkStart w:id="192" w:name="_Toc75952322"/>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19</w:t>
      </w:r>
      <w:r w:rsidRPr="001C3EC8">
        <w:rPr>
          <w:color w:val="000000" w:themeColor="text1"/>
        </w:rPr>
        <w:fldChar w:fldCharType="end"/>
      </w:r>
      <w:r w:rsidRPr="001C3EC8">
        <w:rPr>
          <w:color w:val="000000" w:themeColor="text1"/>
        </w:rPr>
        <w:t>: OS – převedeno z rejstříku EPR dle krajů</w:t>
      </w:r>
      <w:bookmarkEnd w:id="189"/>
      <w:bookmarkEnd w:id="190"/>
      <w:bookmarkEnd w:id="191"/>
      <w:bookmarkEnd w:id="192"/>
    </w:p>
    <w:tbl>
      <w:tblPr>
        <w:tblW w:w="8860" w:type="dxa"/>
        <w:tblCellMar>
          <w:left w:w="70" w:type="dxa"/>
          <w:right w:w="70" w:type="dxa"/>
        </w:tblCellMar>
        <w:tblLook w:val="04A0" w:firstRow="1" w:lastRow="0" w:firstColumn="1" w:lastColumn="0" w:noHBand="0" w:noVBand="1"/>
      </w:tblPr>
      <w:tblGrid>
        <w:gridCol w:w="2020"/>
        <w:gridCol w:w="1358"/>
        <w:gridCol w:w="1051"/>
        <w:gridCol w:w="1116"/>
        <w:gridCol w:w="1051"/>
        <w:gridCol w:w="1213"/>
        <w:gridCol w:w="1051"/>
      </w:tblGrid>
      <w:tr w:rsidR="008430BD" w:rsidRPr="001C3EC8" w14:paraId="70B315C7"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DC9D1E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6840" w:type="dxa"/>
            <w:gridSpan w:val="6"/>
            <w:tcBorders>
              <w:top w:val="double" w:sz="6" w:space="0" w:color="auto"/>
              <w:left w:val="nil"/>
              <w:bottom w:val="nil"/>
              <w:right w:val="nil"/>
            </w:tcBorders>
            <w:shd w:val="clear" w:color="auto" w:fill="auto"/>
            <w:noWrap/>
            <w:vAlign w:val="center"/>
            <w:hideMark/>
          </w:tcPr>
          <w:p w14:paraId="02862E8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r>
      <w:tr w:rsidR="008430BD" w:rsidRPr="001C3EC8" w14:paraId="6B6F3D9C" w14:textId="77777777" w:rsidTr="00E077F3">
        <w:trPr>
          <w:trHeight w:val="645"/>
        </w:trPr>
        <w:tc>
          <w:tcPr>
            <w:tcW w:w="2020" w:type="dxa"/>
            <w:vMerge/>
            <w:tcBorders>
              <w:top w:val="double" w:sz="6" w:space="0" w:color="auto"/>
              <w:left w:val="nil"/>
              <w:bottom w:val="double" w:sz="6" w:space="0" w:color="000000"/>
              <w:right w:val="nil"/>
            </w:tcBorders>
            <w:vAlign w:val="center"/>
            <w:hideMark/>
          </w:tcPr>
          <w:p w14:paraId="21576A5C"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2409" w:type="dxa"/>
            <w:gridSpan w:val="2"/>
            <w:tcBorders>
              <w:top w:val="nil"/>
              <w:left w:val="nil"/>
              <w:bottom w:val="double" w:sz="6" w:space="0" w:color="auto"/>
              <w:right w:val="single" w:sz="4" w:space="0" w:color="000000"/>
            </w:tcBorders>
            <w:shd w:val="clear" w:color="auto" w:fill="auto"/>
            <w:noWrap/>
            <w:vAlign w:val="center"/>
            <w:hideMark/>
          </w:tcPr>
          <w:p w14:paraId="3198079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EPR zrušen soudem</w:t>
            </w:r>
          </w:p>
        </w:tc>
        <w:tc>
          <w:tcPr>
            <w:tcW w:w="2167" w:type="dxa"/>
            <w:gridSpan w:val="2"/>
            <w:tcBorders>
              <w:top w:val="nil"/>
              <w:left w:val="nil"/>
              <w:bottom w:val="double" w:sz="6" w:space="0" w:color="auto"/>
              <w:right w:val="single" w:sz="4" w:space="0" w:color="000000"/>
            </w:tcBorders>
            <w:shd w:val="clear" w:color="auto" w:fill="auto"/>
            <w:vAlign w:val="center"/>
            <w:hideMark/>
          </w:tcPr>
          <w:p w14:paraId="3068003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podán odpor, který nebyl odmítnut</w:t>
            </w:r>
          </w:p>
        </w:tc>
        <w:tc>
          <w:tcPr>
            <w:tcW w:w="2264" w:type="dxa"/>
            <w:gridSpan w:val="2"/>
            <w:tcBorders>
              <w:top w:val="nil"/>
              <w:left w:val="nil"/>
              <w:bottom w:val="double" w:sz="6" w:space="0" w:color="auto"/>
              <w:right w:val="nil"/>
            </w:tcBorders>
            <w:shd w:val="clear" w:color="auto" w:fill="auto"/>
            <w:noWrap/>
            <w:vAlign w:val="center"/>
            <w:hideMark/>
          </w:tcPr>
          <w:p w14:paraId="20DD78C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jiný důvod</w:t>
            </w:r>
          </w:p>
        </w:tc>
      </w:tr>
      <w:tr w:rsidR="008430BD" w:rsidRPr="001C3EC8" w14:paraId="652245C0"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59B894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358" w:type="dxa"/>
            <w:tcBorders>
              <w:top w:val="single" w:sz="4" w:space="0" w:color="auto"/>
              <w:left w:val="nil"/>
              <w:bottom w:val="single" w:sz="4" w:space="0" w:color="auto"/>
              <w:right w:val="nil"/>
            </w:tcBorders>
            <w:shd w:val="clear" w:color="auto" w:fill="auto"/>
            <w:noWrap/>
            <w:vAlign w:val="bottom"/>
            <w:hideMark/>
          </w:tcPr>
          <w:p w14:paraId="5AEE292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31 916</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14:paraId="7DADBE7E"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-0 %</w:t>
            </w:r>
          </w:p>
        </w:tc>
        <w:tc>
          <w:tcPr>
            <w:tcW w:w="1116" w:type="dxa"/>
            <w:tcBorders>
              <w:top w:val="single" w:sz="4" w:space="0" w:color="auto"/>
              <w:left w:val="nil"/>
              <w:bottom w:val="single" w:sz="4" w:space="0" w:color="auto"/>
              <w:right w:val="nil"/>
            </w:tcBorders>
            <w:shd w:val="clear" w:color="auto" w:fill="auto"/>
            <w:noWrap/>
            <w:vAlign w:val="bottom"/>
            <w:hideMark/>
          </w:tcPr>
          <w:p w14:paraId="0D71D53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3 701</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14:paraId="630E93E6"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+14 %</w:t>
            </w:r>
          </w:p>
        </w:tc>
        <w:tc>
          <w:tcPr>
            <w:tcW w:w="1213" w:type="dxa"/>
            <w:tcBorders>
              <w:top w:val="single" w:sz="4" w:space="0" w:color="auto"/>
              <w:left w:val="nil"/>
              <w:bottom w:val="single" w:sz="4" w:space="0" w:color="auto"/>
              <w:right w:val="nil"/>
            </w:tcBorders>
            <w:shd w:val="clear" w:color="auto" w:fill="auto"/>
            <w:noWrap/>
            <w:vAlign w:val="bottom"/>
            <w:hideMark/>
          </w:tcPr>
          <w:p w14:paraId="414CB95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5 155</w:t>
            </w:r>
          </w:p>
        </w:tc>
        <w:tc>
          <w:tcPr>
            <w:tcW w:w="1051" w:type="dxa"/>
            <w:tcBorders>
              <w:top w:val="single" w:sz="4" w:space="0" w:color="auto"/>
              <w:left w:val="nil"/>
              <w:bottom w:val="single" w:sz="4" w:space="0" w:color="auto"/>
              <w:right w:val="nil"/>
            </w:tcBorders>
            <w:shd w:val="clear" w:color="auto" w:fill="auto"/>
            <w:noWrap/>
            <w:vAlign w:val="center"/>
            <w:hideMark/>
          </w:tcPr>
          <w:p w14:paraId="37702AAF"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+1 %</w:t>
            </w:r>
          </w:p>
        </w:tc>
      </w:tr>
      <w:tr w:rsidR="008430BD" w:rsidRPr="001C3EC8" w14:paraId="24B65058"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6EDAD03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358" w:type="dxa"/>
            <w:tcBorders>
              <w:top w:val="nil"/>
              <w:left w:val="nil"/>
              <w:bottom w:val="single" w:sz="4" w:space="0" w:color="auto"/>
              <w:right w:val="nil"/>
            </w:tcBorders>
            <w:shd w:val="clear" w:color="auto" w:fill="auto"/>
            <w:noWrap/>
            <w:vAlign w:val="bottom"/>
            <w:hideMark/>
          </w:tcPr>
          <w:p w14:paraId="5B726BF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17 839</w:t>
            </w:r>
          </w:p>
        </w:tc>
        <w:tc>
          <w:tcPr>
            <w:tcW w:w="1051" w:type="dxa"/>
            <w:tcBorders>
              <w:top w:val="nil"/>
              <w:left w:val="nil"/>
              <w:bottom w:val="single" w:sz="4" w:space="0" w:color="auto"/>
              <w:right w:val="single" w:sz="4" w:space="0" w:color="auto"/>
            </w:tcBorders>
            <w:shd w:val="clear" w:color="auto" w:fill="auto"/>
            <w:noWrap/>
            <w:vAlign w:val="center"/>
            <w:hideMark/>
          </w:tcPr>
          <w:p w14:paraId="4FA43C4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+0 %</w:t>
            </w:r>
          </w:p>
        </w:tc>
        <w:tc>
          <w:tcPr>
            <w:tcW w:w="1116" w:type="dxa"/>
            <w:tcBorders>
              <w:top w:val="nil"/>
              <w:left w:val="nil"/>
              <w:bottom w:val="single" w:sz="4" w:space="0" w:color="auto"/>
              <w:right w:val="nil"/>
            </w:tcBorders>
            <w:shd w:val="clear" w:color="auto" w:fill="auto"/>
            <w:noWrap/>
            <w:vAlign w:val="bottom"/>
            <w:hideMark/>
          </w:tcPr>
          <w:p w14:paraId="6AA9DC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1 212</w:t>
            </w:r>
          </w:p>
        </w:tc>
        <w:tc>
          <w:tcPr>
            <w:tcW w:w="1051" w:type="dxa"/>
            <w:tcBorders>
              <w:top w:val="nil"/>
              <w:left w:val="nil"/>
              <w:bottom w:val="single" w:sz="4" w:space="0" w:color="auto"/>
              <w:right w:val="single" w:sz="4" w:space="0" w:color="auto"/>
            </w:tcBorders>
            <w:shd w:val="clear" w:color="auto" w:fill="auto"/>
            <w:noWrap/>
            <w:vAlign w:val="center"/>
            <w:hideMark/>
          </w:tcPr>
          <w:p w14:paraId="116E40B2"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+6 %</w:t>
            </w:r>
          </w:p>
        </w:tc>
        <w:tc>
          <w:tcPr>
            <w:tcW w:w="1213" w:type="dxa"/>
            <w:tcBorders>
              <w:top w:val="nil"/>
              <w:left w:val="nil"/>
              <w:bottom w:val="single" w:sz="4" w:space="0" w:color="auto"/>
              <w:right w:val="nil"/>
            </w:tcBorders>
            <w:shd w:val="clear" w:color="auto" w:fill="auto"/>
            <w:noWrap/>
            <w:vAlign w:val="bottom"/>
            <w:hideMark/>
          </w:tcPr>
          <w:p w14:paraId="4DB49F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2 790</w:t>
            </w:r>
          </w:p>
        </w:tc>
        <w:tc>
          <w:tcPr>
            <w:tcW w:w="1051" w:type="dxa"/>
            <w:tcBorders>
              <w:top w:val="nil"/>
              <w:left w:val="nil"/>
              <w:bottom w:val="single" w:sz="4" w:space="0" w:color="auto"/>
              <w:right w:val="nil"/>
            </w:tcBorders>
            <w:shd w:val="clear" w:color="auto" w:fill="auto"/>
            <w:noWrap/>
            <w:vAlign w:val="center"/>
            <w:hideMark/>
          </w:tcPr>
          <w:p w14:paraId="2550B82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+1 %</w:t>
            </w:r>
          </w:p>
        </w:tc>
      </w:tr>
      <w:tr w:rsidR="008430BD" w:rsidRPr="001C3EC8" w14:paraId="5548B8E1"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1350A1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358" w:type="dxa"/>
            <w:tcBorders>
              <w:top w:val="nil"/>
              <w:left w:val="nil"/>
              <w:bottom w:val="single" w:sz="4" w:space="0" w:color="auto"/>
              <w:right w:val="nil"/>
            </w:tcBorders>
            <w:shd w:val="clear" w:color="auto" w:fill="auto"/>
            <w:noWrap/>
            <w:vAlign w:val="bottom"/>
            <w:hideMark/>
          </w:tcPr>
          <w:p w14:paraId="6AD0470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7 251</w:t>
            </w:r>
          </w:p>
        </w:tc>
        <w:tc>
          <w:tcPr>
            <w:tcW w:w="1051" w:type="dxa"/>
            <w:tcBorders>
              <w:top w:val="nil"/>
              <w:left w:val="nil"/>
              <w:bottom w:val="single" w:sz="4" w:space="0" w:color="auto"/>
              <w:right w:val="single" w:sz="4" w:space="0" w:color="auto"/>
            </w:tcBorders>
            <w:shd w:val="clear" w:color="auto" w:fill="auto"/>
            <w:noWrap/>
            <w:vAlign w:val="center"/>
            <w:hideMark/>
          </w:tcPr>
          <w:p w14:paraId="5341C65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-8 %</w:t>
            </w:r>
          </w:p>
        </w:tc>
        <w:tc>
          <w:tcPr>
            <w:tcW w:w="1116" w:type="dxa"/>
            <w:tcBorders>
              <w:top w:val="nil"/>
              <w:left w:val="nil"/>
              <w:bottom w:val="single" w:sz="4" w:space="0" w:color="auto"/>
              <w:right w:val="nil"/>
            </w:tcBorders>
            <w:shd w:val="clear" w:color="auto" w:fill="auto"/>
            <w:noWrap/>
            <w:vAlign w:val="bottom"/>
            <w:hideMark/>
          </w:tcPr>
          <w:p w14:paraId="1D63B5A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651</w:t>
            </w:r>
          </w:p>
        </w:tc>
        <w:tc>
          <w:tcPr>
            <w:tcW w:w="1051" w:type="dxa"/>
            <w:tcBorders>
              <w:top w:val="nil"/>
              <w:left w:val="nil"/>
              <w:bottom w:val="single" w:sz="4" w:space="0" w:color="auto"/>
              <w:right w:val="single" w:sz="4" w:space="0" w:color="auto"/>
            </w:tcBorders>
            <w:shd w:val="clear" w:color="auto" w:fill="auto"/>
            <w:noWrap/>
            <w:vAlign w:val="center"/>
            <w:hideMark/>
          </w:tcPr>
          <w:p w14:paraId="153D8A2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-1 %</w:t>
            </w:r>
          </w:p>
        </w:tc>
        <w:tc>
          <w:tcPr>
            <w:tcW w:w="1213" w:type="dxa"/>
            <w:tcBorders>
              <w:top w:val="nil"/>
              <w:left w:val="nil"/>
              <w:bottom w:val="single" w:sz="4" w:space="0" w:color="auto"/>
              <w:right w:val="nil"/>
            </w:tcBorders>
            <w:shd w:val="clear" w:color="auto" w:fill="auto"/>
            <w:noWrap/>
            <w:vAlign w:val="bottom"/>
            <w:hideMark/>
          </w:tcPr>
          <w:p w14:paraId="74EA185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453</w:t>
            </w:r>
          </w:p>
        </w:tc>
        <w:tc>
          <w:tcPr>
            <w:tcW w:w="1051" w:type="dxa"/>
            <w:tcBorders>
              <w:top w:val="nil"/>
              <w:left w:val="nil"/>
              <w:bottom w:val="single" w:sz="4" w:space="0" w:color="auto"/>
              <w:right w:val="nil"/>
            </w:tcBorders>
            <w:shd w:val="clear" w:color="auto" w:fill="auto"/>
            <w:noWrap/>
            <w:vAlign w:val="center"/>
            <w:hideMark/>
          </w:tcPr>
          <w:p w14:paraId="53B4AC7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+10 %</w:t>
            </w:r>
          </w:p>
        </w:tc>
      </w:tr>
      <w:tr w:rsidR="008430BD" w:rsidRPr="001C3EC8" w14:paraId="6BA006DA"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61E9684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358" w:type="dxa"/>
            <w:tcBorders>
              <w:top w:val="nil"/>
              <w:left w:val="nil"/>
              <w:bottom w:val="single" w:sz="4" w:space="0" w:color="auto"/>
              <w:right w:val="nil"/>
            </w:tcBorders>
            <w:shd w:val="clear" w:color="auto" w:fill="auto"/>
            <w:noWrap/>
            <w:vAlign w:val="bottom"/>
            <w:hideMark/>
          </w:tcPr>
          <w:p w14:paraId="525346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14 851</w:t>
            </w:r>
          </w:p>
        </w:tc>
        <w:tc>
          <w:tcPr>
            <w:tcW w:w="1051" w:type="dxa"/>
            <w:tcBorders>
              <w:top w:val="nil"/>
              <w:left w:val="nil"/>
              <w:bottom w:val="single" w:sz="4" w:space="0" w:color="auto"/>
              <w:right w:val="single" w:sz="4" w:space="0" w:color="auto"/>
            </w:tcBorders>
            <w:shd w:val="clear" w:color="auto" w:fill="auto"/>
            <w:noWrap/>
            <w:vAlign w:val="center"/>
            <w:hideMark/>
          </w:tcPr>
          <w:p w14:paraId="5FC9ADEF"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+10 %</w:t>
            </w:r>
          </w:p>
        </w:tc>
        <w:tc>
          <w:tcPr>
            <w:tcW w:w="1116" w:type="dxa"/>
            <w:tcBorders>
              <w:top w:val="nil"/>
              <w:left w:val="nil"/>
              <w:bottom w:val="single" w:sz="4" w:space="0" w:color="auto"/>
              <w:right w:val="nil"/>
            </w:tcBorders>
            <w:shd w:val="clear" w:color="auto" w:fill="auto"/>
            <w:noWrap/>
            <w:vAlign w:val="bottom"/>
            <w:hideMark/>
          </w:tcPr>
          <w:p w14:paraId="5722980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661</w:t>
            </w:r>
          </w:p>
        </w:tc>
        <w:tc>
          <w:tcPr>
            <w:tcW w:w="1051" w:type="dxa"/>
            <w:tcBorders>
              <w:top w:val="nil"/>
              <w:left w:val="nil"/>
              <w:bottom w:val="single" w:sz="4" w:space="0" w:color="auto"/>
              <w:right w:val="single" w:sz="4" w:space="0" w:color="auto"/>
            </w:tcBorders>
            <w:shd w:val="clear" w:color="auto" w:fill="auto"/>
            <w:noWrap/>
            <w:vAlign w:val="center"/>
            <w:hideMark/>
          </w:tcPr>
          <w:p w14:paraId="652FBF40"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-1 %</w:t>
            </w:r>
          </w:p>
        </w:tc>
        <w:tc>
          <w:tcPr>
            <w:tcW w:w="1213" w:type="dxa"/>
            <w:tcBorders>
              <w:top w:val="nil"/>
              <w:left w:val="nil"/>
              <w:bottom w:val="single" w:sz="4" w:space="0" w:color="auto"/>
              <w:right w:val="nil"/>
            </w:tcBorders>
            <w:shd w:val="clear" w:color="auto" w:fill="auto"/>
            <w:noWrap/>
            <w:vAlign w:val="bottom"/>
            <w:hideMark/>
          </w:tcPr>
          <w:p w14:paraId="73C8F1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3 578</w:t>
            </w:r>
          </w:p>
        </w:tc>
        <w:tc>
          <w:tcPr>
            <w:tcW w:w="1051" w:type="dxa"/>
            <w:tcBorders>
              <w:top w:val="nil"/>
              <w:left w:val="nil"/>
              <w:bottom w:val="single" w:sz="4" w:space="0" w:color="auto"/>
              <w:right w:val="nil"/>
            </w:tcBorders>
            <w:shd w:val="clear" w:color="auto" w:fill="auto"/>
            <w:noWrap/>
            <w:vAlign w:val="center"/>
            <w:hideMark/>
          </w:tcPr>
          <w:p w14:paraId="7EE9D512"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+45 %</w:t>
            </w:r>
          </w:p>
        </w:tc>
      </w:tr>
      <w:tr w:rsidR="008430BD" w:rsidRPr="001C3EC8" w14:paraId="3D8DC9AD"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533C80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358" w:type="dxa"/>
            <w:tcBorders>
              <w:top w:val="nil"/>
              <w:left w:val="nil"/>
              <w:bottom w:val="single" w:sz="4" w:space="0" w:color="auto"/>
              <w:right w:val="nil"/>
            </w:tcBorders>
            <w:shd w:val="clear" w:color="auto" w:fill="auto"/>
            <w:noWrap/>
            <w:vAlign w:val="bottom"/>
            <w:hideMark/>
          </w:tcPr>
          <w:p w14:paraId="5E8D0DC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28 820</w:t>
            </w:r>
          </w:p>
        </w:tc>
        <w:tc>
          <w:tcPr>
            <w:tcW w:w="1051" w:type="dxa"/>
            <w:tcBorders>
              <w:top w:val="nil"/>
              <w:left w:val="nil"/>
              <w:bottom w:val="single" w:sz="4" w:space="0" w:color="auto"/>
              <w:right w:val="single" w:sz="4" w:space="0" w:color="auto"/>
            </w:tcBorders>
            <w:shd w:val="clear" w:color="auto" w:fill="auto"/>
            <w:noWrap/>
            <w:vAlign w:val="center"/>
            <w:hideMark/>
          </w:tcPr>
          <w:p w14:paraId="64577545"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-0 %</w:t>
            </w:r>
          </w:p>
        </w:tc>
        <w:tc>
          <w:tcPr>
            <w:tcW w:w="1116" w:type="dxa"/>
            <w:tcBorders>
              <w:top w:val="nil"/>
              <w:left w:val="nil"/>
              <w:bottom w:val="single" w:sz="4" w:space="0" w:color="auto"/>
              <w:right w:val="nil"/>
            </w:tcBorders>
            <w:shd w:val="clear" w:color="auto" w:fill="auto"/>
            <w:noWrap/>
            <w:vAlign w:val="bottom"/>
            <w:hideMark/>
          </w:tcPr>
          <w:p w14:paraId="0A3AC5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1 222</w:t>
            </w:r>
          </w:p>
        </w:tc>
        <w:tc>
          <w:tcPr>
            <w:tcW w:w="1051" w:type="dxa"/>
            <w:tcBorders>
              <w:top w:val="nil"/>
              <w:left w:val="nil"/>
              <w:bottom w:val="single" w:sz="4" w:space="0" w:color="auto"/>
              <w:right w:val="single" w:sz="4" w:space="0" w:color="auto"/>
            </w:tcBorders>
            <w:shd w:val="clear" w:color="auto" w:fill="auto"/>
            <w:noWrap/>
            <w:vAlign w:val="center"/>
            <w:hideMark/>
          </w:tcPr>
          <w:p w14:paraId="0BB06176"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-4 %</w:t>
            </w:r>
          </w:p>
        </w:tc>
        <w:tc>
          <w:tcPr>
            <w:tcW w:w="1213" w:type="dxa"/>
            <w:tcBorders>
              <w:top w:val="nil"/>
              <w:left w:val="nil"/>
              <w:bottom w:val="single" w:sz="4" w:space="0" w:color="auto"/>
              <w:right w:val="nil"/>
            </w:tcBorders>
            <w:shd w:val="clear" w:color="auto" w:fill="auto"/>
            <w:noWrap/>
            <w:vAlign w:val="bottom"/>
            <w:hideMark/>
          </w:tcPr>
          <w:p w14:paraId="0897A5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1 319</w:t>
            </w:r>
          </w:p>
        </w:tc>
        <w:tc>
          <w:tcPr>
            <w:tcW w:w="1051" w:type="dxa"/>
            <w:tcBorders>
              <w:top w:val="nil"/>
              <w:left w:val="nil"/>
              <w:bottom w:val="single" w:sz="4" w:space="0" w:color="auto"/>
              <w:right w:val="nil"/>
            </w:tcBorders>
            <w:shd w:val="clear" w:color="auto" w:fill="auto"/>
            <w:noWrap/>
            <w:vAlign w:val="center"/>
            <w:hideMark/>
          </w:tcPr>
          <w:p w14:paraId="3CBD19A6"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-6 %</w:t>
            </w:r>
          </w:p>
        </w:tc>
      </w:tr>
      <w:tr w:rsidR="008430BD" w:rsidRPr="001C3EC8" w14:paraId="45A72558"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37EB98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358" w:type="dxa"/>
            <w:tcBorders>
              <w:top w:val="nil"/>
              <w:left w:val="nil"/>
              <w:bottom w:val="single" w:sz="4" w:space="0" w:color="auto"/>
              <w:right w:val="nil"/>
            </w:tcBorders>
            <w:shd w:val="clear" w:color="auto" w:fill="auto"/>
            <w:noWrap/>
            <w:vAlign w:val="bottom"/>
            <w:hideMark/>
          </w:tcPr>
          <w:p w14:paraId="2FA14F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12 798</w:t>
            </w:r>
          </w:p>
        </w:tc>
        <w:tc>
          <w:tcPr>
            <w:tcW w:w="1051" w:type="dxa"/>
            <w:tcBorders>
              <w:top w:val="nil"/>
              <w:left w:val="nil"/>
              <w:bottom w:val="single" w:sz="4" w:space="0" w:color="auto"/>
              <w:right w:val="single" w:sz="4" w:space="0" w:color="auto"/>
            </w:tcBorders>
            <w:shd w:val="clear" w:color="auto" w:fill="auto"/>
            <w:noWrap/>
            <w:vAlign w:val="center"/>
            <w:hideMark/>
          </w:tcPr>
          <w:p w14:paraId="5A835085"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+6 %</w:t>
            </w:r>
          </w:p>
        </w:tc>
        <w:tc>
          <w:tcPr>
            <w:tcW w:w="1116" w:type="dxa"/>
            <w:tcBorders>
              <w:top w:val="nil"/>
              <w:left w:val="nil"/>
              <w:bottom w:val="single" w:sz="4" w:space="0" w:color="auto"/>
              <w:right w:val="nil"/>
            </w:tcBorders>
            <w:shd w:val="clear" w:color="auto" w:fill="auto"/>
            <w:noWrap/>
            <w:vAlign w:val="bottom"/>
            <w:hideMark/>
          </w:tcPr>
          <w:p w14:paraId="7AB4E4F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1 001</w:t>
            </w:r>
          </w:p>
        </w:tc>
        <w:tc>
          <w:tcPr>
            <w:tcW w:w="1051" w:type="dxa"/>
            <w:tcBorders>
              <w:top w:val="nil"/>
              <w:left w:val="nil"/>
              <w:bottom w:val="single" w:sz="4" w:space="0" w:color="auto"/>
              <w:right w:val="single" w:sz="4" w:space="0" w:color="auto"/>
            </w:tcBorders>
            <w:shd w:val="clear" w:color="auto" w:fill="auto"/>
            <w:noWrap/>
            <w:vAlign w:val="center"/>
            <w:hideMark/>
          </w:tcPr>
          <w:p w14:paraId="08C0D21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-4 %</w:t>
            </w:r>
          </w:p>
        </w:tc>
        <w:tc>
          <w:tcPr>
            <w:tcW w:w="1213" w:type="dxa"/>
            <w:tcBorders>
              <w:top w:val="nil"/>
              <w:left w:val="nil"/>
              <w:bottom w:val="single" w:sz="4" w:space="0" w:color="auto"/>
              <w:right w:val="nil"/>
            </w:tcBorders>
            <w:shd w:val="clear" w:color="auto" w:fill="auto"/>
            <w:noWrap/>
            <w:vAlign w:val="bottom"/>
            <w:hideMark/>
          </w:tcPr>
          <w:p w14:paraId="684887A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1 782</w:t>
            </w:r>
          </w:p>
        </w:tc>
        <w:tc>
          <w:tcPr>
            <w:tcW w:w="1051" w:type="dxa"/>
            <w:tcBorders>
              <w:top w:val="nil"/>
              <w:left w:val="nil"/>
              <w:bottom w:val="single" w:sz="4" w:space="0" w:color="auto"/>
              <w:right w:val="nil"/>
            </w:tcBorders>
            <w:shd w:val="clear" w:color="auto" w:fill="auto"/>
            <w:noWrap/>
            <w:vAlign w:val="center"/>
            <w:hideMark/>
          </w:tcPr>
          <w:p w14:paraId="418926E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-23 %</w:t>
            </w:r>
          </w:p>
        </w:tc>
      </w:tr>
      <w:tr w:rsidR="008430BD" w:rsidRPr="001C3EC8" w14:paraId="31263439"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3850733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358" w:type="dxa"/>
            <w:tcBorders>
              <w:top w:val="nil"/>
              <w:left w:val="nil"/>
              <w:bottom w:val="single" w:sz="4" w:space="0" w:color="auto"/>
              <w:right w:val="nil"/>
            </w:tcBorders>
            <w:shd w:val="clear" w:color="auto" w:fill="auto"/>
            <w:noWrap/>
            <w:vAlign w:val="bottom"/>
            <w:hideMark/>
          </w:tcPr>
          <w:p w14:paraId="0161D5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19 770</w:t>
            </w:r>
          </w:p>
        </w:tc>
        <w:tc>
          <w:tcPr>
            <w:tcW w:w="1051" w:type="dxa"/>
            <w:tcBorders>
              <w:top w:val="nil"/>
              <w:left w:val="nil"/>
              <w:bottom w:val="single" w:sz="4" w:space="0" w:color="auto"/>
              <w:right w:val="single" w:sz="4" w:space="0" w:color="auto"/>
            </w:tcBorders>
            <w:shd w:val="clear" w:color="auto" w:fill="auto"/>
            <w:noWrap/>
            <w:vAlign w:val="center"/>
            <w:hideMark/>
          </w:tcPr>
          <w:p w14:paraId="21590572"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-2 %</w:t>
            </w:r>
          </w:p>
        </w:tc>
        <w:tc>
          <w:tcPr>
            <w:tcW w:w="1116" w:type="dxa"/>
            <w:tcBorders>
              <w:top w:val="nil"/>
              <w:left w:val="nil"/>
              <w:bottom w:val="single" w:sz="4" w:space="0" w:color="auto"/>
              <w:right w:val="nil"/>
            </w:tcBorders>
            <w:shd w:val="clear" w:color="auto" w:fill="auto"/>
            <w:noWrap/>
            <w:vAlign w:val="bottom"/>
            <w:hideMark/>
          </w:tcPr>
          <w:p w14:paraId="6F32B5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1 726</w:t>
            </w:r>
          </w:p>
        </w:tc>
        <w:tc>
          <w:tcPr>
            <w:tcW w:w="1051" w:type="dxa"/>
            <w:tcBorders>
              <w:top w:val="nil"/>
              <w:left w:val="nil"/>
              <w:bottom w:val="single" w:sz="4" w:space="0" w:color="auto"/>
              <w:right w:val="single" w:sz="4" w:space="0" w:color="auto"/>
            </w:tcBorders>
            <w:shd w:val="clear" w:color="auto" w:fill="auto"/>
            <w:noWrap/>
            <w:vAlign w:val="center"/>
            <w:hideMark/>
          </w:tcPr>
          <w:p w14:paraId="075CEDEE"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-9 %</w:t>
            </w:r>
          </w:p>
        </w:tc>
        <w:tc>
          <w:tcPr>
            <w:tcW w:w="1213" w:type="dxa"/>
            <w:tcBorders>
              <w:top w:val="nil"/>
              <w:left w:val="nil"/>
              <w:bottom w:val="single" w:sz="4" w:space="0" w:color="auto"/>
              <w:right w:val="nil"/>
            </w:tcBorders>
            <w:shd w:val="clear" w:color="auto" w:fill="auto"/>
            <w:noWrap/>
            <w:vAlign w:val="bottom"/>
            <w:hideMark/>
          </w:tcPr>
          <w:p w14:paraId="132081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1 740</w:t>
            </w:r>
          </w:p>
        </w:tc>
        <w:tc>
          <w:tcPr>
            <w:tcW w:w="1051" w:type="dxa"/>
            <w:tcBorders>
              <w:top w:val="nil"/>
              <w:left w:val="nil"/>
              <w:bottom w:val="single" w:sz="4" w:space="0" w:color="auto"/>
              <w:right w:val="nil"/>
            </w:tcBorders>
            <w:shd w:val="clear" w:color="auto" w:fill="auto"/>
            <w:noWrap/>
            <w:vAlign w:val="center"/>
            <w:hideMark/>
          </w:tcPr>
          <w:p w14:paraId="610C5503"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+4 %</w:t>
            </w:r>
          </w:p>
        </w:tc>
      </w:tr>
      <w:tr w:rsidR="008430BD" w:rsidRPr="001C3EC8" w14:paraId="5607DE1F"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21AE4A4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358" w:type="dxa"/>
            <w:tcBorders>
              <w:top w:val="nil"/>
              <w:left w:val="nil"/>
              <w:bottom w:val="double" w:sz="6" w:space="0" w:color="auto"/>
              <w:right w:val="nil"/>
            </w:tcBorders>
            <w:shd w:val="clear" w:color="auto" w:fill="auto"/>
            <w:noWrap/>
            <w:vAlign w:val="bottom"/>
            <w:hideMark/>
          </w:tcPr>
          <w:p w14:paraId="366411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23 973</w:t>
            </w:r>
          </w:p>
        </w:tc>
        <w:tc>
          <w:tcPr>
            <w:tcW w:w="1051" w:type="dxa"/>
            <w:tcBorders>
              <w:top w:val="nil"/>
              <w:left w:val="nil"/>
              <w:bottom w:val="double" w:sz="6" w:space="0" w:color="auto"/>
              <w:right w:val="single" w:sz="4" w:space="0" w:color="auto"/>
            </w:tcBorders>
            <w:shd w:val="clear" w:color="auto" w:fill="auto"/>
            <w:noWrap/>
            <w:vAlign w:val="center"/>
            <w:hideMark/>
          </w:tcPr>
          <w:p w14:paraId="3802624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+1 %</w:t>
            </w:r>
          </w:p>
        </w:tc>
        <w:tc>
          <w:tcPr>
            <w:tcW w:w="1116" w:type="dxa"/>
            <w:tcBorders>
              <w:top w:val="nil"/>
              <w:left w:val="nil"/>
              <w:bottom w:val="double" w:sz="6" w:space="0" w:color="auto"/>
              <w:right w:val="nil"/>
            </w:tcBorders>
            <w:shd w:val="clear" w:color="auto" w:fill="auto"/>
            <w:noWrap/>
            <w:vAlign w:val="bottom"/>
            <w:hideMark/>
          </w:tcPr>
          <w:p w14:paraId="4E813AF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1 638</w:t>
            </w:r>
          </w:p>
        </w:tc>
        <w:tc>
          <w:tcPr>
            <w:tcW w:w="1051" w:type="dxa"/>
            <w:tcBorders>
              <w:top w:val="nil"/>
              <w:left w:val="nil"/>
              <w:bottom w:val="double" w:sz="6" w:space="0" w:color="auto"/>
              <w:right w:val="single" w:sz="4" w:space="0" w:color="auto"/>
            </w:tcBorders>
            <w:shd w:val="clear" w:color="auto" w:fill="auto"/>
            <w:noWrap/>
            <w:vAlign w:val="center"/>
            <w:hideMark/>
          </w:tcPr>
          <w:p w14:paraId="4EC1367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-1 %</w:t>
            </w:r>
          </w:p>
        </w:tc>
        <w:tc>
          <w:tcPr>
            <w:tcW w:w="1213" w:type="dxa"/>
            <w:tcBorders>
              <w:top w:val="nil"/>
              <w:left w:val="nil"/>
              <w:bottom w:val="double" w:sz="6" w:space="0" w:color="auto"/>
              <w:right w:val="nil"/>
            </w:tcBorders>
            <w:shd w:val="clear" w:color="auto" w:fill="auto"/>
            <w:noWrap/>
            <w:vAlign w:val="bottom"/>
            <w:hideMark/>
          </w:tcPr>
          <w:p w14:paraId="6553F17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3 812</w:t>
            </w:r>
          </w:p>
        </w:tc>
        <w:tc>
          <w:tcPr>
            <w:tcW w:w="1051" w:type="dxa"/>
            <w:tcBorders>
              <w:top w:val="nil"/>
              <w:left w:val="nil"/>
              <w:bottom w:val="double" w:sz="6" w:space="0" w:color="auto"/>
              <w:right w:val="nil"/>
            </w:tcBorders>
            <w:shd w:val="clear" w:color="auto" w:fill="auto"/>
            <w:noWrap/>
            <w:vAlign w:val="center"/>
            <w:hideMark/>
          </w:tcPr>
          <w:p w14:paraId="6063217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+4 %</w:t>
            </w:r>
          </w:p>
        </w:tc>
      </w:tr>
      <w:tr w:rsidR="008430BD" w:rsidRPr="001C3EC8" w14:paraId="7143A079"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06E129D3"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358" w:type="dxa"/>
            <w:tcBorders>
              <w:top w:val="nil"/>
              <w:left w:val="nil"/>
              <w:bottom w:val="double" w:sz="6" w:space="0" w:color="auto"/>
              <w:right w:val="nil"/>
            </w:tcBorders>
            <w:shd w:val="clear" w:color="auto" w:fill="auto"/>
            <w:noWrap/>
            <w:vAlign w:val="bottom"/>
            <w:hideMark/>
          </w:tcPr>
          <w:p w14:paraId="070E3FF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157 218</w:t>
            </w:r>
          </w:p>
        </w:tc>
        <w:tc>
          <w:tcPr>
            <w:tcW w:w="1051" w:type="dxa"/>
            <w:tcBorders>
              <w:top w:val="nil"/>
              <w:left w:val="nil"/>
              <w:bottom w:val="double" w:sz="6" w:space="0" w:color="auto"/>
              <w:right w:val="single" w:sz="4" w:space="0" w:color="auto"/>
            </w:tcBorders>
            <w:shd w:val="clear" w:color="auto" w:fill="auto"/>
            <w:noWrap/>
            <w:vAlign w:val="center"/>
            <w:hideMark/>
          </w:tcPr>
          <w:p w14:paraId="48B8EF66"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+1 %</w:t>
            </w:r>
          </w:p>
        </w:tc>
        <w:tc>
          <w:tcPr>
            <w:tcW w:w="1116" w:type="dxa"/>
            <w:tcBorders>
              <w:top w:val="nil"/>
              <w:left w:val="nil"/>
              <w:bottom w:val="double" w:sz="6" w:space="0" w:color="auto"/>
              <w:right w:val="nil"/>
            </w:tcBorders>
            <w:shd w:val="clear" w:color="auto" w:fill="auto"/>
            <w:noWrap/>
            <w:vAlign w:val="bottom"/>
            <w:hideMark/>
          </w:tcPr>
          <w:p w14:paraId="79C501E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11 812</w:t>
            </w:r>
          </w:p>
        </w:tc>
        <w:tc>
          <w:tcPr>
            <w:tcW w:w="1051" w:type="dxa"/>
            <w:tcBorders>
              <w:top w:val="nil"/>
              <w:left w:val="nil"/>
              <w:bottom w:val="double" w:sz="6" w:space="0" w:color="auto"/>
              <w:right w:val="single" w:sz="4" w:space="0" w:color="auto"/>
            </w:tcBorders>
            <w:shd w:val="clear" w:color="auto" w:fill="auto"/>
            <w:noWrap/>
            <w:vAlign w:val="center"/>
            <w:hideMark/>
          </w:tcPr>
          <w:p w14:paraId="15E60F2D"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+2 %</w:t>
            </w:r>
          </w:p>
        </w:tc>
        <w:tc>
          <w:tcPr>
            <w:tcW w:w="1213" w:type="dxa"/>
            <w:tcBorders>
              <w:top w:val="nil"/>
              <w:left w:val="nil"/>
              <w:bottom w:val="double" w:sz="6" w:space="0" w:color="auto"/>
              <w:right w:val="nil"/>
            </w:tcBorders>
            <w:shd w:val="clear" w:color="auto" w:fill="auto"/>
            <w:noWrap/>
            <w:vAlign w:val="bottom"/>
            <w:hideMark/>
          </w:tcPr>
          <w:p w14:paraId="35E0DD5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20 629</w:t>
            </w:r>
          </w:p>
        </w:tc>
        <w:tc>
          <w:tcPr>
            <w:tcW w:w="1051" w:type="dxa"/>
            <w:tcBorders>
              <w:top w:val="nil"/>
              <w:left w:val="nil"/>
              <w:bottom w:val="double" w:sz="6" w:space="0" w:color="auto"/>
              <w:right w:val="nil"/>
            </w:tcBorders>
            <w:shd w:val="clear" w:color="auto" w:fill="auto"/>
            <w:noWrap/>
            <w:vAlign w:val="center"/>
            <w:hideMark/>
          </w:tcPr>
          <w:p w14:paraId="0E97D143"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+4 %</w:t>
            </w:r>
          </w:p>
        </w:tc>
      </w:tr>
    </w:tbl>
    <w:p w14:paraId="4A703772" w14:textId="77777777" w:rsidR="008430BD" w:rsidRPr="001C3EC8" w:rsidRDefault="008430BD" w:rsidP="008430BD">
      <w:pPr>
        <w:rPr>
          <w:color w:val="000000" w:themeColor="text1"/>
          <w:highlight w:val="yellow"/>
        </w:rPr>
      </w:pPr>
    </w:p>
    <w:p w14:paraId="1403F7C8" w14:textId="77777777" w:rsidR="00CC25AA" w:rsidRDefault="00CC25AA" w:rsidP="008430BD">
      <w:pPr>
        <w:pStyle w:val="OdstavecASR"/>
        <w:rPr>
          <w:color w:val="000000" w:themeColor="text1"/>
        </w:rPr>
      </w:pPr>
    </w:p>
    <w:p w14:paraId="59CE244A" w14:textId="77777777" w:rsidR="00CC25AA" w:rsidRDefault="00CC25AA" w:rsidP="008430BD">
      <w:pPr>
        <w:pStyle w:val="OdstavecASR"/>
        <w:rPr>
          <w:color w:val="000000" w:themeColor="text1"/>
        </w:rPr>
      </w:pPr>
    </w:p>
    <w:p w14:paraId="4E0BE30F" w14:textId="6E735699" w:rsidR="008430BD" w:rsidRPr="001C3EC8" w:rsidRDefault="008430BD" w:rsidP="008430BD">
      <w:pPr>
        <w:pStyle w:val="OdstavecASR"/>
        <w:rPr>
          <w:color w:val="000000" w:themeColor="text1"/>
        </w:rPr>
      </w:pPr>
      <w:r w:rsidRPr="001C3EC8">
        <w:rPr>
          <w:color w:val="000000" w:themeColor="text1"/>
        </w:rPr>
        <w:lastRenderedPageBreak/>
        <w:t>Statisticky jsou sledovány tři důvody, proč je věc převedena z rejstříku EPR do rejstříku C:</w:t>
      </w:r>
    </w:p>
    <w:p w14:paraId="39129DB3" w14:textId="77777777" w:rsidR="008430BD" w:rsidRPr="001C3EC8" w:rsidRDefault="008430BD" w:rsidP="008430BD">
      <w:pPr>
        <w:pStyle w:val="OdstavecASR"/>
        <w:numPr>
          <w:ilvl w:val="0"/>
          <w:numId w:val="10"/>
        </w:numPr>
        <w:rPr>
          <w:color w:val="000000" w:themeColor="text1"/>
        </w:rPr>
      </w:pPr>
      <w:r w:rsidRPr="001C3EC8">
        <w:rPr>
          <w:b/>
          <w:color w:val="000000" w:themeColor="text1"/>
        </w:rPr>
        <w:t>EPR zrušen soudem</w:t>
      </w:r>
      <w:r w:rsidRPr="001C3EC8">
        <w:rPr>
          <w:color w:val="000000" w:themeColor="text1"/>
        </w:rPr>
        <w:t>: elektronický platební rozkaz je zrušen, protože ho nebylo možné doručit. To může mít různé důvody, například pokud se účastník sporu přestěhoval bez udání další adresy nebo má hlášenou adresu bydliště na městském úřadu a dále ho není možné nijak dohledat.</w:t>
      </w:r>
    </w:p>
    <w:p w14:paraId="1A38C168" w14:textId="77777777" w:rsidR="008430BD" w:rsidRPr="001C3EC8" w:rsidRDefault="008430BD" w:rsidP="008430BD">
      <w:pPr>
        <w:pStyle w:val="OdstavecASR"/>
        <w:numPr>
          <w:ilvl w:val="0"/>
          <w:numId w:val="10"/>
        </w:numPr>
        <w:rPr>
          <w:color w:val="000000" w:themeColor="text1"/>
        </w:rPr>
      </w:pPr>
      <w:r w:rsidRPr="001C3EC8">
        <w:rPr>
          <w:rFonts w:eastAsia="Times New Roman"/>
          <w:b/>
          <w:bCs/>
          <w:color w:val="000000" w:themeColor="text1"/>
          <w:szCs w:val="24"/>
          <w:lang w:eastAsia="cs-CZ"/>
        </w:rPr>
        <w:t xml:space="preserve">Podán odpor, který nebyl odmítnut: </w:t>
      </w:r>
      <w:r w:rsidRPr="001C3EC8">
        <w:rPr>
          <w:rFonts w:eastAsia="Times New Roman"/>
          <w:bCs/>
          <w:color w:val="000000" w:themeColor="text1"/>
          <w:szCs w:val="24"/>
          <w:lang w:eastAsia="cs-CZ"/>
        </w:rPr>
        <w:t>byl podán odpor proti elektronickému platebnímu rozkazu. Odpor byl podán včas a oprávněnou osobou.</w:t>
      </w:r>
    </w:p>
    <w:p w14:paraId="0E608368" w14:textId="77777777" w:rsidR="008430BD" w:rsidRPr="001C3EC8" w:rsidRDefault="008430BD" w:rsidP="008430BD">
      <w:pPr>
        <w:pStyle w:val="OdstavecASR"/>
        <w:numPr>
          <w:ilvl w:val="0"/>
          <w:numId w:val="10"/>
        </w:numPr>
        <w:rPr>
          <w:color w:val="000000" w:themeColor="text1"/>
        </w:rPr>
      </w:pPr>
      <w:r w:rsidRPr="001C3EC8">
        <w:rPr>
          <w:rFonts w:eastAsia="Times New Roman"/>
          <w:b/>
          <w:bCs/>
          <w:color w:val="000000" w:themeColor="text1"/>
          <w:szCs w:val="24"/>
          <w:lang w:eastAsia="cs-CZ"/>
        </w:rPr>
        <w:t>Jiný důvod:</w:t>
      </w:r>
      <w:r w:rsidRPr="001C3EC8">
        <w:rPr>
          <w:color w:val="000000" w:themeColor="text1"/>
        </w:rPr>
        <w:t xml:space="preserve"> zahrnuje všechny ostatní důvody pro převedení věci, zpravidla proto, že nebylo možné z jiného důvodu vydat EPR (platební rozkaz by tak například měl být doručen žalovanému do ciziny nebo žalobce uplatňuje nárok převyšující jeden milion korun českých).</w:t>
      </w:r>
    </w:p>
    <w:p w14:paraId="279DF158" w14:textId="77777777" w:rsidR="008430BD" w:rsidRPr="001C3EC8" w:rsidRDefault="008430BD" w:rsidP="008430BD">
      <w:pPr>
        <w:rPr>
          <w:color w:val="000000" w:themeColor="text1"/>
          <w:highlight w:val="yellow"/>
        </w:rPr>
      </w:pPr>
    </w:p>
    <w:p w14:paraId="71407829" w14:textId="33C9FA6F" w:rsidR="008430BD" w:rsidRPr="001C3EC8" w:rsidRDefault="008430BD" w:rsidP="008430BD">
      <w:pPr>
        <w:rPr>
          <w:color w:val="000000" w:themeColor="text1"/>
        </w:rPr>
      </w:pPr>
      <w:r w:rsidRPr="001C3EC8">
        <w:rPr>
          <w:color w:val="000000" w:themeColor="text1"/>
        </w:rPr>
        <w:t>V datech vidíme, že převedených věcí je opravdu velké množství. Porovnáme-li počet převedených věcí s počtem věcí vyřízených, vidíme, že tento podíl v letech 2013 až 2017 tvořil 51 až 56 %.</w:t>
      </w:r>
      <w:r w:rsidRPr="001C3EC8">
        <w:rPr>
          <w:rStyle w:val="Znakapoznpodarou"/>
          <w:color w:val="000000" w:themeColor="text1"/>
        </w:rPr>
        <w:footnoteReference w:id="7"/>
      </w:r>
      <w:r w:rsidRPr="001C3EC8">
        <w:rPr>
          <w:color w:val="000000" w:themeColor="text1"/>
        </w:rPr>
        <w:t xml:space="preserve"> V zásadě každá druhá věc v rejstříku EPR tak byla převedena do klasického civilního řízení. V letech 2018 </w:t>
      </w:r>
      <w:r w:rsidR="006579E3" w:rsidRPr="001C3EC8">
        <w:rPr>
          <w:color w:val="000000" w:themeColor="text1"/>
        </w:rPr>
        <w:t>a</w:t>
      </w:r>
      <w:r w:rsidR="006579E3">
        <w:rPr>
          <w:color w:val="000000" w:themeColor="text1"/>
        </w:rPr>
        <w:t> </w:t>
      </w:r>
      <w:r w:rsidRPr="001C3EC8">
        <w:rPr>
          <w:color w:val="000000" w:themeColor="text1"/>
        </w:rPr>
        <w:t xml:space="preserve">2019 tento podíl dokonce přesáhl 60 %. V roce 2020 byl tento podíl 54 %. Počet převedených věcí zůstal víceméně stejný, ale vzrostl počet věcí v rejstříku EPR. Nejvyšší </w:t>
      </w:r>
      <w:r w:rsidR="00DC7EA7" w:rsidRPr="001C3EC8">
        <w:rPr>
          <w:color w:val="000000" w:themeColor="text1"/>
        </w:rPr>
        <w:t>podíl převedených věcí</w:t>
      </w:r>
      <w:r w:rsidRPr="001C3EC8">
        <w:rPr>
          <w:color w:val="000000" w:themeColor="text1"/>
        </w:rPr>
        <w:t xml:space="preserve"> je v Praze a nejnižší je v kraji Jihočeském. Zdaleka nejčastějším důvodem převedení je zrušení EPR soudem.</w:t>
      </w:r>
    </w:p>
    <w:p w14:paraId="514EA9C4"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3DF5A295" w14:textId="77777777" w:rsidR="008430BD" w:rsidRPr="001C3EC8" w:rsidRDefault="008430BD" w:rsidP="008430BD">
      <w:pPr>
        <w:pStyle w:val="Nadpis2"/>
        <w:numPr>
          <w:ilvl w:val="1"/>
          <w:numId w:val="1"/>
        </w:numPr>
        <w:spacing w:before="120"/>
      </w:pPr>
      <w:bookmarkStart w:id="193" w:name="_Ref511307908"/>
      <w:bookmarkStart w:id="194" w:name="_Toc515871230"/>
      <w:bookmarkStart w:id="195" w:name="_Toc75952066"/>
      <w:r w:rsidRPr="001C3EC8">
        <w:lastRenderedPageBreak/>
        <w:t>Trestní agenda</w:t>
      </w:r>
      <w:bookmarkEnd w:id="193"/>
      <w:bookmarkEnd w:id="194"/>
      <w:bookmarkEnd w:id="195"/>
    </w:p>
    <w:p w14:paraId="136B0AAB" w14:textId="594B713B" w:rsidR="008430BD" w:rsidRPr="001C3EC8" w:rsidRDefault="008430BD" w:rsidP="008430BD">
      <w:pPr>
        <w:pStyle w:val="OdstavecASR"/>
        <w:rPr>
          <w:color w:val="000000" w:themeColor="text1"/>
        </w:rPr>
      </w:pPr>
      <w:r w:rsidRPr="001C3EC8">
        <w:rPr>
          <w:color w:val="000000" w:themeColor="text1"/>
        </w:rPr>
        <w:t>Z hlediska statistického sledování je situace na trestním úseku soudů jednodušší. Vedlejší agendy jsou zde v zásadě pouze dvě – všeobecné trestní věci, včetně rozhodování soudce v přípravném řízení, a u soudů, v jejichž obvodu se nachází věznice, též agenda podmíněného propuštění. Soudy tedy vyřizují hlavně prvostupňové trestní věci a prvostupňové trestní věci mladistvých (rejstříky T a </w:t>
      </w:r>
      <w:proofErr w:type="spellStart"/>
      <w:r w:rsidRPr="001C3EC8">
        <w:rPr>
          <w:color w:val="000000" w:themeColor="text1"/>
        </w:rPr>
        <w:t>Tm</w:t>
      </w:r>
      <w:proofErr w:type="spellEnd"/>
      <w:r w:rsidRPr="001C3EC8">
        <w:rPr>
          <w:color w:val="000000" w:themeColor="text1"/>
        </w:rPr>
        <w:t xml:space="preserve">).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zahrnující věci vyřízené trestním příkazem je možné dohledat na internetových stránkách </w:t>
      </w:r>
      <w:proofErr w:type="spellStart"/>
      <w:r w:rsidRPr="001C3EC8">
        <w:rPr>
          <w:color w:val="000000" w:themeColor="text1"/>
        </w:rPr>
        <w:t>InfoData</w:t>
      </w:r>
      <w:proofErr w:type="spellEnd"/>
      <w:r w:rsidRPr="001C3EC8">
        <w:rPr>
          <w:color w:val="000000" w:themeColor="text1"/>
        </w:rPr>
        <w:t xml:space="preserve"> nebo ve statistických ročenkách.</w:t>
      </w:r>
    </w:p>
    <w:p w14:paraId="0C85021D" w14:textId="77777777" w:rsidR="008430BD" w:rsidRPr="001C3EC8" w:rsidRDefault="008430BD" w:rsidP="008430BD">
      <w:pPr>
        <w:pStyle w:val="Nadpis3"/>
        <w:numPr>
          <w:ilvl w:val="2"/>
          <w:numId w:val="1"/>
        </w:numPr>
        <w:rPr>
          <w:color w:val="000000" w:themeColor="text1"/>
        </w:rPr>
      </w:pPr>
      <w:bookmarkStart w:id="196" w:name="_Toc487791235"/>
      <w:bookmarkStart w:id="197" w:name="_Toc515871231"/>
      <w:bookmarkStart w:id="198" w:name="_Toc75952067"/>
      <w:r w:rsidRPr="001C3EC8">
        <w:rPr>
          <w:color w:val="000000" w:themeColor="text1"/>
        </w:rPr>
        <w:t>Délka řízení</w:t>
      </w:r>
      <w:bookmarkEnd w:id="196"/>
      <w:bookmarkEnd w:id="197"/>
      <w:bookmarkEnd w:id="198"/>
    </w:p>
    <w:p w14:paraId="65AECAA8" w14:textId="76B2F6DB" w:rsidR="008430BD" w:rsidRPr="001C3EC8" w:rsidRDefault="008430BD" w:rsidP="008430BD">
      <w:pPr>
        <w:pStyle w:val="OdstavecASR"/>
        <w:rPr>
          <w:color w:val="000000" w:themeColor="text1"/>
        </w:rPr>
      </w:pPr>
      <w:r w:rsidRPr="001C3EC8">
        <w:rPr>
          <w:color w:val="000000" w:themeColor="text1"/>
        </w:rPr>
        <w:t xml:space="preserve">Platí stejné poznámky jako u civilního řízení, délku řízení tedy zjišťujeme ze statistických listů a uvádíme ji v kalendářních dnech ode dne nápadu do dne konečného rozhodnutí soudem </w:t>
      </w:r>
      <w:r w:rsidR="000C3B1E">
        <w:rPr>
          <w:color w:val="000000" w:themeColor="text1"/>
        </w:rPr>
        <w:t>I. stupně</w:t>
      </w:r>
      <w:r w:rsidRPr="001C3EC8">
        <w:rPr>
          <w:color w:val="000000" w:themeColor="text1"/>
        </w:rPr>
        <w:t>.</w:t>
      </w:r>
    </w:p>
    <w:p w14:paraId="7DA16ABD" w14:textId="6007A6D0" w:rsidR="008430BD" w:rsidRPr="001C3EC8" w:rsidRDefault="008430BD" w:rsidP="008430BD">
      <w:pPr>
        <w:pStyle w:val="Podnadpis"/>
        <w:rPr>
          <w:color w:val="000000" w:themeColor="text1"/>
        </w:rPr>
      </w:pPr>
      <w:bookmarkStart w:id="199" w:name="_Ref510007164"/>
      <w:bookmarkStart w:id="200" w:name="_Ref510007159"/>
      <w:bookmarkStart w:id="201" w:name="_Toc515871349"/>
      <w:bookmarkStart w:id="202" w:name="_Toc11135084"/>
      <w:bookmarkStart w:id="203" w:name="_Toc43841400"/>
      <w:bookmarkStart w:id="204" w:name="_Toc75952202"/>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22</w:t>
      </w:r>
      <w:r w:rsidRPr="001C3EC8">
        <w:rPr>
          <w:noProof/>
          <w:color w:val="000000" w:themeColor="text1"/>
        </w:rPr>
        <w:fldChar w:fldCharType="end"/>
      </w:r>
      <w:bookmarkEnd w:id="199"/>
      <w:r w:rsidRPr="001C3EC8">
        <w:rPr>
          <w:color w:val="000000" w:themeColor="text1"/>
        </w:rPr>
        <w:t>: OS – délka trestního řízení v letech 2008–20</w:t>
      </w:r>
      <w:bookmarkEnd w:id="200"/>
      <w:bookmarkEnd w:id="201"/>
      <w:bookmarkEnd w:id="202"/>
      <w:bookmarkEnd w:id="203"/>
      <w:r w:rsidR="003845F0">
        <w:rPr>
          <w:color w:val="000000" w:themeColor="text1"/>
        </w:rPr>
        <w:t>20</w:t>
      </w:r>
      <w:bookmarkEnd w:id="204"/>
    </w:p>
    <w:p w14:paraId="3488E174"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71BDB225" wp14:editId="15681966">
            <wp:extent cx="5115560" cy="3743960"/>
            <wp:effectExtent l="0" t="0" r="0" b="889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23DDE4F" w14:textId="77777777" w:rsidR="008430BD" w:rsidRPr="001C3EC8" w:rsidRDefault="008430BD" w:rsidP="008430BD">
      <w:pPr>
        <w:pStyle w:val="OdstavecASR"/>
        <w:rPr>
          <w:color w:val="000000" w:themeColor="text1"/>
        </w:rPr>
      </w:pPr>
    </w:p>
    <w:p w14:paraId="1A8634E6" w14:textId="463EE1EE" w:rsidR="008430BD" w:rsidRPr="001C3EC8" w:rsidRDefault="008430BD" w:rsidP="008430BD">
      <w:pPr>
        <w:pStyle w:val="OdstavecASR"/>
        <w:rPr>
          <w:color w:val="000000" w:themeColor="text1"/>
        </w:rPr>
      </w:pPr>
      <w:r w:rsidRPr="001C3EC8">
        <w:rPr>
          <w:color w:val="000000" w:themeColor="text1"/>
        </w:rPr>
        <w:t xml:space="preserve">Z grafu je patrné, že ve zkoumaném období byly délky řízení největší v roce 2008. Od roku 2010 jsou velmi stabilní s tím, že od roku 2015 se vyřízení věci začalo opět postupně prodlužovat a věci „stárnou“ (viz mírné zvyšování percentilu 90, což znamená, že </w:t>
      </w:r>
      <w:r w:rsidR="006579E3" w:rsidRPr="001C3EC8">
        <w:rPr>
          <w:color w:val="000000" w:themeColor="text1"/>
        </w:rPr>
        <w:t>u</w:t>
      </w:r>
      <w:r w:rsidR="006579E3">
        <w:rPr>
          <w:color w:val="000000" w:themeColor="text1"/>
        </w:rPr>
        <w:t> </w:t>
      </w:r>
      <w:r w:rsidRPr="001C3EC8">
        <w:rPr>
          <w:color w:val="000000" w:themeColor="text1"/>
        </w:rPr>
        <w:t xml:space="preserve">10 % nejdelších věcí se zvýšila délka projednávání ze 460 dnů v roce 2015 na 504 dnů v roce 2018, tj. </w:t>
      </w:r>
      <w:r w:rsidR="006579E3" w:rsidRPr="001C3EC8">
        <w:rPr>
          <w:color w:val="000000" w:themeColor="text1"/>
        </w:rPr>
        <w:t>o</w:t>
      </w:r>
      <w:r w:rsidR="006579E3">
        <w:rPr>
          <w:color w:val="000000" w:themeColor="text1"/>
        </w:rPr>
        <w:t> </w:t>
      </w:r>
      <w:r w:rsidRPr="001C3EC8">
        <w:rPr>
          <w:color w:val="000000" w:themeColor="text1"/>
        </w:rPr>
        <w:t xml:space="preserve">10 %). V roce 2019 percentil 90 ale opět klesl. Zaujme velký rozdíl mezi průměrem a mediánem. Průměrná délka řízení je více než dvojnásobná, než je mediánová délka řízení. To naznačuje, že existuje malá skupina řízení, která se oproti standardu velmi dlouho „táhnou“, což je stav, který trvá po celé vykazované </w:t>
      </w:r>
      <w:r w:rsidRPr="001C3EC8">
        <w:rPr>
          <w:color w:val="000000" w:themeColor="text1"/>
        </w:rPr>
        <w:lastRenderedPageBreak/>
        <w:t xml:space="preserve">období 2008–2020. Tuto domněnku potvrzuje i poměrně vysoký percentil 90. Tento jev můžeme pozorovat i u civilního řízení, kde je nicméně o něco méně výrazný. V roce 2020 došlo k mírnému růstu délek řízení, nicméně jde jen </w:t>
      </w:r>
      <w:r w:rsidR="006579E3" w:rsidRPr="001C3EC8">
        <w:rPr>
          <w:color w:val="000000" w:themeColor="text1"/>
        </w:rPr>
        <w:t>o</w:t>
      </w:r>
      <w:r w:rsidR="006579E3">
        <w:rPr>
          <w:color w:val="000000" w:themeColor="text1"/>
        </w:rPr>
        <w:t> </w:t>
      </w:r>
      <w:r w:rsidRPr="001C3EC8">
        <w:rPr>
          <w:color w:val="000000" w:themeColor="text1"/>
        </w:rPr>
        <w:t xml:space="preserve">velmi malou změnu </w:t>
      </w:r>
      <w:r w:rsidR="006579E3" w:rsidRPr="001C3EC8">
        <w:rPr>
          <w:color w:val="000000" w:themeColor="text1"/>
        </w:rPr>
        <w:t>a</w:t>
      </w:r>
      <w:r w:rsidR="006579E3">
        <w:rPr>
          <w:color w:val="000000" w:themeColor="text1"/>
        </w:rPr>
        <w:t> </w:t>
      </w:r>
      <w:r w:rsidRPr="001C3EC8">
        <w:rPr>
          <w:color w:val="000000" w:themeColor="text1"/>
        </w:rPr>
        <w:t xml:space="preserve">nelze říct, že by tato statistika naznačovala zhoršení situace v trestním soudnictví. Zdá se, že pandemie </w:t>
      </w:r>
      <w:r w:rsidR="000C3B1E">
        <w:rPr>
          <w:color w:val="000000" w:themeColor="text1"/>
        </w:rPr>
        <w:t>COVID</w:t>
      </w:r>
      <w:r w:rsidR="000C3B1E">
        <w:rPr>
          <w:color w:val="000000" w:themeColor="text1"/>
        </w:rPr>
        <w:noBreakHyphen/>
        <w:t>19</w:t>
      </w:r>
      <w:r w:rsidRPr="001C3EC8">
        <w:rPr>
          <w:color w:val="000000" w:themeColor="text1"/>
        </w:rPr>
        <w:t xml:space="preserve"> vykazovan</w:t>
      </w:r>
      <w:r w:rsidR="006E235D" w:rsidRPr="001C3EC8">
        <w:rPr>
          <w:color w:val="000000" w:themeColor="text1"/>
        </w:rPr>
        <w:t>ou</w:t>
      </w:r>
      <w:r w:rsidRPr="001C3EC8">
        <w:rPr>
          <w:color w:val="000000" w:themeColor="text1"/>
        </w:rPr>
        <w:t xml:space="preserve"> délku řízení v zásadě neovlivnila.</w:t>
      </w:r>
    </w:p>
    <w:p w14:paraId="29A817E0" w14:textId="5BBA8559" w:rsidR="008430BD" w:rsidRPr="001C3EC8" w:rsidRDefault="008430BD" w:rsidP="008430BD">
      <w:pPr>
        <w:pStyle w:val="Podnadpis"/>
        <w:rPr>
          <w:rFonts w:ascii="Calibri" w:hAnsi="Calibri"/>
          <w:color w:val="000000" w:themeColor="text1"/>
          <w:sz w:val="20"/>
          <w:szCs w:val="20"/>
          <w:lang w:eastAsia="cs-CZ"/>
        </w:rPr>
      </w:pPr>
      <w:bookmarkStart w:id="205" w:name="_Ref510084261"/>
      <w:bookmarkStart w:id="206" w:name="_Ref510084255"/>
      <w:bookmarkStart w:id="207" w:name="_Toc515871451"/>
      <w:bookmarkStart w:id="208" w:name="_Toc11133219"/>
      <w:bookmarkStart w:id="209" w:name="_Toc43931193"/>
      <w:bookmarkStart w:id="210" w:name="_Toc75952323"/>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20</w:t>
      </w:r>
      <w:r w:rsidRPr="001C3EC8">
        <w:rPr>
          <w:noProof/>
          <w:color w:val="000000" w:themeColor="text1"/>
        </w:rPr>
        <w:fldChar w:fldCharType="end"/>
      </w:r>
      <w:bookmarkEnd w:id="205"/>
      <w:r w:rsidRPr="001C3EC8">
        <w:rPr>
          <w:color w:val="000000" w:themeColor="text1"/>
        </w:rPr>
        <w:t>: OS – délky trestního řízení dle krajů</w:t>
      </w:r>
      <w:bookmarkEnd w:id="206"/>
      <w:bookmarkEnd w:id="207"/>
      <w:bookmarkEnd w:id="208"/>
      <w:bookmarkEnd w:id="209"/>
      <w:bookmarkEnd w:id="210"/>
    </w:p>
    <w:tbl>
      <w:tblPr>
        <w:tblW w:w="8920" w:type="dxa"/>
        <w:tblCellMar>
          <w:left w:w="70" w:type="dxa"/>
          <w:right w:w="70" w:type="dxa"/>
        </w:tblCellMar>
        <w:tblLook w:val="04A0" w:firstRow="1" w:lastRow="0" w:firstColumn="1" w:lastColumn="0" w:noHBand="0" w:noVBand="1"/>
      </w:tblPr>
      <w:tblGrid>
        <w:gridCol w:w="2440"/>
        <w:gridCol w:w="851"/>
        <w:gridCol w:w="1309"/>
        <w:gridCol w:w="851"/>
        <w:gridCol w:w="1309"/>
        <w:gridCol w:w="851"/>
        <w:gridCol w:w="1309"/>
      </w:tblGrid>
      <w:tr w:rsidR="008430BD" w:rsidRPr="001C3EC8" w14:paraId="7969BB1D" w14:textId="77777777" w:rsidTr="00E077F3">
        <w:trPr>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14:paraId="30A8BF5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54C0898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5DD143FE" w14:textId="77777777" w:rsidTr="00E077F3">
        <w:trPr>
          <w:trHeight w:val="330"/>
        </w:trPr>
        <w:tc>
          <w:tcPr>
            <w:tcW w:w="2440" w:type="dxa"/>
            <w:vMerge/>
            <w:tcBorders>
              <w:top w:val="double" w:sz="6" w:space="0" w:color="auto"/>
              <w:left w:val="nil"/>
              <w:bottom w:val="double" w:sz="6" w:space="0" w:color="000000"/>
              <w:right w:val="nil"/>
            </w:tcBorders>
            <w:vAlign w:val="center"/>
            <w:hideMark/>
          </w:tcPr>
          <w:p w14:paraId="683C4005"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6A70DCA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6CDCE8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14:paraId="2079056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7DC5F552" w14:textId="77777777" w:rsidTr="00E077F3">
        <w:trPr>
          <w:trHeight w:val="330"/>
        </w:trPr>
        <w:tc>
          <w:tcPr>
            <w:tcW w:w="2440" w:type="dxa"/>
            <w:tcBorders>
              <w:top w:val="single" w:sz="4" w:space="0" w:color="auto"/>
              <w:left w:val="nil"/>
              <w:bottom w:val="single" w:sz="4" w:space="0" w:color="auto"/>
              <w:right w:val="nil"/>
            </w:tcBorders>
            <w:shd w:val="clear" w:color="auto" w:fill="auto"/>
            <w:noWrap/>
            <w:vAlign w:val="bottom"/>
            <w:hideMark/>
          </w:tcPr>
          <w:p w14:paraId="402A3F9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51" w:type="dxa"/>
            <w:tcBorders>
              <w:top w:val="single" w:sz="4" w:space="0" w:color="auto"/>
              <w:left w:val="nil"/>
              <w:bottom w:val="single" w:sz="4" w:space="0" w:color="auto"/>
              <w:right w:val="nil"/>
            </w:tcBorders>
            <w:shd w:val="clear" w:color="auto" w:fill="auto"/>
            <w:noWrap/>
            <w:vAlign w:val="bottom"/>
            <w:hideMark/>
          </w:tcPr>
          <w:p w14:paraId="2FD749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176</w:t>
            </w:r>
          </w:p>
        </w:tc>
        <w:tc>
          <w:tcPr>
            <w:tcW w:w="1309" w:type="dxa"/>
            <w:tcBorders>
              <w:top w:val="single" w:sz="4" w:space="0" w:color="auto"/>
              <w:left w:val="nil"/>
              <w:bottom w:val="single" w:sz="4" w:space="0" w:color="auto"/>
              <w:right w:val="nil"/>
            </w:tcBorders>
            <w:shd w:val="clear" w:color="auto" w:fill="auto"/>
            <w:noWrap/>
            <w:vAlign w:val="center"/>
            <w:hideMark/>
          </w:tcPr>
          <w:p w14:paraId="7136CFD4" w14:textId="44FC22D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5ECFE5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w:t>
            </w:r>
          </w:p>
        </w:tc>
        <w:tc>
          <w:tcPr>
            <w:tcW w:w="1309" w:type="dxa"/>
            <w:tcBorders>
              <w:top w:val="nil"/>
              <w:left w:val="nil"/>
              <w:bottom w:val="single" w:sz="4" w:space="0" w:color="auto"/>
              <w:right w:val="single" w:sz="4" w:space="0" w:color="auto"/>
            </w:tcBorders>
            <w:shd w:val="clear" w:color="auto" w:fill="auto"/>
            <w:noWrap/>
            <w:vAlign w:val="center"/>
            <w:hideMark/>
          </w:tcPr>
          <w:p w14:paraId="68954EFE" w14:textId="6FCCA43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851" w:type="dxa"/>
            <w:tcBorders>
              <w:top w:val="single" w:sz="4" w:space="0" w:color="auto"/>
              <w:left w:val="nil"/>
              <w:bottom w:val="single" w:sz="4" w:space="0" w:color="auto"/>
              <w:right w:val="nil"/>
            </w:tcBorders>
            <w:shd w:val="clear" w:color="auto" w:fill="auto"/>
            <w:noWrap/>
            <w:vAlign w:val="bottom"/>
            <w:hideMark/>
          </w:tcPr>
          <w:p w14:paraId="43044EB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390</w:t>
            </w:r>
          </w:p>
        </w:tc>
        <w:tc>
          <w:tcPr>
            <w:tcW w:w="1309" w:type="dxa"/>
            <w:tcBorders>
              <w:top w:val="single" w:sz="4" w:space="0" w:color="auto"/>
              <w:left w:val="nil"/>
              <w:bottom w:val="single" w:sz="4" w:space="0" w:color="auto"/>
              <w:right w:val="nil"/>
            </w:tcBorders>
            <w:shd w:val="clear" w:color="auto" w:fill="auto"/>
            <w:noWrap/>
            <w:vAlign w:val="center"/>
            <w:hideMark/>
          </w:tcPr>
          <w:p w14:paraId="174CF0FE" w14:textId="5BDB326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05A6AA16" w14:textId="77777777" w:rsidTr="00E077F3">
        <w:trPr>
          <w:trHeight w:val="315"/>
        </w:trPr>
        <w:tc>
          <w:tcPr>
            <w:tcW w:w="2440" w:type="dxa"/>
            <w:tcBorders>
              <w:top w:val="nil"/>
              <w:left w:val="nil"/>
              <w:bottom w:val="single" w:sz="4" w:space="0" w:color="auto"/>
              <w:right w:val="nil"/>
            </w:tcBorders>
            <w:shd w:val="clear" w:color="auto" w:fill="auto"/>
            <w:noWrap/>
            <w:vAlign w:val="bottom"/>
            <w:hideMark/>
          </w:tcPr>
          <w:p w14:paraId="2E613BB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51" w:type="dxa"/>
            <w:tcBorders>
              <w:top w:val="nil"/>
              <w:left w:val="nil"/>
              <w:bottom w:val="single" w:sz="4" w:space="0" w:color="auto"/>
              <w:right w:val="nil"/>
            </w:tcBorders>
            <w:shd w:val="clear" w:color="auto" w:fill="auto"/>
            <w:noWrap/>
            <w:vAlign w:val="bottom"/>
            <w:hideMark/>
          </w:tcPr>
          <w:p w14:paraId="633C5E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w:t>
            </w:r>
          </w:p>
        </w:tc>
        <w:tc>
          <w:tcPr>
            <w:tcW w:w="1309" w:type="dxa"/>
            <w:tcBorders>
              <w:top w:val="nil"/>
              <w:left w:val="nil"/>
              <w:bottom w:val="single" w:sz="4" w:space="0" w:color="auto"/>
              <w:right w:val="nil"/>
            </w:tcBorders>
            <w:shd w:val="clear" w:color="auto" w:fill="auto"/>
            <w:noWrap/>
            <w:vAlign w:val="center"/>
            <w:hideMark/>
          </w:tcPr>
          <w:p w14:paraId="1DFE727B" w14:textId="0D876EE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457AA3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w:t>
            </w:r>
          </w:p>
        </w:tc>
        <w:tc>
          <w:tcPr>
            <w:tcW w:w="1309" w:type="dxa"/>
            <w:tcBorders>
              <w:top w:val="nil"/>
              <w:left w:val="nil"/>
              <w:bottom w:val="single" w:sz="4" w:space="0" w:color="auto"/>
              <w:right w:val="single" w:sz="4" w:space="0" w:color="auto"/>
            </w:tcBorders>
            <w:shd w:val="clear" w:color="auto" w:fill="auto"/>
            <w:noWrap/>
            <w:vAlign w:val="center"/>
            <w:hideMark/>
          </w:tcPr>
          <w:p w14:paraId="0CCF6AFF" w14:textId="2F0334B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0C4870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334</w:t>
            </w:r>
          </w:p>
        </w:tc>
        <w:tc>
          <w:tcPr>
            <w:tcW w:w="1309" w:type="dxa"/>
            <w:tcBorders>
              <w:top w:val="nil"/>
              <w:left w:val="nil"/>
              <w:bottom w:val="single" w:sz="4" w:space="0" w:color="auto"/>
              <w:right w:val="nil"/>
            </w:tcBorders>
            <w:shd w:val="clear" w:color="auto" w:fill="auto"/>
            <w:noWrap/>
            <w:vAlign w:val="center"/>
            <w:hideMark/>
          </w:tcPr>
          <w:p w14:paraId="5214DE72" w14:textId="5A1397A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8430BD" w:rsidRPr="001C3EC8" w14:paraId="4138119A" w14:textId="77777777" w:rsidTr="00E077F3">
        <w:trPr>
          <w:trHeight w:val="315"/>
        </w:trPr>
        <w:tc>
          <w:tcPr>
            <w:tcW w:w="2440" w:type="dxa"/>
            <w:tcBorders>
              <w:top w:val="nil"/>
              <w:left w:val="nil"/>
              <w:bottom w:val="single" w:sz="4" w:space="0" w:color="auto"/>
              <w:right w:val="nil"/>
            </w:tcBorders>
            <w:shd w:val="clear" w:color="auto" w:fill="auto"/>
            <w:noWrap/>
            <w:vAlign w:val="bottom"/>
            <w:hideMark/>
          </w:tcPr>
          <w:p w14:paraId="65D7CC5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51" w:type="dxa"/>
            <w:tcBorders>
              <w:top w:val="nil"/>
              <w:left w:val="nil"/>
              <w:bottom w:val="single" w:sz="4" w:space="0" w:color="auto"/>
              <w:right w:val="nil"/>
            </w:tcBorders>
            <w:shd w:val="clear" w:color="auto" w:fill="auto"/>
            <w:noWrap/>
            <w:vAlign w:val="bottom"/>
            <w:hideMark/>
          </w:tcPr>
          <w:p w14:paraId="22C6B78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177</w:t>
            </w:r>
          </w:p>
        </w:tc>
        <w:tc>
          <w:tcPr>
            <w:tcW w:w="1309" w:type="dxa"/>
            <w:tcBorders>
              <w:top w:val="nil"/>
              <w:left w:val="nil"/>
              <w:bottom w:val="single" w:sz="4" w:space="0" w:color="auto"/>
              <w:right w:val="nil"/>
            </w:tcBorders>
            <w:shd w:val="clear" w:color="auto" w:fill="auto"/>
            <w:noWrap/>
            <w:vAlign w:val="center"/>
            <w:hideMark/>
          </w:tcPr>
          <w:p w14:paraId="3C7B063D" w14:textId="6143E59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56AB305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w:t>
            </w:r>
          </w:p>
        </w:tc>
        <w:tc>
          <w:tcPr>
            <w:tcW w:w="1309" w:type="dxa"/>
            <w:tcBorders>
              <w:top w:val="nil"/>
              <w:left w:val="nil"/>
              <w:bottom w:val="single" w:sz="4" w:space="0" w:color="auto"/>
              <w:right w:val="single" w:sz="4" w:space="0" w:color="auto"/>
            </w:tcBorders>
            <w:shd w:val="clear" w:color="auto" w:fill="auto"/>
            <w:noWrap/>
            <w:vAlign w:val="center"/>
            <w:hideMark/>
          </w:tcPr>
          <w:p w14:paraId="006A862D" w14:textId="7D1A6B1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11AA16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384</w:t>
            </w:r>
          </w:p>
        </w:tc>
        <w:tc>
          <w:tcPr>
            <w:tcW w:w="1309" w:type="dxa"/>
            <w:tcBorders>
              <w:top w:val="nil"/>
              <w:left w:val="nil"/>
              <w:bottom w:val="single" w:sz="4" w:space="0" w:color="auto"/>
              <w:right w:val="nil"/>
            </w:tcBorders>
            <w:shd w:val="clear" w:color="auto" w:fill="auto"/>
            <w:noWrap/>
            <w:vAlign w:val="center"/>
            <w:hideMark/>
          </w:tcPr>
          <w:p w14:paraId="452F435D" w14:textId="082B1F2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8430BD" w:rsidRPr="001C3EC8" w14:paraId="5644250C" w14:textId="77777777" w:rsidTr="00E077F3">
        <w:trPr>
          <w:trHeight w:val="315"/>
        </w:trPr>
        <w:tc>
          <w:tcPr>
            <w:tcW w:w="2440" w:type="dxa"/>
            <w:tcBorders>
              <w:top w:val="nil"/>
              <w:left w:val="nil"/>
              <w:bottom w:val="single" w:sz="4" w:space="0" w:color="auto"/>
              <w:right w:val="nil"/>
            </w:tcBorders>
            <w:shd w:val="clear" w:color="auto" w:fill="auto"/>
            <w:noWrap/>
            <w:vAlign w:val="bottom"/>
            <w:hideMark/>
          </w:tcPr>
          <w:p w14:paraId="1F0815C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51" w:type="dxa"/>
            <w:tcBorders>
              <w:top w:val="nil"/>
              <w:left w:val="nil"/>
              <w:bottom w:val="single" w:sz="4" w:space="0" w:color="auto"/>
              <w:right w:val="nil"/>
            </w:tcBorders>
            <w:shd w:val="clear" w:color="auto" w:fill="auto"/>
            <w:noWrap/>
            <w:vAlign w:val="bottom"/>
            <w:hideMark/>
          </w:tcPr>
          <w:p w14:paraId="1437CB5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224</w:t>
            </w:r>
          </w:p>
        </w:tc>
        <w:tc>
          <w:tcPr>
            <w:tcW w:w="1309" w:type="dxa"/>
            <w:tcBorders>
              <w:top w:val="nil"/>
              <w:left w:val="nil"/>
              <w:bottom w:val="single" w:sz="4" w:space="0" w:color="auto"/>
              <w:right w:val="nil"/>
            </w:tcBorders>
            <w:shd w:val="clear" w:color="auto" w:fill="auto"/>
            <w:noWrap/>
            <w:vAlign w:val="center"/>
            <w:hideMark/>
          </w:tcPr>
          <w:p w14:paraId="3B814304" w14:textId="4200BBB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68F4CB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108</w:t>
            </w:r>
          </w:p>
        </w:tc>
        <w:tc>
          <w:tcPr>
            <w:tcW w:w="1309" w:type="dxa"/>
            <w:tcBorders>
              <w:top w:val="nil"/>
              <w:left w:val="nil"/>
              <w:bottom w:val="single" w:sz="4" w:space="0" w:color="auto"/>
              <w:right w:val="single" w:sz="4" w:space="0" w:color="auto"/>
            </w:tcBorders>
            <w:shd w:val="clear" w:color="auto" w:fill="auto"/>
            <w:noWrap/>
            <w:vAlign w:val="center"/>
            <w:hideMark/>
          </w:tcPr>
          <w:p w14:paraId="1240AE13" w14:textId="5BD90AB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5662DA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536</w:t>
            </w:r>
          </w:p>
        </w:tc>
        <w:tc>
          <w:tcPr>
            <w:tcW w:w="1309" w:type="dxa"/>
            <w:tcBorders>
              <w:top w:val="nil"/>
              <w:left w:val="nil"/>
              <w:bottom w:val="single" w:sz="4" w:space="0" w:color="auto"/>
              <w:right w:val="nil"/>
            </w:tcBorders>
            <w:shd w:val="clear" w:color="auto" w:fill="auto"/>
            <w:noWrap/>
            <w:vAlign w:val="center"/>
            <w:hideMark/>
          </w:tcPr>
          <w:p w14:paraId="295FAB87" w14:textId="54B8565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8430BD" w:rsidRPr="001C3EC8" w14:paraId="4A713975" w14:textId="77777777" w:rsidTr="00E077F3">
        <w:trPr>
          <w:trHeight w:val="315"/>
        </w:trPr>
        <w:tc>
          <w:tcPr>
            <w:tcW w:w="2440" w:type="dxa"/>
            <w:tcBorders>
              <w:top w:val="nil"/>
              <w:left w:val="nil"/>
              <w:bottom w:val="single" w:sz="4" w:space="0" w:color="auto"/>
              <w:right w:val="nil"/>
            </w:tcBorders>
            <w:shd w:val="clear" w:color="auto" w:fill="auto"/>
            <w:noWrap/>
            <w:vAlign w:val="bottom"/>
            <w:hideMark/>
          </w:tcPr>
          <w:p w14:paraId="0F4E106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51" w:type="dxa"/>
            <w:tcBorders>
              <w:top w:val="nil"/>
              <w:left w:val="nil"/>
              <w:bottom w:val="single" w:sz="4" w:space="0" w:color="auto"/>
              <w:right w:val="nil"/>
            </w:tcBorders>
            <w:shd w:val="clear" w:color="auto" w:fill="auto"/>
            <w:noWrap/>
            <w:vAlign w:val="bottom"/>
            <w:hideMark/>
          </w:tcPr>
          <w:p w14:paraId="40D73CF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293</w:t>
            </w:r>
          </w:p>
        </w:tc>
        <w:tc>
          <w:tcPr>
            <w:tcW w:w="1309" w:type="dxa"/>
            <w:tcBorders>
              <w:top w:val="nil"/>
              <w:left w:val="nil"/>
              <w:bottom w:val="single" w:sz="4" w:space="0" w:color="auto"/>
              <w:right w:val="nil"/>
            </w:tcBorders>
            <w:shd w:val="clear" w:color="auto" w:fill="auto"/>
            <w:noWrap/>
            <w:vAlign w:val="center"/>
            <w:hideMark/>
          </w:tcPr>
          <w:p w14:paraId="1C4AC6DE" w14:textId="207CB6C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7BBC052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132</w:t>
            </w:r>
          </w:p>
        </w:tc>
        <w:tc>
          <w:tcPr>
            <w:tcW w:w="1309" w:type="dxa"/>
            <w:tcBorders>
              <w:top w:val="nil"/>
              <w:left w:val="nil"/>
              <w:bottom w:val="single" w:sz="4" w:space="0" w:color="auto"/>
              <w:right w:val="single" w:sz="4" w:space="0" w:color="auto"/>
            </w:tcBorders>
            <w:shd w:val="clear" w:color="auto" w:fill="auto"/>
            <w:noWrap/>
            <w:vAlign w:val="center"/>
            <w:hideMark/>
          </w:tcPr>
          <w:p w14:paraId="771E35C1" w14:textId="3EE1C28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5D011AB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756</w:t>
            </w:r>
          </w:p>
        </w:tc>
        <w:tc>
          <w:tcPr>
            <w:tcW w:w="1309" w:type="dxa"/>
            <w:tcBorders>
              <w:top w:val="nil"/>
              <w:left w:val="nil"/>
              <w:bottom w:val="single" w:sz="4" w:space="0" w:color="auto"/>
              <w:right w:val="nil"/>
            </w:tcBorders>
            <w:shd w:val="clear" w:color="auto" w:fill="auto"/>
            <w:noWrap/>
            <w:vAlign w:val="center"/>
            <w:hideMark/>
          </w:tcPr>
          <w:p w14:paraId="0E6B6E40" w14:textId="31FDDA2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19585704" w14:textId="77777777" w:rsidTr="00E077F3">
        <w:trPr>
          <w:trHeight w:val="315"/>
        </w:trPr>
        <w:tc>
          <w:tcPr>
            <w:tcW w:w="2440" w:type="dxa"/>
            <w:tcBorders>
              <w:top w:val="nil"/>
              <w:left w:val="nil"/>
              <w:bottom w:val="single" w:sz="4" w:space="0" w:color="auto"/>
              <w:right w:val="nil"/>
            </w:tcBorders>
            <w:shd w:val="clear" w:color="auto" w:fill="auto"/>
            <w:noWrap/>
            <w:vAlign w:val="bottom"/>
            <w:hideMark/>
          </w:tcPr>
          <w:p w14:paraId="74B61DC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51" w:type="dxa"/>
            <w:tcBorders>
              <w:top w:val="nil"/>
              <w:left w:val="nil"/>
              <w:bottom w:val="single" w:sz="4" w:space="0" w:color="auto"/>
              <w:right w:val="nil"/>
            </w:tcBorders>
            <w:shd w:val="clear" w:color="auto" w:fill="auto"/>
            <w:noWrap/>
            <w:vAlign w:val="bottom"/>
            <w:hideMark/>
          </w:tcPr>
          <w:p w14:paraId="09A191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126</w:t>
            </w:r>
          </w:p>
        </w:tc>
        <w:tc>
          <w:tcPr>
            <w:tcW w:w="1309" w:type="dxa"/>
            <w:tcBorders>
              <w:top w:val="nil"/>
              <w:left w:val="nil"/>
              <w:bottom w:val="single" w:sz="4" w:space="0" w:color="auto"/>
              <w:right w:val="nil"/>
            </w:tcBorders>
            <w:shd w:val="clear" w:color="auto" w:fill="auto"/>
            <w:noWrap/>
            <w:vAlign w:val="center"/>
            <w:hideMark/>
          </w:tcPr>
          <w:p w14:paraId="16586B91" w14:textId="27D0FE7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592361C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73</w:t>
            </w:r>
          </w:p>
        </w:tc>
        <w:tc>
          <w:tcPr>
            <w:tcW w:w="1309" w:type="dxa"/>
            <w:tcBorders>
              <w:top w:val="nil"/>
              <w:left w:val="nil"/>
              <w:bottom w:val="single" w:sz="4" w:space="0" w:color="auto"/>
              <w:right w:val="single" w:sz="4" w:space="0" w:color="auto"/>
            </w:tcBorders>
            <w:shd w:val="clear" w:color="auto" w:fill="auto"/>
            <w:noWrap/>
            <w:vAlign w:val="center"/>
            <w:hideMark/>
          </w:tcPr>
          <w:p w14:paraId="3D6A1F47" w14:textId="0892068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2B3EAB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270</w:t>
            </w:r>
          </w:p>
        </w:tc>
        <w:tc>
          <w:tcPr>
            <w:tcW w:w="1309" w:type="dxa"/>
            <w:tcBorders>
              <w:top w:val="nil"/>
              <w:left w:val="nil"/>
              <w:bottom w:val="single" w:sz="4" w:space="0" w:color="auto"/>
              <w:right w:val="nil"/>
            </w:tcBorders>
            <w:shd w:val="clear" w:color="auto" w:fill="auto"/>
            <w:noWrap/>
            <w:vAlign w:val="center"/>
            <w:hideMark/>
          </w:tcPr>
          <w:p w14:paraId="1E435D20" w14:textId="701ACA2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8430BD" w:rsidRPr="001C3EC8" w14:paraId="35FEEC3D" w14:textId="77777777" w:rsidTr="00E077F3">
        <w:trPr>
          <w:trHeight w:val="315"/>
        </w:trPr>
        <w:tc>
          <w:tcPr>
            <w:tcW w:w="2440" w:type="dxa"/>
            <w:tcBorders>
              <w:top w:val="nil"/>
              <w:left w:val="nil"/>
              <w:bottom w:val="single" w:sz="4" w:space="0" w:color="auto"/>
              <w:right w:val="nil"/>
            </w:tcBorders>
            <w:shd w:val="clear" w:color="auto" w:fill="auto"/>
            <w:noWrap/>
            <w:vAlign w:val="bottom"/>
            <w:hideMark/>
          </w:tcPr>
          <w:p w14:paraId="6D0EE56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51" w:type="dxa"/>
            <w:tcBorders>
              <w:top w:val="nil"/>
              <w:left w:val="nil"/>
              <w:bottom w:val="single" w:sz="4" w:space="0" w:color="auto"/>
              <w:right w:val="nil"/>
            </w:tcBorders>
            <w:shd w:val="clear" w:color="auto" w:fill="auto"/>
            <w:noWrap/>
            <w:vAlign w:val="bottom"/>
            <w:hideMark/>
          </w:tcPr>
          <w:p w14:paraId="6F82AB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172</w:t>
            </w:r>
          </w:p>
        </w:tc>
        <w:tc>
          <w:tcPr>
            <w:tcW w:w="1309" w:type="dxa"/>
            <w:tcBorders>
              <w:top w:val="nil"/>
              <w:left w:val="nil"/>
              <w:bottom w:val="single" w:sz="4" w:space="0" w:color="auto"/>
              <w:right w:val="nil"/>
            </w:tcBorders>
            <w:shd w:val="clear" w:color="auto" w:fill="auto"/>
            <w:noWrap/>
            <w:vAlign w:val="center"/>
            <w:hideMark/>
          </w:tcPr>
          <w:p w14:paraId="02FB4C76" w14:textId="69E4B44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851" w:type="dxa"/>
            <w:tcBorders>
              <w:top w:val="nil"/>
              <w:left w:val="single" w:sz="4" w:space="0" w:color="auto"/>
              <w:bottom w:val="single" w:sz="4" w:space="0" w:color="auto"/>
              <w:right w:val="nil"/>
            </w:tcBorders>
            <w:shd w:val="clear" w:color="auto" w:fill="auto"/>
            <w:noWrap/>
            <w:vAlign w:val="bottom"/>
            <w:hideMark/>
          </w:tcPr>
          <w:p w14:paraId="7DB10C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w:t>
            </w:r>
          </w:p>
        </w:tc>
        <w:tc>
          <w:tcPr>
            <w:tcW w:w="1309" w:type="dxa"/>
            <w:tcBorders>
              <w:top w:val="nil"/>
              <w:left w:val="nil"/>
              <w:bottom w:val="single" w:sz="4" w:space="0" w:color="auto"/>
              <w:right w:val="single" w:sz="4" w:space="0" w:color="auto"/>
            </w:tcBorders>
            <w:shd w:val="clear" w:color="auto" w:fill="auto"/>
            <w:noWrap/>
            <w:vAlign w:val="center"/>
            <w:hideMark/>
          </w:tcPr>
          <w:p w14:paraId="0C36AF55" w14:textId="5E45C4A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28F112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372</w:t>
            </w:r>
          </w:p>
        </w:tc>
        <w:tc>
          <w:tcPr>
            <w:tcW w:w="1309" w:type="dxa"/>
            <w:tcBorders>
              <w:top w:val="nil"/>
              <w:left w:val="nil"/>
              <w:bottom w:val="single" w:sz="4" w:space="0" w:color="auto"/>
              <w:right w:val="nil"/>
            </w:tcBorders>
            <w:shd w:val="clear" w:color="auto" w:fill="auto"/>
            <w:noWrap/>
            <w:vAlign w:val="center"/>
            <w:hideMark/>
          </w:tcPr>
          <w:p w14:paraId="435F319B" w14:textId="732ECA6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8430BD" w:rsidRPr="001C3EC8" w14:paraId="67394766" w14:textId="77777777" w:rsidTr="00E077F3">
        <w:trPr>
          <w:trHeight w:val="330"/>
        </w:trPr>
        <w:tc>
          <w:tcPr>
            <w:tcW w:w="2440" w:type="dxa"/>
            <w:tcBorders>
              <w:top w:val="nil"/>
              <w:left w:val="nil"/>
              <w:bottom w:val="double" w:sz="6" w:space="0" w:color="auto"/>
              <w:right w:val="nil"/>
            </w:tcBorders>
            <w:shd w:val="clear" w:color="auto" w:fill="auto"/>
            <w:noWrap/>
            <w:vAlign w:val="bottom"/>
            <w:hideMark/>
          </w:tcPr>
          <w:p w14:paraId="0FB9AD5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51" w:type="dxa"/>
            <w:tcBorders>
              <w:top w:val="nil"/>
              <w:left w:val="nil"/>
              <w:bottom w:val="double" w:sz="6" w:space="0" w:color="auto"/>
              <w:right w:val="nil"/>
            </w:tcBorders>
            <w:shd w:val="clear" w:color="auto" w:fill="auto"/>
            <w:noWrap/>
            <w:vAlign w:val="bottom"/>
            <w:hideMark/>
          </w:tcPr>
          <w:p w14:paraId="613B99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210</w:t>
            </w:r>
          </w:p>
        </w:tc>
        <w:tc>
          <w:tcPr>
            <w:tcW w:w="1309" w:type="dxa"/>
            <w:tcBorders>
              <w:top w:val="nil"/>
              <w:left w:val="nil"/>
              <w:bottom w:val="double" w:sz="6" w:space="0" w:color="auto"/>
              <w:right w:val="nil"/>
            </w:tcBorders>
            <w:shd w:val="clear" w:color="auto" w:fill="auto"/>
            <w:noWrap/>
            <w:vAlign w:val="center"/>
            <w:hideMark/>
          </w:tcPr>
          <w:p w14:paraId="467DAF5A" w14:textId="770C8FF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851" w:type="dxa"/>
            <w:tcBorders>
              <w:top w:val="nil"/>
              <w:left w:val="single" w:sz="4" w:space="0" w:color="auto"/>
              <w:bottom w:val="double" w:sz="6" w:space="0" w:color="auto"/>
              <w:right w:val="nil"/>
            </w:tcBorders>
            <w:shd w:val="clear" w:color="auto" w:fill="auto"/>
            <w:noWrap/>
            <w:vAlign w:val="bottom"/>
            <w:hideMark/>
          </w:tcPr>
          <w:p w14:paraId="5EBCEB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w:t>
            </w:r>
          </w:p>
        </w:tc>
        <w:tc>
          <w:tcPr>
            <w:tcW w:w="1309" w:type="dxa"/>
            <w:tcBorders>
              <w:top w:val="nil"/>
              <w:left w:val="nil"/>
              <w:bottom w:val="double" w:sz="6" w:space="0" w:color="auto"/>
              <w:right w:val="single" w:sz="4" w:space="0" w:color="auto"/>
            </w:tcBorders>
            <w:shd w:val="clear" w:color="auto" w:fill="auto"/>
            <w:noWrap/>
            <w:vAlign w:val="center"/>
            <w:hideMark/>
          </w:tcPr>
          <w:p w14:paraId="109CFB57" w14:textId="74D6574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51" w:type="dxa"/>
            <w:tcBorders>
              <w:top w:val="nil"/>
              <w:left w:val="nil"/>
              <w:bottom w:val="double" w:sz="6" w:space="0" w:color="auto"/>
              <w:right w:val="nil"/>
            </w:tcBorders>
            <w:shd w:val="clear" w:color="auto" w:fill="auto"/>
            <w:noWrap/>
            <w:vAlign w:val="bottom"/>
            <w:hideMark/>
          </w:tcPr>
          <w:p w14:paraId="7162FBD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491</w:t>
            </w:r>
          </w:p>
        </w:tc>
        <w:tc>
          <w:tcPr>
            <w:tcW w:w="1309" w:type="dxa"/>
            <w:tcBorders>
              <w:top w:val="nil"/>
              <w:left w:val="nil"/>
              <w:bottom w:val="double" w:sz="6" w:space="0" w:color="auto"/>
              <w:right w:val="nil"/>
            </w:tcBorders>
            <w:shd w:val="clear" w:color="auto" w:fill="auto"/>
            <w:noWrap/>
            <w:vAlign w:val="center"/>
            <w:hideMark/>
          </w:tcPr>
          <w:p w14:paraId="7D635824" w14:textId="2ECF8EA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6D959607" w14:textId="77777777" w:rsidTr="00E077F3">
        <w:trPr>
          <w:trHeight w:val="345"/>
        </w:trPr>
        <w:tc>
          <w:tcPr>
            <w:tcW w:w="2440" w:type="dxa"/>
            <w:tcBorders>
              <w:top w:val="nil"/>
              <w:left w:val="nil"/>
              <w:bottom w:val="double" w:sz="6" w:space="0" w:color="auto"/>
              <w:right w:val="nil"/>
            </w:tcBorders>
            <w:shd w:val="clear" w:color="auto" w:fill="auto"/>
            <w:noWrap/>
            <w:vAlign w:val="bottom"/>
            <w:hideMark/>
          </w:tcPr>
          <w:p w14:paraId="1B750AAB"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51" w:type="dxa"/>
            <w:tcBorders>
              <w:top w:val="nil"/>
              <w:left w:val="nil"/>
              <w:bottom w:val="double" w:sz="6" w:space="0" w:color="auto"/>
              <w:right w:val="nil"/>
            </w:tcBorders>
            <w:shd w:val="clear" w:color="auto" w:fill="auto"/>
            <w:noWrap/>
            <w:vAlign w:val="bottom"/>
            <w:hideMark/>
          </w:tcPr>
          <w:p w14:paraId="74270A3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201</w:t>
            </w:r>
          </w:p>
        </w:tc>
        <w:tc>
          <w:tcPr>
            <w:tcW w:w="1309" w:type="dxa"/>
            <w:tcBorders>
              <w:top w:val="nil"/>
              <w:left w:val="nil"/>
              <w:bottom w:val="double" w:sz="6" w:space="0" w:color="auto"/>
              <w:right w:val="nil"/>
            </w:tcBorders>
            <w:shd w:val="clear" w:color="auto" w:fill="auto"/>
            <w:noWrap/>
            <w:vAlign w:val="center"/>
            <w:hideMark/>
          </w:tcPr>
          <w:p w14:paraId="18BF3CB1" w14:textId="7BA3417D"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+3 </w:t>
            </w:r>
            <w:r w:rsidR="00B07E76">
              <w:rPr>
                <w:rFonts w:eastAsia="Times New Roman"/>
                <w:b/>
                <w:bCs/>
                <w:color w:val="000000" w:themeColor="text1"/>
                <w:sz w:val="20"/>
                <w:szCs w:val="20"/>
                <w:lang w:eastAsia="cs-CZ"/>
              </w:rPr>
              <w:t>%</w:t>
            </w:r>
          </w:p>
        </w:tc>
        <w:tc>
          <w:tcPr>
            <w:tcW w:w="851" w:type="dxa"/>
            <w:tcBorders>
              <w:top w:val="nil"/>
              <w:left w:val="single" w:sz="4" w:space="0" w:color="auto"/>
              <w:bottom w:val="double" w:sz="6" w:space="0" w:color="auto"/>
              <w:right w:val="nil"/>
            </w:tcBorders>
            <w:shd w:val="clear" w:color="auto" w:fill="auto"/>
            <w:noWrap/>
            <w:vAlign w:val="bottom"/>
            <w:hideMark/>
          </w:tcPr>
          <w:p w14:paraId="7B88170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99</w:t>
            </w:r>
          </w:p>
        </w:tc>
        <w:tc>
          <w:tcPr>
            <w:tcW w:w="1309" w:type="dxa"/>
            <w:tcBorders>
              <w:top w:val="nil"/>
              <w:left w:val="nil"/>
              <w:bottom w:val="double" w:sz="6" w:space="0" w:color="auto"/>
              <w:right w:val="single" w:sz="4" w:space="0" w:color="auto"/>
            </w:tcBorders>
            <w:shd w:val="clear" w:color="auto" w:fill="auto"/>
            <w:noWrap/>
            <w:vAlign w:val="center"/>
            <w:hideMark/>
          </w:tcPr>
          <w:p w14:paraId="2EE79739" w14:textId="41B2B22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+9 </w:t>
            </w:r>
            <w:r w:rsidR="00B07E76">
              <w:rPr>
                <w:rFonts w:eastAsia="Times New Roman"/>
                <w:b/>
                <w:bCs/>
                <w:color w:val="000000" w:themeColor="text1"/>
                <w:sz w:val="20"/>
                <w:szCs w:val="20"/>
                <w:lang w:eastAsia="cs-CZ"/>
              </w:rPr>
              <w:t>%</w:t>
            </w:r>
          </w:p>
        </w:tc>
        <w:tc>
          <w:tcPr>
            <w:tcW w:w="851" w:type="dxa"/>
            <w:tcBorders>
              <w:top w:val="nil"/>
              <w:left w:val="nil"/>
              <w:bottom w:val="double" w:sz="6" w:space="0" w:color="auto"/>
              <w:right w:val="nil"/>
            </w:tcBorders>
            <w:shd w:val="clear" w:color="auto" w:fill="auto"/>
            <w:noWrap/>
            <w:vAlign w:val="bottom"/>
            <w:hideMark/>
          </w:tcPr>
          <w:p w14:paraId="05A123F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465</w:t>
            </w:r>
          </w:p>
        </w:tc>
        <w:tc>
          <w:tcPr>
            <w:tcW w:w="1309" w:type="dxa"/>
            <w:tcBorders>
              <w:top w:val="nil"/>
              <w:left w:val="nil"/>
              <w:bottom w:val="double" w:sz="6" w:space="0" w:color="auto"/>
              <w:right w:val="nil"/>
            </w:tcBorders>
            <w:shd w:val="clear" w:color="auto" w:fill="auto"/>
            <w:noWrap/>
            <w:vAlign w:val="center"/>
            <w:hideMark/>
          </w:tcPr>
          <w:p w14:paraId="11EDDF20" w14:textId="0192343F"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 </w:t>
            </w:r>
            <w:r w:rsidR="00B07E76">
              <w:rPr>
                <w:rFonts w:eastAsia="Times New Roman"/>
                <w:b/>
                <w:bCs/>
                <w:color w:val="000000" w:themeColor="text1"/>
                <w:sz w:val="20"/>
                <w:szCs w:val="20"/>
                <w:lang w:eastAsia="cs-CZ"/>
              </w:rPr>
              <w:t>%</w:t>
            </w:r>
          </w:p>
        </w:tc>
      </w:tr>
    </w:tbl>
    <w:p w14:paraId="1EA98EB8" w14:textId="50E9C2C5" w:rsidR="008430BD" w:rsidRPr="001C3EC8" w:rsidRDefault="008430BD" w:rsidP="008430BD">
      <w:pPr>
        <w:pStyle w:val="Podnadpis"/>
        <w:rPr>
          <w:color w:val="000000" w:themeColor="text1"/>
        </w:rPr>
      </w:pPr>
      <w:bookmarkStart w:id="211" w:name="_Toc515871350"/>
      <w:bookmarkStart w:id="212" w:name="_Toc11135085"/>
      <w:bookmarkStart w:id="213" w:name="_Toc43841401"/>
      <w:bookmarkStart w:id="214" w:name="_Toc7595220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23</w:t>
      </w:r>
      <w:r w:rsidRPr="001C3EC8">
        <w:rPr>
          <w:noProof/>
          <w:color w:val="000000" w:themeColor="text1"/>
        </w:rPr>
        <w:fldChar w:fldCharType="end"/>
      </w:r>
      <w:r w:rsidRPr="001C3EC8">
        <w:rPr>
          <w:color w:val="000000" w:themeColor="text1"/>
        </w:rPr>
        <w:t>: OS – mediánové délky trestního řízení u jednotlivých soudů</w:t>
      </w:r>
      <w:bookmarkEnd w:id="211"/>
      <w:bookmarkEnd w:id="212"/>
      <w:bookmarkEnd w:id="213"/>
      <w:bookmarkEnd w:id="214"/>
    </w:p>
    <w:p w14:paraId="69D4EC34" w14:textId="5138CFC2" w:rsidR="008430BD" w:rsidRPr="001C3EC8"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68480" behindDoc="0" locked="0" layoutInCell="1" allowOverlap="1" wp14:anchorId="55A31D85" wp14:editId="6DB04B62">
            <wp:simplePos x="0" y="0"/>
            <wp:positionH relativeFrom="margin">
              <wp:align>right</wp:align>
            </wp:positionH>
            <wp:positionV relativeFrom="paragraph">
              <wp:posOffset>46990</wp:posOffset>
            </wp:positionV>
            <wp:extent cx="1260000" cy="918000"/>
            <wp:effectExtent l="0" t="0" r="0" b="0"/>
            <wp:wrapNone/>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1F48E72A" wp14:editId="4AD8F3C6">
            <wp:extent cx="5759450" cy="3296019"/>
            <wp:effectExtent l="0" t="0" r="0" b="0"/>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006579E3" w:rsidRPr="001C3EC8">
        <w:rPr>
          <w:color w:val="000000" w:themeColor="text1"/>
        </w:rPr>
        <w:t>I</w:t>
      </w:r>
      <w:r w:rsidR="006579E3">
        <w:rPr>
          <w:color w:val="000000" w:themeColor="text1"/>
        </w:rPr>
        <w:t> </w:t>
      </w:r>
      <w:r w:rsidRPr="001C3EC8">
        <w:rPr>
          <w:color w:val="000000" w:themeColor="text1"/>
        </w:rPr>
        <w:t>když se délka řízení za celou ČR v roce 2020 nezměnila, došlo k pohybům na úrovni okresních soudů. Při porovnání s kartogramem ve výroční statistické zprávě některé „zesvětlely“ (snížily průměrnou délku řízení)</w:t>
      </w:r>
      <w:r w:rsidR="00DC7EA7" w:rsidRPr="001C3EC8">
        <w:rPr>
          <w:color w:val="000000" w:themeColor="text1"/>
        </w:rPr>
        <w:t>,</w:t>
      </w:r>
      <w:r w:rsidRPr="001C3EC8">
        <w:rPr>
          <w:color w:val="000000" w:themeColor="text1"/>
        </w:rPr>
        <w:t xml:space="preserve"> jiné „ztmavly“ (zvýšily průměrnou délku řízení</w:t>
      </w:r>
      <w:r w:rsidR="008A5067" w:rsidRPr="001C3EC8">
        <w:rPr>
          <w:color w:val="000000" w:themeColor="text1"/>
        </w:rPr>
        <w:t>).</w:t>
      </w:r>
      <w:r w:rsidRPr="001C3EC8">
        <w:rPr>
          <w:color w:val="000000" w:themeColor="text1"/>
        </w:rPr>
        <w:t xml:space="preserve"> Nejdelší délky řízení vykazují stejně jako u civilního řízení</w:t>
      </w:r>
      <w:r w:rsidRPr="001C3EC8" w:rsidDel="00120082">
        <w:rPr>
          <w:color w:val="000000" w:themeColor="text1"/>
        </w:rPr>
        <w:t xml:space="preserve"> </w:t>
      </w:r>
      <w:r w:rsidRPr="001C3EC8">
        <w:rPr>
          <w:color w:val="000000" w:themeColor="text1"/>
        </w:rPr>
        <w:t xml:space="preserve">okresní soudy v Severočeském kraji. Určité problémy lze také zaznamenat v kraji Západočeském. Délky řízení u okresních soudů v ostatních krajích jsou poměrně vyrovnané. Tři soudy s nejkratší mediánovou délkou řízení jsou OS Beroun (44 dnů), OS Mladá Boleslav (53 dnů) </w:t>
      </w:r>
      <w:r w:rsidR="006579E3" w:rsidRPr="001C3EC8">
        <w:rPr>
          <w:color w:val="000000" w:themeColor="text1"/>
        </w:rPr>
        <w:t>a</w:t>
      </w:r>
      <w:r w:rsidR="006579E3">
        <w:rPr>
          <w:color w:val="000000" w:themeColor="text1"/>
        </w:rPr>
        <w:t> </w:t>
      </w:r>
      <w:r w:rsidRPr="001C3EC8">
        <w:rPr>
          <w:color w:val="000000" w:themeColor="text1"/>
        </w:rPr>
        <w:t xml:space="preserve">OS Svitavy (54 dnů). Délky řízení u nejpomalejších soudů jsou asi pětkrát až šestkrát větší – OS Děčín (272 dnů), OS </w:t>
      </w:r>
      <w:r w:rsidR="0053190F">
        <w:rPr>
          <w:color w:val="000000" w:themeColor="text1"/>
        </w:rPr>
        <w:t>Plzeň</w:t>
      </w:r>
      <w:r w:rsidR="0053190F">
        <w:rPr>
          <w:color w:val="000000" w:themeColor="text1"/>
        </w:rPr>
        <w:noBreakHyphen/>
      </w:r>
      <w:r w:rsidRPr="001C3EC8">
        <w:rPr>
          <w:color w:val="000000" w:themeColor="text1"/>
        </w:rPr>
        <w:t xml:space="preserve">sever (198 dnů) </w:t>
      </w:r>
      <w:r w:rsidR="006579E3" w:rsidRPr="001C3EC8">
        <w:rPr>
          <w:color w:val="000000" w:themeColor="text1"/>
        </w:rPr>
        <w:t>a</w:t>
      </w:r>
      <w:r w:rsidR="006579E3">
        <w:rPr>
          <w:color w:val="000000" w:themeColor="text1"/>
        </w:rPr>
        <w:t> </w:t>
      </w:r>
      <w:r w:rsidRPr="001C3EC8">
        <w:rPr>
          <w:color w:val="000000" w:themeColor="text1"/>
        </w:rPr>
        <w:t xml:space="preserve">OS Chomutov </w:t>
      </w:r>
      <w:r w:rsidRPr="001C3EC8">
        <w:rPr>
          <w:color w:val="000000" w:themeColor="text1"/>
        </w:rPr>
        <w:lastRenderedPageBreak/>
        <w:t xml:space="preserve">(194 dnů). Za zmínku rozhodně stojí vylepšení statistik </w:t>
      </w:r>
      <w:r w:rsidR="00120A38" w:rsidRPr="001C3EC8">
        <w:rPr>
          <w:color w:val="000000" w:themeColor="text1"/>
        </w:rPr>
        <w:t>u</w:t>
      </w:r>
      <w:r w:rsidR="00120A38">
        <w:rPr>
          <w:color w:val="000000" w:themeColor="text1"/>
        </w:rPr>
        <w:t> </w:t>
      </w:r>
      <w:r w:rsidRPr="001C3EC8">
        <w:rPr>
          <w:color w:val="000000" w:themeColor="text1"/>
        </w:rPr>
        <w:t xml:space="preserve">OS v Ústí nad Labem. Tento soud „tradičně“ patřil mezi </w:t>
      </w:r>
      <w:r w:rsidR="00120A38" w:rsidRPr="001C3EC8">
        <w:rPr>
          <w:color w:val="000000" w:themeColor="text1"/>
        </w:rPr>
        <w:t>3</w:t>
      </w:r>
      <w:r w:rsidR="00120A38">
        <w:rPr>
          <w:color w:val="000000" w:themeColor="text1"/>
        </w:rPr>
        <w:t> </w:t>
      </w:r>
      <w:r w:rsidRPr="001C3EC8">
        <w:rPr>
          <w:color w:val="000000" w:themeColor="text1"/>
        </w:rPr>
        <w:t xml:space="preserve">soudy s nejdelší délkou řízení. V roce 2019 již </w:t>
      </w:r>
      <w:r w:rsidR="00DC7EA7" w:rsidRPr="001C3EC8">
        <w:rPr>
          <w:color w:val="000000" w:themeColor="text1"/>
        </w:rPr>
        <w:t>byla</w:t>
      </w:r>
      <w:r w:rsidRPr="001C3EC8">
        <w:rPr>
          <w:color w:val="000000" w:themeColor="text1"/>
        </w:rPr>
        <w:t xml:space="preserve"> jeho délka řízení pod 200 dny (přesně řečeno 187 dnů), tedy pod celorepublikovým průměrem. V roce 2020 si délku řízení pod 200 dnů udržel (190 dnů).</w:t>
      </w:r>
    </w:p>
    <w:p w14:paraId="28766C0C" w14:textId="2B07382E" w:rsidR="008430BD" w:rsidRPr="001C3EC8" w:rsidRDefault="008430BD" w:rsidP="008430BD">
      <w:pPr>
        <w:pStyle w:val="Podnadpis"/>
        <w:rPr>
          <w:color w:val="000000" w:themeColor="text1"/>
        </w:rPr>
      </w:pPr>
      <w:bookmarkStart w:id="215" w:name="_Toc43841402"/>
      <w:bookmarkStart w:id="216" w:name="_Toc7595220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24</w:t>
      </w:r>
      <w:r w:rsidRPr="001C3EC8">
        <w:rPr>
          <w:noProof/>
          <w:color w:val="000000" w:themeColor="text1"/>
        </w:rPr>
        <w:fldChar w:fldCharType="end"/>
      </w:r>
      <w:r w:rsidRPr="001C3EC8">
        <w:rPr>
          <w:color w:val="000000" w:themeColor="text1"/>
        </w:rPr>
        <w:t>: OS – krabicové grafy, mediánové délky trestního řízení</w:t>
      </w:r>
      <w:bookmarkEnd w:id="215"/>
      <w:bookmarkEnd w:id="216"/>
    </w:p>
    <w:p w14:paraId="621BC413"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000CD1A5" wp14:editId="06D34AD6">
            <wp:extent cx="5115560" cy="3743960"/>
            <wp:effectExtent l="0" t="0" r="0" b="889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5E3E0430" w14:textId="6F09B118" w:rsidR="008430BD" w:rsidRPr="001C3EC8" w:rsidRDefault="008430BD" w:rsidP="008430BD">
      <w:pPr>
        <w:pStyle w:val="OdstavecASR"/>
        <w:rPr>
          <w:color w:val="000000" w:themeColor="text1"/>
        </w:rPr>
      </w:pPr>
      <w:r w:rsidRPr="001C3EC8">
        <w:rPr>
          <w:color w:val="000000" w:themeColor="text1"/>
        </w:rPr>
        <w:t xml:space="preserve">Z krabicového grafu vidíme, že rozdíly mezi soudy se v posledních letech příliš nemění. V roce 2018 však přeci jen došlo ke zlepšení </w:t>
      </w:r>
      <w:r w:rsidR="00120A38" w:rsidRPr="001C3EC8">
        <w:rPr>
          <w:color w:val="000000" w:themeColor="text1"/>
        </w:rPr>
        <w:t>u</w:t>
      </w:r>
      <w:r w:rsidR="00120A38">
        <w:rPr>
          <w:color w:val="000000" w:themeColor="text1"/>
        </w:rPr>
        <w:t> </w:t>
      </w:r>
      <w:r w:rsidRPr="001C3EC8">
        <w:rPr>
          <w:color w:val="000000" w:themeColor="text1"/>
        </w:rPr>
        <w:t xml:space="preserve">nejpomalejších soudů, kdy se odlehlé hodnoty přiblížily „ke krabici“. V roce 2019 se z hlediska variability oproti roku 2018 nic nezměnilo. Sice klesla délka řízení </w:t>
      </w:r>
      <w:r w:rsidR="00120A38" w:rsidRPr="001C3EC8">
        <w:rPr>
          <w:color w:val="000000" w:themeColor="text1"/>
        </w:rPr>
        <w:t>u</w:t>
      </w:r>
      <w:r w:rsidR="00120A38">
        <w:rPr>
          <w:color w:val="000000" w:themeColor="text1"/>
        </w:rPr>
        <w:t> </w:t>
      </w:r>
      <w:r w:rsidRPr="001C3EC8">
        <w:rPr>
          <w:color w:val="000000" w:themeColor="text1"/>
        </w:rPr>
        <w:t xml:space="preserve">některých nejpomalejších soudů, </w:t>
      </w:r>
      <w:r w:rsidR="00120A38" w:rsidRPr="001C3EC8">
        <w:rPr>
          <w:color w:val="000000" w:themeColor="text1"/>
        </w:rPr>
        <w:t>u</w:t>
      </w:r>
      <w:r w:rsidR="00120A38">
        <w:rPr>
          <w:color w:val="000000" w:themeColor="text1"/>
        </w:rPr>
        <w:t> </w:t>
      </w:r>
      <w:r w:rsidRPr="001C3EC8">
        <w:rPr>
          <w:color w:val="000000" w:themeColor="text1"/>
        </w:rPr>
        <w:t xml:space="preserve">jiných soudů ale vzrostla, </w:t>
      </w:r>
      <w:r w:rsidR="00120A38" w:rsidRPr="001C3EC8">
        <w:rPr>
          <w:color w:val="000000" w:themeColor="text1"/>
        </w:rPr>
        <w:t>a</w:t>
      </w:r>
      <w:r w:rsidR="00120A38">
        <w:rPr>
          <w:color w:val="000000" w:themeColor="text1"/>
        </w:rPr>
        <w:t> </w:t>
      </w:r>
      <w:r w:rsidRPr="001C3EC8">
        <w:rPr>
          <w:color w:val="000000" w:themeColor="text1"/>
        </w:rPr>
        <w:t xml:space="preserve">tak je zlepšující se soudy vlastně „nahradily“. V roce 2020 došlo k mírnému snížení variability. Několik odlehlých hodnot je nyní v boxu. Pouze jeden soud (OS Děčín) vykazuje délku řízení přes 200 dnů, </w:t>
      </w:r>
      <w:r w:rsidR="00120A38" w:rsidRPr="001C3EC8">
        <w:rPr>
          <w:color w:val="000000" w:themeColor="text1"/>
        </w:rPr>
        <w:t>a</w:t>
      </w:r>
      <w:r w:rsidR="00120A38">
        <w:rPr>
          <w:color w:val="000000" w:themeColor="text1"/>
        </w:rPr>
        <w:t> </w:t>
      </w:r>
      <w:r w:rsidRPr="001C3EC8">
        <w:rPr>
          <w:color w:val="000000" w:themeColor="text1"/>
        </w:rPr>
        <w:t xml:space="preserve">jak je vidět na grafu, jedná se </w:t>
      </w:r>
      <w:r w:rsidR="00120A38" w:rsidRPr="001C3EC8">
        <w:rPr>
          <w:color w:val="000000" w:themeColor="text1"/>
        </w:rPr>
        <w:t>o</w:t>
      </w:r>
      <w:r w:rsidR="00120A38">
        <w:rPr>
          <w:color w:val="000000" w:themeColor="text1"/>
        </w:rPr>
        <w:t> </w:t>
      </w:r>
      <w:r w:rsidRPr="001C3EC8">
        <w:rPr>
          <w:color w:val="000000" w:themeColor="text1"/>
        </w:rPr>
        <w:t>bod, který je zdaleka nejdále od boxu.</w:t>
      </w:r>
    </w:p>
    <w:p w14:paraId="0C3385E0" w14:textId="504E62D2" w:rsidR="008430BD" w:rsidRPr="001C3EC8" w:rsidRDefault="008430BD" w:rsidP="008430BD">
      <w:pPr>
        <w:pStyle w:val="OdstavecASR"/>
        <w:rPr>
          <w:color w:val="000000" w:themeColor="text1"/>
        </w:rPr>
      </w:pPr>
      <w:r w:rsidRPr="001C3EC8">
        <w:rPr>
          <w:color w:val="000000" w:themeColor="text1"/>
        </w:rPr>
        <w:t>Při pohledu na délky řízení by se mohlo zdát, že se celorepublikově situace v trestním řízení nelepší až na Severní Čechy, kde došlo k mírnému zlepšení. Další podkapitola nicméně ukazuje, že se postupně dařilo snižovat počet nevyřízených věcí.</w:t>
      </w:r>
    </w:p>
    <w:p w14:paraId="2FA38D16" w14:textId="74D66D05" w:rsidR="008430BD" w:rsidRPr="001C3EC8" w:rsidRDefault="008430BD" w:rsidP="008430BD">
      <w:pPr>
        <w:pStyle w:val="OdstavecASR"/>
        <w:rPr>
          <w:color w:val="000000" w:themeColor="text1"/>
        </w:rPr>
      </w:pPr>
      <w:r w:rsidRPr="001C3EC8">
        <w:rPr>
          <w:color w:val="000000" w:themeColor="text1"/>
        </w:rPr>
        <w:t xml:space="preserve">Stejně jako u civilního řízení se na délky řízení v roce 2020 podíváme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řízení je takřka stejná jako </w:t>
      </w:r>
      <w:r w:rsidR="00120A38" w:rsidRPr="001C3EC8">
        <w:rPr>
          <w:color w:val="000000" w:themeColor="text1"/>
        </w:rPr>
        <w:t>v</w:t>
      </w:r>
      <w:r w:rsidR="00120A38">
        <w:rPr>
          <w:color w:val="000000" w:themeColor="text1"/>
        </w:rPr>
        <w:t> </w:t>
      </w:r>
      <w:r w:rsidRPr="001C3EC8">
        <w:rPr>
          <w:color w:val="000000" w:themeColor="text1"/>
        </w:rPr>
        <w:t xml:space="preserve">letech 2018 </w:t>
      </w:r>
      <w:r w:rsidR="00120A38" w:rsidRPr="001C3EC8">
        <w:rPr>
          <w:color w:val="000000" w:themeColor="text1"/>
        </w:rPr>
        <w:t>a</w:t>
      </w:r>
      <w:r w:rsidR="00120A38">
        <w:rPr>
          <w:color w:val="000000" w:themeColor="text1"/>
        </w:rPr>
        <w:t> </w:t>
      </w:r>
      <w:r w:rsidRPr="001C3EC8">
        <w:rPr>
          <w:color w:val="000000" w:themeColor="text1"/>
        </w:rPr>
        <w:t>2019, tedy například:</w:t>
      </w:r>
    </w:p>
    <w:p w14:paraId="30684D00" w14:textId="77777777" w:rsidR="008430BD" w:rsidRPr="001C3EC8" w:rsidRDefault="008430BD" w:rsidP="008430BD">
      <w:pPr>
        <w:pStyle w:val="Odstavecseseznamem"/>
        <w:numPr>
          <w:ilvl w:val="0"/>
          <w:numId w:val="9"/>
        </w:numPr>
        <w:rPr>
          <w:color w:val="000000" w:themeColor="text1"/>
        </w:rPr>
      </w:pPr>
      <w:r w:rsidRPr="001C3EC8">
        <w:rPr>
          <w:color w:val="000000" w:themeColor="text1"/>
        </w:rPr>
        <w:t>Jen necelých 5 % věcí bylo vyřízeno za více než 800 dnů.</w:t>
      </w:r>
    </w:p>
    <w:p w14:paraId="2C5EC1D5" w14:textId="77777777" w:rsidR="008430BD" w:rsidRPr="001C3EC8" w:rsidRDefault="008430BD" w:rsidP="008430BD">
      <w:pPr>
        <w:pStyle w:val="Odstavecseseznamem"/>
        <w:numPr>
          <w:ilvl w:val="0"/>
          <w:numId w:val="8"/>
        </w:numPr>
        <w:ind w:left="714" w:hanging="357"/>
        <w:jc w:val="left"/>
        <w:rPr>
          <w:color w:val="000000" w:themeColor="text1"/>
        </w:rPr>
      </w:pPr>
      <w:r w:rsidRPr="001C3EC8">
        <w:rPr>
          <w:color w:val="000000" w:themeColor="text1"/>
        </w:rPr>
        <w:t>Asi čtvrtina věcí byla vyřízena velice rychle – do 50 dnů ode dne nápadu u soudu.</w:t>
      </w:r>
    </w:p>
    <w:p w14:paraId="4A3ED122" w14:textId="77777777" w:rsidR="008430BD" w:rsidRPr="001C3EC8" w:rsidRDefault="008430BD" w:rsidP="008430BD">
      <w:pPr>
        <w:pStyle w:val="Odstavecseseznamem"/>
        <w:numPr>
          <w:ilvl w:val="0"/>
          <w:numId w:val="8"/>
        </w:numPr>
        <w:ind w:left="714" w:hanging="357"/>
        <w:jc w:val="left"/>
        <w:rPr>
          <w:color w:val="000000" w:themeColor="text1"/>
        </w:rPr>
      </w:pPr>
      <w:r w:rsidRPr="001C3EC8">
        <w:rPr>
          <w:color w:val="000000" w:themeColor="text1"/>
        </w:rPr>
        <w:lastRenderedPageBreak/>
        <w:t>Největší skupina věcí (cca 16 %) byla vyřízena za 26 až 50 dnů. S přibývající délkou řízení četnost klesá.</w:t>
      </w:r>
    </w:p>
    <w:p w14:paraId="66E9ED80" w14:textId="77777777" w:rsidR="008430BD" w:rsidRPr="001C3EC8" w:rsidRDefault="008430BD" w:rsidP="008430BD">
      <w:pPr>
        <w:pStyle w:val="Odstavecseseznamem"/>
        <w:numPr>
          <w:ilvl w:val="0"/>
          <w:numId w:val="8"/>
        </w:numPr>
        <w:ind w:left="714" w:hanging="357"/>
        <w:jc w:val="left"/>
        <w:rPr>
          <w:color w:val="000000" w:themeColor="text1"/>
        </w:rPr>
      </w:pPr>
      <w:r w:rsidRPr="001C3EC8">
        <w:rPr>
          <w:color w:val="000000" w:themeColor="text1"/>
        </w:rPr>
        <w:t>Rozdělení délek řízení je celkem podobné rozdělení v civilním řízení. Absolutní hodnoty jsou ale výrazně nižší.</w:t>
      </w:r>
    </w:p>
    <w:p w14:paraId="374933C6" w14:textId="77777777" w:rsidR="008430BD" w:rsidRPr="001C3EC8" w:rsidRDefault="008430BD" w:rsidP="008430BD">
      <w:pPr>
        <w:rPr>
          <w:color w:val="000000" w:themeColor="text1"/>
          <w:highlight w:val="yellow"/>
        </w:rPr>
      </w:pPr>
    </w:p>
    <w:p w14:paraId="0E53F877" w14:textId="65FBA2EF" w:rsidR="008430BD" w:rsidRPr="001C3EC8" w:rsidRDefault="008430BD" w:rsidP="008430BD">
      <w:pPr>
        <w:pStyle w:val="Podnadpis"/>
        <w:rPr>
          <w:color w:val="000000" w:themeColor="text1"/>
        </w:rPr>
      </w:pPr>
      <w:bookmarkStart w:id="217" w:name="_Toc515871352"/>
      <w:bookmarkStart w:id="218" w:name="_Toc11135087"/>
      <w:bookmarkStart w:id="219" w:name="_Toc43841403"/>
      <w:bookmarkStart w:id="220" w:name="_Toc75952205"/>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25</w:t>
      </w:r>
      <w:r w:rsidRPr="001C3EC8">
        <w:rPr>
          <w:color w:val="000000" w:themeColor="text1"/>
        </w:rPr>
        <w:fldChar w:fldCharType="end"/>
      </w:r>
      <w:r w:rsidRPr="001C3EC8">
        <w:rPr>
          <w:color w:val="000000" w:themeColor="text1"/>
        </w:rPr>
        <w:t>: OS – distribuce délek trestního řízení</w:t>
      </w:r>
      <w:bookmarkEnd w:id="217"/>
      <w:bookmarkEnd w:id="218"/>
      <w:bookmarkEnd w:id="219"/>
      <w:bookmarkEnd w:id="220"/>
    </w:p>
    <w:p w14:paraId="466FB649"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72EAA771" wp14:editId="2F268E49">
            <wp:extent cx="5115560" cy="3743960"/>
            <wp:effectExtent l="0" t="0" r="0" b="889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46B0EC2E" w14:textId="77777777" w:rsidR="008430BD" w:rsidRPr="001C3EC8" w:rsidRDefault="008430BD" w:rsidP="008430BD">
      <w:pPr>
        <w:pStyle w:val="OdstavecASR"/>
        <w:rPr>
          <w:color w:val="000000" w:themeColor="text1"/>
        </w:rPr>
      </w:pPr>
    </w:p>
    <w:p w14:paraId="0C617C80" w14:textId="77777777" w:rsidR="008430BD" w:rsidRPr="001C3EC8" w:rsidRDefault="008430BD" w:rsidP="008430BD">
      <w:pPr>
        <w:pStyle w:val="Nadpis3"/>
        <w:numPr>
          <w:ilvl w:val="2"/>
          <w:numId w:val="1"/>
        </w:numPr>
        <w:rPr>
          <w:color w:val="000000" w:themeColor="text1"/>
        </w:rPr>
      </w:pPr>
      <w:bookmarkStart w:id="221" w:name="_Toc515871232"/>
      <w:bookmarkStart w:id="222" w:name="_Toc75952068"/>
      <w:r w:rsidRPr="001C3EC8">
        <w:rPr>
          <w:color w:val="000000" w:themeColor="text1"/>
        </w:rPr>
        <w:lastRenderedPageBreak/>
        <w:t>Vyřizování věcí</w:t>
      </w:r>
      <w:bookmarkEnd w:id="221"/>
      <w:bookmarkEnd w:id="222"/>
    </w:p>
    <w:p w14:paraId="12F20189" w14:textId="1738DB0D" w:rsidR="008430BD" w:rsidRPr="001C3EC8" w:rsidRDefault="008430BD" w:rsidP="008430BD">
      <w:pPr>
        <w:pStyle w:val="Podnadpis"/>
        <w:rPr>
          <w:color w:val="000000" w:themeColor="text1"/>
        </w:rPr>
      </w:pPr>
      <w:bookmarkStart w:id="223" w:name="_Toc515871353"/>
      <w:bookmarkStart w:id="224" w:name="_Toc11135088"/>
      <w:bookmarkStart w:id="225" w:name="_Toc43841404"/>
      <w:bookmarkStart w:id="226" w:name="_Toc75952206"/>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26</w:t>
      </w:r>
      <w:r w:rsidRPr="001C3EC8">
        <w:rPr>
          <w:noProof/>
          <w:color w:val="000000" w:themeColor="text1"/>
        </w:rPr>
        <w:fldChar w:fldCharType="end"/>
      </w:r>
      <w:r w:rsidRPr="001C3EC8">
        <w:rPr>
          <w:color w:val="000000" w:themeColor="text1"/>
        </w:rPr>
        <w:t>: OS – vyřizování trestních věcí v letech 2008–</w:t>
      </w:r>
      <w:bookmarkEnd w:id="223"/>
      <w:bookmarkEnd w:id="224"/>
      <w:bookmarkEnd w:id="225"/>
      <w:r w:rsidR="003845F0" w:rsidRPr="001C3EC8">
        <w:rPr>
          <w:color w:val="000000" w:themeColor="text1"/>
        </w:rPr>
        <w:t>20</w:t>
      </w:r>
      <w:r w:rsidR="003845F0">
        <w:rPr>
          <w:color w:val="000000" w:themeColor="text1"/>
        </w:rPr>
        <w:t>20</w:t>
      </w:r>
      <w:bookmarkEnd w:id="226"/>
    </w:p>
    <w:p w14:paraId="69319FBC"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752D4E13" wp14:editId="66191AA6">
            <wp:extent cx="5115560" cy="3743960"/>
            <wp:effectExtent l="0" t="0" r="0" b="889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2FC9EDA1" w14:textId="76B9B4DF" w:rsidR="008430BD" w:rsidRPr="001C3EC8" w:rsidRDefault="008430BD" w:rsidP="008430BD">
      <w:pPr>
        <w:pStyle w:val="OdstavecASR"/>
        <w:rPr>
          <w:color w:val="000000" w:themeColor="text1"/>
        </w:rPr>
      </w:pPr>
      <w:r w:rsidRPr="001C3EC8">
        <w:rPr>
          <w:color w:val="000000" w:themeColor="text1"/>
        </w:rPr>
        <w:t xml:space="preserve">V grafu je na první pohled patrný výrazný pokles v nápadu a počtu vyřízených věcí po roce 2013. Tento trend je opravdu silný a vyplývá z poklesu kriminality na území ČR. Především pokles v nápadu v posledních letech se pak projevil i v poklesu počtu nevyřízených věcí. Trend se zastavil teprve v roce 2019, kdy byl nápad na úrovni roku 2018. V roce 2020 došlo k prudkému poklesu v počtu příchozích věcí, </w:t>
      </w:r>
      <w:r w:rsidR="00120A38" w:rsidRPr="001C3EC8">
        <w:rPr>
          <w:color w:val="000000" w:themeColor="text1"/>
        </w:rPr>
        <w:t>a</w:t>
      </w:r>
      <w:r w:rsidR="00120A38">
        <w:rPr>
          <w:color w:val="000000" w:themeColor="text1"/>
        </w:rPr>
        <w:t> </w:t>
      </w:r>
      <w:r w:rsidRPr="001C3EC8">
        <w:rPr>
          <w:color w:val="000000" w:themeColor="text1"/>
        </w:rPr>
        <w:t xml:space="preserve">to </w:t>
      </w:r>
      <w:r w:rsidR="00120A38" w:rsidRPr="001C3EC8">
        <w:rPr>
          <w:color w:val="000000" w:themeColor="text1"/>
        </w:rPr>
        <w:t>o</w:t>
      </w:r>
      <w:r w:rsidR="00120A38">
        <w:rPr>
          <w:color w:val="000000" w:themeColor="text1"/>
        </w:rPr>
        <w:t> </w:t>
      </w:r>
      <w:r w:rsidRPr="001C3EC8">
        <w:rPr>
          <w:color w:val="000000" w:themeColor="text1"/>
        </w:rPr>
        <w:t xml:space="preserve">13 %. To samozřejmě lze připsat pandemii </w:t>
      </w:r>
      <w:r w:rsidR="000C3B1E">
        <w:rPr>
          <w:color w:val="000000" w:themeColor="text1"/>
        </w:rPr>
        <w:t>COVID</w:t>
      </w:r>
      <w:r w:rsidR="000C3B1E">
        <w:rPr>
          <w:color w:val="000000" w:themeColor="text1"/>
        </w:rPr>
        <w:noBreakHyphen/>
        <w:t>19</w:t>
      </w:r>
      <w:r w:rsidRPr="001C3EC8">
        <w:rPr>
          <w:color w:val="000000" w:themeColor="text1"/>
        </w:rPr>
        <w:t xml:space="preserve"> </w:t>
      </w:r>
      <w:r w:rsidR="00120A38" w:rsidRPr="001C3EC8">
        <w:rPr>
          <w:color w:val="000000" w:themeColor="text1"/>
        </w:rPr>
        <w:t>a</w:t>
      </w:r>
      <w:r w:rsidR="00120A38">
        <w:rPr>
          <w:color w:val="000000" w:themeColor="text1"/>
        </w:rPr>
        <w:t> </w:t>
      </w:r>
      <w:r w:rsidRPr="001C3EC8">
        <w:rPr>
          <w:color w:val="000000" w:themeColor="text1"/>
        </w:rPr>
        <w:t xml:space="preserve">vládním opatřením k bránění šíření této pandemie. Během této doby je složitější páchat některé druhy trestné činnosti. </w:t>
      </w:r>
      <w:r w:rsidR="00DC7EA7" w:rsidRPr="001C3EC8">
        <w:rPr>
          <w:color w:val="000000" w:themeColor="text1"/>
        </w:rPr>
        <w:t>Dle některých teorií</w:t>
      </w:r>
      <w:r w:rsidR="00895695" w:rsidRPr="001C3EC8">
        <w:rPr>
          <w:rStyle w:val="Znakapoznpodarou"/>
          <w:color w:val="000000" w:themeColor="text1"/>
        </w:rPr>
        <w:footnoteReference w:id="8"/>
      </w:r>
      <w:r w:rsidR="00DC7EA7" w:rsidRPr="001C3EC8">
        <w:rPr>
          <w:color w:val="000000" w:themeColor="text1"/>
        </w:rPr>
        <w:t xml:space="preserve"> mohou pachatele odradit </w:t>
      </w:r>
      <w:r w:rsidR="00120A38" w:rsidRPr="001C3EC8">
        <w:rPr>
          <w:color w:val="000000" w:themeColor="text1"/>
        </w:rPr>
        <w:t>i</w:t>
      </w:r>
      <w:r w:rsidR="00120A38">
        <w:rPr>
          <w:color w:val="000000" w:themeColor="text1"/>
        </w:rPr>
        <w:t> </w:t>
      </w:r>
      <w:r w:rsidR="00895695" w:rsidRPr="001C3EC8">
        <w:rPr>
          <w:color w:val="000000" w:themeColor="text1"/>
        </w:rPr>
        <w:t xml:space="preserve">vyšší tresty. Data ukazují, že </w:t>
      </w:r>
      <w:r w:rsidRPr="001C3EC8">
        <w:rPr>
          <w:color w:val="000000" w:themeColor="text1"/>
        </w:rPr>
        <w:t>během nouzového stavu</w:t>
      </w:r>
      <w:r w:rsidR="00895695" w:rsidRPr="001C3EC8">
        <w:rPr>
          <w:color w:val="000000" w:themeColor="text1"/>
        </w:rPr>
        <w:t xml:space="preserve"> opravdu byly vyšší tresty ukládány</w:t>
      </w:r>
      <w:r w:rsidRPr="001C3EC8">
        <w:rPr>
          <w:color w:val="000000" w:themeColor="text1"/>
        </w:rPr>
        <w:t>.</w:t>
      </w:r>
    </w:p>
    <w:p w14:paraId="70ADF667" w14:textId="55628483" w:rsidR="008430BD" w:rsidRPr="001C3EC8" w:rsidRDefault="008430BD" w:rsidP="008430BD">
      <w:pPr>
        <w:pStyle w:val="OdstavecASR"/>
        <w:rPr>
          <w:color w:val="000000" w:themeColor="text1"/>
        </w:rPr>
      </w:pPr>
      <w:r w:rsidRPr="001C3EC8">
        <w:rPr>
          <w:color w:val="000000" w:themeColor="text1"/>
        </w:rPr>
        <w:t xml:space="preserve">Vyřízené věci klesly proporcionálně. Stejně jako </w:t>
      </w:r>
      <w:r w:rsidR="00120A38" w:rsidRPr="001C3EC8">
        <w:rPr>
          <w:color w:val="000000" w:themeColor="text1"/>
        </w:rPr>
        <w:t>v</w:t>
      </w:r>
      <w:r w:rsidR="00120A38">
        <w:rPr>
          <w:color w:val="000000" w:themeColor="text1"/>
        </w:rPr>
        <w:t> </w:t>
      </w:r>
      <w:r w:rsidRPr="001C3EC8">
        <w:rPr>
          <w:color w:val="000000" w:themeColor="text1"/>
        </w:rPr>
        <w:t xml:space="preserve">civilní agendě se tedy zdá, že </w:t>
      </w:r>
      <w:r w:rsidR="000C3B1E">
        <w:rPr>
          <w:color w:val="000000" w:themeColor="text1"/>
        </w:rPr>
        <w:t>COVID</w:t>
      </w:r>
      <w:r w:rsidR="000C3B1E">
        <w:rPr>
          <w:color w:val="000000" w:themeColor="text1"/>
        </w:rPr>
        <w:noBreakHyphen/>
        <w:t>19</w:t>
      </w:r>
      <w:r w:rsidRPr="001C3EC8">
        <w:rPr>
          <w:color w:val="000000" w:themeColor="text1"/>
        </w:rPr>
        <w:t xml:space="preserve"> snížil nápad (zde dokonce </w:t>
      </w:r>
      <w:r w:rsidR="00DC7EA7" w:rsidRPr="001C3EC8">
        <w:rPr>
          <w:color w:val="000000" w:themeColor="text1"/>
        </w:rPr>
        <w:t>výrazněji</w:t>
      </w:r>
      <w:r w:rsidRPr="001C3EC8">
        <w:rPr>
          <w:color w:val="000000" w:themeColor="text1"/>
        </w:rPr>
        <w:t xml:space="preserve">), ale nevedl </w:t>
      </w:r>
      <w:r w:rsidR="00592B64" w:rsidRPr="001C3EC8">
        <w:rPr>
          <w:color w:val="000000" w:themeColor="text1"/>
        </w:rPr>
        <w:t>(na rozdíl od civilní agendy)</w:t>
      </w:r>
      <w:r w:rsidRPr="001C3EC8">
        <w:rPr>
          <w:color w:val="000000" w:themeColor="text1"/>
        </w:rPr>
        <w:t xml:space="preserve"> ke zvýšení v počtu nevyřízených věcí. Lze samozřejmě </w:t>
      </w:r>
      <w:r w:rsidR="00DC7EA7" w:rsidRPr="001C3EC8">
        <w:rPr>
          <w:color w:val="000000" w:themeColor="text1"/>
        </w:rPr>
        <w:t>dovozovat</w:t>
      </w:r>
      <w:r w:rsidRPr="001C3EC8">
        <w:rPr>
          <w:color w:val="000000" w:themeColor="text1"/>
        </w:rPr>
        <w:t xml:space="preserve">, že s takto nízkým nápadem by za normálního chodu byly soudy schopny snížit počet nedodělků, ale </w:t>
      </w:r>
      <w:r w:rsidR="00DC7EA7" w:rsidRPr="001C3EC8">
        <w:rPr>
          <w:color w:val="000000" w:themeColor="text1"/>
        </w:rPr>
        <w:t xml:space="preserve">jedná se </w:t>
      </w:r>
      <w:r w:rsidRPr="001C3EC8">
        <w:rPr>
          <w:color w:val="000000" w:themeColor="text1"/>
        </w:rPr>
        <w:t xml:space="preserve">pouze </w:t>
      </w:r>
      <w:r w:rsidR="00120A38" w:rsidRPr="001C3EC8">
        <w:rPr>
          <w:color w:val="000000" w:themeColor="text1"/>
        </w:rPr>
        <w:t>o</w:t>
      </w:r>
      <w:r w:rsidR="00120A38">
        <w:rPr>
          <w:color w:val="000000" w:themeColor="text1"/>
        </w:rPr>
        <w:t> </w:t>
      </w:r>
      <w:r w:rsidRPr="001C3EC8">
        <w:rPr>
          <w:color w:val="000000" w:themeColor="text1"/>
        </w:rPr>
        <w:t>spekulaci.</w:t>
      </w:r>
    </w:p>
    <w:p w14:paraId="5CD2C11B" w14:textId="77777777" w:rsidR="008430BD" w:rsidRPr="001C3EC8" w:rsidRDefault="008430BD" w:rsidP="008430BD">
      <w:pPr>
        <w:spacing w:line="240" w:lineRule="auto"/>
        <w:jc w:val="left"/>
        <w:rPr>
          <w:rFonts w:eastAsia="Times New Roman"/>
          <w:b/>
          <w:iCs/>
          <w:color w:val="000000" w:themeColor="text1"/>
          <w:spacing w:val="15"/>
          <w:szCs w:val="24"/>
        </w:rPr>
      </w:pPr>
      <w:bookmarkStart w:id="227" w:name="_Toc43931194"/>
      <w:r w:rsidRPr="001C3EC8">
        <w:rPr>
          <w:color w:val="000000" w:themeColor="text1"/>
        </w:rPr>
        <w:br w:type="page"/>
      </w:r>
    </w:p>
    <w:p w14:paraId="1C471409" w14:textId="42F03234" w:rsidR="008430BD" w:rsidRPr="001C3EC8" w:rsidRDefault="008430BD" w:rsidP="008430BD">
      <w:pPr>
        <w:pStyle w:val="Podnadpis"/>
        <w:rPr>
          <w:color w:val="000000" w:themeColor="text1"/>
        </w:rPr>
      </w:pPr>
      <w:bookmarkStart w:id="228" w:name="_Toc75952324"/>
      <w:r w:rsidRPr="001C3EC8">
        <w:rPr>
          <w:color w:val="000000" w:themeColor="text1"/>
        </w:rPr>
        <w:lastRenderedPageBreak/>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21</w:t>
      </w:r>
      <w:r w:rsidRPr="001C3EC8">
        <w:rPr>
          <w:noProof/>
          <w:color w:val="000000" w:themeColor="text1"/>
        </w:rPr>
        <w:fldChar w:fldCharType="end"/>
      </w:r>
      <w:r w:rsidRPr="001C3EC8">
        <w:rPr>
          <w:color w:val="000000" w:themeColor="text1"/>
        </w:rPr>
        <w:t>: OS – vyřizování trestních věcí dle krajů</w:t>
      </w:r>
      <w:bookmarkEnd w:id="227"/>
      <w:bookmarkEnd w:id="228"/>
    </w:p>
    <w:tbl>
      <w:tblPr>
        <w:tblW w:w="9140" w:type="dxa"/>
        <w:tblCellMar>
          <w:left w:w="70" w:type="dxa"/>
          <w:right w:w="70" w:type="dxa"/>
        </w:tblCellMar>
        <w:tblLook w:val="04A0" w:firstRow="1" w:lastRow="0" w:firstColumn="1" w:lastColumn="0" w:noHBand="0" w:noVBand="1"/>
      </w:tblPr>
      <w:tblGrid>
        <w:gridCol w:w="2020"/>
        <w:gridCol w:w="1003"/>
        <w:gridCol w:w="837"/>
        <w:gridCol w:w="1003"/>
        <w:gridCol w:w="837"/>
        <w:gridCol w:w="944"/>
        <w:gridCol w:w="957"/>
        <w:gridCol w:w="1539"/>
      </w:tblGrid>
      <w:tr w:rsidR="008430BD" w:rsidRPr="001C3EC8" w14:paraId="01E44FB4"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DD84DF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1E3425D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519CA7F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5FF37785"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2ED25CDF"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40" w:type="dxa"/>
            <w:gridSpan w:val="2"/>
            <w:tcBorders>
              <w:top w:val="nil"/>
              <w:left w:val="nil"/>
              <w:bottom w:val="double" w:sz="6" w:space="0" w:color="auto"/>
              <w:right w:val="nil"/>
            </w:tcBorders>
            <w:shd w:val="clear" w:color="auto" w:fill="auto"/>
            <w:noWrap/>
            <w:vAlign w:val="center"/>
            <w:hideMark/>
          </w:tcPr>
          <w:p w14:paraId="57419E7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4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B6A438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01" w:type="dxa"/>
            <w:gridSpan w:val="2"/>
            <w:tcBorders>
              <w:top w:val="nil"/>
              <w:left w:val="nil"/>
              <w:bottom w:val="double" w:sz="6" w:space="0" w:color="auto"/>
              <w:right w:val="single" w:sz="4" w:space="0" w:color="000000"/>
            </w:tcBorders>
            <w:shd w:val="clear" w:color="auto" w:fill="auto"/>
            <w:noWrap/>
            <w:vAlign w:val="center"/>
            <w:hideMark/>
          </w:tcPr>
          <w:p w14:paraId="06AE7B2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6EB63A9C"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536AD753"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A3D051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03" w:type="dxa"/>
            <w:tcBorders>
              <w:top w:val="single" w:sz="4" w:space="0" w:color="auto"/>
              <w:left w:val="nil"/>
              <w:bottom w:val="single" w:sz="4" w:space="0" w:color="auto"/>
              <w:right w:val="nil"/>
            </w:tcBorders>
            <w:shd w:val="clear" w:color="auto" w:fill="auto"/>
            <w:noWrap/>
            <w:vAlign w:val="bottom"/>
            <w:hideMark/>
          </w:tcPr>
          <w:p w14:paraId="31F9A3D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7 990</w:t>
            </w:r>
          </w:p>
        </w:tc>
        <w:tc>
          <w:tcPr>
            <w:tcW w:w="837" w:type="dxa"/>
            <w:tcBorders>
              <w:top w:val="single" w:sz="4" w:space="0" w:color="auto"/>
              <w:left w:val="nil"/>
              <w:bottom w:val="single" w:sz="4" w:space="0" w:color="auto"/>
              <w:right w:val="nil"/>
            </w:tcBorders>
            <w:shd w:val="clear" w:color="auto" w:fill="auto"/>
            <w:noWrap/>
            <w:vAlign w:val="center"/>
            <w:hideMark/>
          </w:tcPr>
          <w:p w14:paraId="510F5070" w14:textId="358F93B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003" w:type="dxa"/>
            <w:tcBorders>
              <w:top w:val="single" w:sz="4" w:space="0" w:color="auto"/>
              <w:left w:val="single" w:sz="4" w:space="0" w:color="auto"/>
              <w:bottom w:val="single" w:sz="4" w:space="0" w:color="auto"/>
              <w:right w:val="nil"/>
            </w:tcBorders>
            <w:shd w:val="clear" w:color="auto" w:fill="auto"/>
            <w:noWrap/>
            <w:vAlign w:val="bottom"/>
            <w:hideMark/>
          </w:tcPr>
          <w:p w14:paraId="538DB0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8 022</w:t>
            </w:r>
          </w:p>
        </w:tc>
        <w:tc>
          <w:tcPr>
            <w:tcW w:w="837" w:type="dxa"/>
            <w:tcBorders>
              <w:top w:val="single" w:sz="4" w:space="0" w:color="auto"/>
              <w:left w:val="nil"/>
              <w:bottom w:val="single" w:sz="4" w:space="0" w:color="auto"/>
              <w:right w:val="single" w:sz="4" w:space="0" w:color="auto"/>
            </w:tcBorders>
            <w:shd w:val="clear" w:color="auto" w:fill="auto"/>
            <w:noWrap/>
            <w:vAlign w:val="center"/>
            <w:hideMark/>
          </w:tcPr>
          <w:p w14:paraId="7DBED9F2" w14:textId="45C07BB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944" w:type="dxa"/>
            <w:tcBorders>
              <w:top w:val="single" w:sz="4" w:space="0" w:color="auto"/>
              <w:left w:val="nil"/>
              <w:bottom w:val="single" w:sz="4" w:space="0" w:color="auto"/>
              <w:right w:val="nil"/>
            </w:tcBorders>
            <w:shd w:val="clear" w:color="auto" w:fill="auto"/>
            <w:noWrap/>
            <w:vAlign w:val="bottom"/>
            <w:hideMark/>
          </w:tcPr>
          <w:p w14:paraId="1DBC0C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1 213</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523C5B2B" w14:textId="7904D66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708257AF" w14:textId="2B17106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100,4 %</w:t>
            </w:r>
          </w:p>
        </w:tc>
      </w:tr>
      <w:tr w:rsidR="008430BD" w:rsidRPr="001C3EC8" w14:paraId="0B008A16"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44D363A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03" w:type="dxa"/>
            <w:tcBorders>
              <w:top w:val="nil"/>
              <w:left w:val="nil"/>
              <w:bottom w:val="single" w:sz="4" w:space="0" w:color="auto"/>
              <w:right w:val="nil"/>
            </w:tcBorders>
            <w:shd w:val="clear" w:color="auto" w:fill="auto"/>
            <w:noWrap/>
            <w:vAlign w:val="bottom"/>
            <w:hideMark/>
          </w:tcPr>
          <w:p w14:paraId="7CA2784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7 301</w:t>
            </w:r>
          </w:p>
        </w:tc>
        <w:tc>
          <w:tcPr>
            <w:tcW w:w="837" w:type="dxa"/>
            <w:tcBorders>
              <w:top w:val="nil"/>
              <w:left w:val="nil"/>
              <w:bottom w:val="single" w:sz="4" w:space="0" w:color="auto"/>
              <w:right w:val="nil"/>
            </w:tcBorders>
            <w:shd w:val="clear" w:color="auto" w:fill="auto"/>
            <w:noWrap/>
            <w:vAlign w:val="center"/>
            <w:hideMark/>
          </w:tcPr>
          <w:p w14:paraId="7FECEC45" w14:textId="6FB407F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03" w:type="dxa"/>
            <w:tcBorders>
              <w:top w:val="nil"/>
              <w:left w:val="single" w:sz="4" w:space="0" w:color="auto"/>
              <w:bottom w:val="single" w:sz="4" w:space="0" w:color="auto"/>
              <w:right w:val="nil"/>
            </w:tcBorders>
            <w:shd w:val="clear" w:color="auto" w:fill="auto"/>
            <w:noWrap/>
            <w:vAlign w:val="bottom"/>
            <w:hideMark/>
          </w:tcPr>
          <w:p w14:paraId="3F3100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7 224</w:t>
            </w:r>
          </w:p>
        </w:tc>
        <w:tc>
          <w:tcPr>
            <w:tcW w:w="837" w:type="dxa"/>
            <w:tcBorders>
              <w:top w:val="nil"/>
              <w:left w:val="nil"/>
              <w:bottom w:val="single" w:sz="4" w:space="0" w:color="auto"/>
              <w:right w:val="single" w:sz="4" w:space="0" w:color="auto"/>
            </w:tcBorders>
            <w:shd w:val="clear" w:color="auto" w:fill="auto"/>
            <w:noWrap/>
            <w:vAlign w:val="center"/>
            <w:hideMark/>
          </w:tcPr>
          <w:p w14:paraId="55FFAF5E" w14:textId="25C0FF1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944" w:type="dxa"/>
            <w:tcBorders>
              <w:top w:val="nil"/>
              <w:left w:val="nil"/>
              <w:bottom w:val="single" w:sz="4" w:space="0" w:color="auto"/>
              <w:right w:val="nil"/>
            </w:tcBorders>
            <w:shd w:val="clear" w:color="auto" w:fill="auto"/>
            <w:noWrap/>
            <w:vAlign w:val="bottom"/>
            <w:hideMark/>
          </w:tcPr>
          <w:p w14:paraId="4CF7919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641</w:t>
            </w:r>
          </w:p>
        </w:tc>
        <w:tc>
          <w:tcPr>
            <w:tcW w:w="957" w:type="dxa"/>
            <w:tcBorders>
              <w:top w:val="nil"/>
              <w:left w:val="nil"/>
              <w:bottom w:val="single" w:sz="4" w:space="0" w:color="auto"/>
              <w:right w:val="single" w:sz="4" w:space="0" w:color="auto"/>
            </w:tcBorders>
            <w:shd w:val="clear" w:color="auto" w:fill="auto"/>
            <w:noWrap/>
            <w:vAlign w:val="center"/>
            <w:hideMark/>
          </w:tcPr>
          <w:p w14:paraId="50997C5D" w14:textId="6AC9345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2B44D733" w14:textId="2EDCB9B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98,9 %</w:t>
            </w:r>
          </w:p>
        </w:tc>
      </w:tr>
      <w:tr w:rsidR="008430BD" w:rsidRPr="001C3EC8" w14:paraId="60DC169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EBE173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03" w:type="dxa"/>
            <w:tcBorders>
              <w:top w:val="nil"/>
              <w:left w:val="nil"/>
              <w:bottom w:val="single" w:sz="4" w:space="0" w:color="auto"/>
              <w:right w:val="nil"/>
            </w:tcBorders>
            <w:shd w:val="clear" w:color="auto" w:fill="auto"/>
            <w:noWrap/>
            <w:vAlign w:val="bottom"/>
            <w:hideMark/>
          </w:tcPr>
          <w:p w14:paraId="4D8CFBF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4 139</w:t>
            </w:r>
          </w:p>
        </w:tc>
        <w:tc>
          <w:tcPr>
            <w:tcW w:w="837" w:type="dxa"/>
            <w:tcBorders>
              <w:top w:val="nil"/>
              <w:left w:val="nil"/>
              <w:bottom w:val="single" w:sz="4" w:space="0" w:color="auto"/>
              <w:right w:val="nil"/>
            </w:tcBorders>
            <w:shd w:val="clear" w:color="auto" w:fill="auto"/>
            <w:noWrap/>
            <w:vAlign w:val="center"/>
            <w:hideMark/>
          </w:tcPr>
          <w:p w14:paraId="34ABC113" w14:textId="09F740F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1003" w:type="dxa"/>
            <w:tcBorders>
              <w:top w:val="nil"/>
              <w:left w:val="single" w:sz="4" w:space="0" w:color="auto"/>
              <w:bottom w:val="single" w:sz="4" w:space="0" w:color="auto"/>
              <w:right w:val="nil"/>
            </w:tcBorders>
            <w:shd w:val="clear" w:color="auto" w:fill="auto"/>
            <w:noWrap/>
            <w:vAlign w:val="bottom"/>
            <w:hideMark/>
          </w:tcPr>
          <w:p w14:paraId="3C1AB7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4 157</w:t>
            </w:r>
          </w:p>
        </w:tc>
        <w:tc>
          <w:tcPr>
            <w:tcW w:w="837" w:type="dxa"/>
            <w:tcBorders>
              <w:top w:val="nil"/>
              <w:left w:val="nil"/>
              <w:bottom w:val="single" w:sz="4" w:space="0" w:color="auto"/>
              <w:right w:val="single" w:sz="4" w:space="0" w:color="auto"/>
            </w:tcBorders>
            <w:shd w:val="clear" w:color="auto" w:fill="auto"/>
            <w:noWrap/>
            <w:vAlign w:val="center"/>
            <w:hideMark/>
          </w:tcPr>
          <w:p w14:paraId="67F1A81D" w14:textId="1D30D08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944" w:type="dxa"/>
            <w:tcBorders>
              <w:top w:val="nil"/>
              <w:left w:val="nil"/>
              <w:bottom w:val="single" w:sz="4" w:space="0" w:color="auto"/>
              <w:right w:val="nil"/>
            </w:tcBorders>
            <w:shd w:val="clear" w:color="auto" w:fill="auto"/>
            <w:noWrap/>
            <w:vAlign w:val="bottom"/>
            <w:hideMark/>
          </w:tcPr>
          <w:p w14:paraId="3CCB42E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671</w:t>
            </w:r>
          </w:p>
        </w:tc>
        <w:tc>
          <w:tcPr>
            <w:tcW w:w="957" w:type="dxa"/>
            <w:tcBorders>
              <w:top w:val="nil"/>
              <w:left w:val="nil"/>
              <w:bottom w:val="single" w:sz="4" w:space="0" w:color="auto"/>
              <w:right w:val="single" w:sz="4" w:space="0" w:color="auto"/>
            </w:tcBorders>
            <w:shd w:val="clear" w:color="auto" w:fill="auto"/>
            <w:noWrap/>
            <w:vAlign w:val="center"/>
            <w:hideMark/>
          </w:tcPr>
          <w:p w14:paraId="5CD2F7CD" w14:textId="66A3169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247969C9" w14:textId="64CDCF8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100,4 %</w:t>
            </w:r>
          </w:p>
        </w:tc>
      </w:tr>
      <w:tr w:rsidR="008430BD" w:rsidRPr="001C3EC8" w14:paraId="3E7F0F22"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65B7F2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03" w:type="dxa"/>
            <w:tcBorders>
              <w:top w:val="nil"/>
              <w:left w:val="nil"/>
              <w:bottom w:val="single" w:sz="4" w:space="0" w:color="auto"/>
              <w:right w:val="nil"/>
            </w:tcBorders>
            <w:shd w:val="clear" w:color="auto" w:fill="auto"/>
            <w:noWrap/>
            <w:vAlign w:val="bottom"/>
            <w:hideMark/>
          </w:tcPr>
          <w:p w14:paraId="2F294B3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5 740</w:t>
            </w:r>
          </w:p>
        </w:tc>
        <w:tc>
          <w:tcPr>
            <w:tcW w:w="837" w:type="dxa"/>
            <w:tcBorders>
              <w:top w:val="nil"/>
              <w:left w:val="nil"/>
              <w:bottom w:val="single" w:sz="4" w:space="0" w:color="auto"/>
              <w:right w:val="nil"/>
            </w:tcBorders>
            <w:shd w:val="clear" w:color="auto" w:fill="auto"/>
            <w:noWrap/>
            <w:vAlign w:val="center"/>
            <w:hideMark/>
          </w:tcPr>
          <w:p w14:paraId="5E374D3A" w14:textId="3BF3F08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03" w:type="dxa"/>
            <w:tcBorders>
              <w:top w:val="nil"/>
              <w:left w:val="single" w:sz="4" w:space="0" w:color="auto"/>
              <w:bottom w:val="single" w:sz="4" w:space="0" w:color="auto"/>
              <w:right w:val="nil"/>
            </w:tcBorders>
            <w:shd w:val="clear" w:color="auto" w:fill="auto"/>
            <w:noWrap/>
            <w:vAlign w:val="bottom"/>
            <w:hideMark/>
          </w:tcPr>
          <w:p w14:paraId="0A9A988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5 760</w:t>
            </w:r>
          </w:p>
        </w:tc>
        <w:tc>
          <w:tcPr>
            <w:tcW w:w="837" w:type="dxa"/>
            <w:tcBorders>
              <w:top w:val="nil"/>
              <w:left w:val="nil"/>
              <w:bottom w:val="single" w:sz="4" w:space="0" w:color="auto"/>
              <w:right w:val="single" w:sz="4" w:space="0" w:color="auto"/>
            </w:tcBorders>
            <w:shd w:val="clear" w:color="auto" w:fill="auto"/>
            <w:noWrap/>
            <w:vAlign w:val="center"/>
            <w:hideMark/>
          </w:tcPr>
          <w:p w14:paraId="67D9CFC0" w14:textId="7CB673C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44" w:type="dxa"/>
            <w:tcBorders>
              <w:top w:val="nil"/>
              <w:left w:val="nil"/>
              <w:bottom w:val="single" w:sz="4" w:space="0" w:color="auto"/>
              <w:right w:val="nil"/>
            </w:tcBorders>
            <w:shd w:val="clear" w:color="auto" w:fill="auto"/>
            <w:noWrap/>
            <w:vAlign w:val="bottom"/>
            <w:hideMark/>
          </w:tcPr>
          <w:p w14:paraId="2A03E3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1 237</w:t>
            </w:r>
          </w:p>
        </w:tc>
        <w:tc>
          <w:tcPr>
            <w:tcW w:w="957" w:type="dxa"/>
            <w:tcBorders>
              <w:top w:val="nil"/>
              <w:left w:val="nil"/>
              <w:bottom w:val="single" w:sz="4" w:space="0" w:color="auto"/>
              <w:right w:val="single" w:sz="4" w:space="0" w:color="auto"/>
            </w:tcBorders>
            <w:shd w:val="clear" w:color="auto" w:fill="auto"/>
            <w:noWrap/>
            <w:vAlign w:val="center"/>
            <w:hideMark/>
          </w:tcPr>
          <w:p w14:paraId="7244FEE9" w14:textId="23AA354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5BF41965" w14:textId="469FB91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100,3 %</w:t>
            </w:r>
          </w:p>
        </w:tc>
      </w:tr>
      <w:tr w:rsidR="008430BD" w:rsidRPr="001C3EC8" w14:paraId="46377EC2"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B74643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03" w:type="dxa"/>
            <w:tcBorders>
              <w:top w:val="nil"/>
              <w:left w:val="nil"/>
              <w:bottom w:val="single" w:sz="4" w:space="0" w:color="auto"/>
              <w:right w:val="nil"/>
            </w:tcBorders>
            <w:shd w:val="clear" w:color="auto" w:fill="auto"/>
            <w:noWrap/>
            <w:vAlign w:val="bottom"/>
            <w:hideMark/>
          </w:tcPr>
          <w:p w14:paraId="2B357C2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10 669</w:t>
            </w:r>
          </w:p>
        </w:tc>
        <w:tc>
          <w:tcPr>
            <w:tcW w:w="837" w:type="dxa"/>
            <w:tcBorders>
              <w:top w:val="nil"/>
              <w:left w:val="nil"/>
              <w:bottom w:val="single" w:sz="4" w:space="0" w:color="auto"/>
              <w:right w:val="nil"/>
            </w:tcBorders>
            <w:shd w:val="clear" w:color="auto" w:fill="auto"/>
            <w:noWrap/>
            <w:vAlign w:val="center"/>
            <w:hideMark/>
          </w:tcPr>
          <w:p w14:paraId="3DE8CCC5" w14:textId="483EFD0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03" w:type="dxa"/>
            <w:tcBorders>
              <w:top w:val="nil"/>
              <w:left w:val="single" w:sz="4" w:space="0" w:color="auto"/>
              <w:bottom w:val="single" w:sz="4" w:space="0" w:color="auto"/>
              <w:right w:val="nil"/>
            </w:tcBorders>
            <w:shd w:val="clear" w:color="auto" w:fill="auto"/>
            <w:noWrap/>
            <w:vAlign w:val="bottom"/>
            <w:hideMark/>
          </w:tcPr>
          <w:p w14:paraId="27046AE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10 781</w:t>
            </w:r>
          </w:p>
        </w:tc>
        <w:tc>
          <w:tcPr>
            <w:tcW w:w="837" w:type="dxa"/>
            <w:tcBorders>
              <w:top w:val="nil"/>
              <w:left w:val="nil"/>
              <w:bottom w:val="single" w:sz="4" w:space="0" w:color="auto"/>
              <w:right w:val="single" w:sz="4" w:space="0" w:color="auto"/>
            </w:tcBorders>
            <w:shd w:val="clear" w:color="auto" w:fill="auto"/>
            <w:noWrap/>
            <w:vAlign w:val="center"/>
            <w:hideMark/>
          </w:tcPr>
          <w:p w14:paraId="6F86B2E7" w14:textId="2BDAD34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44" w:type="dxa"/>
            <w:tcBorders>
              <w:top w:val="nil"/>
              <w:left w:val="nil"/>
              <w:bottom w:val="single" w:sz="4" w:space="0" w:color="auto"/>
              <w:right w:val="nil"/>
            </w:tcBorders>
            <w:shd w:val="clear" w:color="auto" w:fill="auto"/>
            <w:noWrap/>
            <w:vAlign w:val="bottom"/>
            <w:hideMark/>
          </w:tcPr>
          <w:p w14:paraId="1D8A399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3 381</w:t>
            </w:r>
          </w:p>
        </w:tc>
        <w:tc>
          <w:tcPr>
            <w:tcW w:w="957" w:type="dxa"/>
            <w:tcBorders>
              <w:top w:val="nil"/>
              <w:left w:val="nil"/>
              <w:bottom w:val="single" w:sz="4" w:space="0" w:color="auto"/>
              <w:right w:val="single" w:sz="4" w:space="0" w:color="auto"/>
            </w:tcBorders>
            <w:shd w:val="clear" w:color="auto" w:fill="auto"/>
            <w:noWrap/>
            <w:vAlign w:val="center"/>
            <w:hideMark/>
          </w:tcPr>
          <w:p w14:paraId="5ACFF819" w14:textId="719D0EF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776DB14B" w14:textId="788CD75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101,0 %</w:t>
            </w:r>
          </w:p>
        </w:tc>
      </w:tr>
      <w:tr w:rsidR="008430BD" w:rsidRPr="001C3EC8" w14:paraId="140E8DF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5A06C3B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03" w:type="dxa"/>
            <w:tcBorders>
              <w:top w:val="nil"/>
              <w:left w:val="nil"/>
              <w:bottom w:val="single" w:sz="4" w:space="0" w:color="auto"/>
              <w:right w:val="nil"/>
            </w:tcBorders>
            <w:shd w:val="clear" w:color="auto" w:fill="auto"/>
            <w:noWrap/>
            <w:vAlign w:val="bottom"/>
            <w:hideMark/>
          </w:tcPr>
          <w:p w14:paraId="508E81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5 911</w:t>
            </w:r>
          </w:p>
        </w:tc>
        <w:tc>
          <w:tcPr>
            <w:tcW w:w="837" w:type="dxa"/>
            <w:tcBorders>
              <w:top w:val="nil"/>
              <w:left w:val="nil"/>
              <w:bottom w:val="single" w:sz="4" w:space="0" w:color="auto"/>
              <w:right w:val="nil"/>
            </w:tcBorders>
            <w:shd w:val="clear" w:color="auto" w:fill="auto"/>
            <w:noWrap/>
            <w:vAlign w:val="center"/>
            <w:hideMark/>
          </w:tcPr>
          <w:p w14:paraId="05FB521C" w14:textId="070E428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03" w:type="dxa"/>
            <w:tcBorders>
              <w:top w:val="nil"/>
              <w:left w:val="single" w:sz="4" w:space="0" w:color="auto"/>
              <w:bottom w:val="single" w:sz="4" w:space="0" w:color="auto"/>
              <w:right w:val="nil"/>
            </w:tcBorders>
            <w:shd w:val="clear" w:color="auto" w:fill="auto"/>
            <w:noWrap/>
            <w:vAlign w:val="bottom"/>
            <w:hideMark/>
          </w:tcPr>
          <w:p w14:paraId="1589AE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5 925</w:t>
            </w:r>
          </w:p>
        </w:tc>
        <w:tc>
          <w:tcPr>
            <w:tcW w:w="837" w:type="dxa"/>
            <w:tcBorders>
              <w:top w:val="nil"/>
              <w:left w:val="nil"/>
              <w:bottom w:val="single" w:sz="4" w:space="0" w:color="auto"/>
              <w:right w:val="single" w:sz="4" w:space="0" w:color="auto"/>
            </w:tcBorders>
            <w:shd w:val="clear" w:color="auto" w:fill="auto"/>
            <w:noWrap/>
            <w:vAlign w:val="center"/>
            <w:hideMark/>
          </w:tcPr>
          <w:p w14:paraId="5DEDA76F" w14:textId="4B90524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44" w:type="dxa"/>
            <w:tcBorders>
              <w:top w:val="nil"/>
              <w:left w:val="nil"/>
              <w:bottom w:val="single" w:sz="4" w:space="0" w:color="auto"/>
              <w:right w:val="nil"/>
            </w:tcBorders>
            <w:shd w:val="clear" w:color="auto" w:fill="auto"/>
            <w:noWrap/>
            <w:vAlign w:val="bottom"/>
            <w:hideMark/>
          </w:tcPr>
          <w:p w14:paraId="013D28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650</w:t>
            </w:r>
          </w:p>
        </w:tc>
        <w:tc>
          <w:tcPr>
            <w:tcW w:w="957" w:type="dxa"/>
            <w:tcBorders>
              <w:top w:val="nil"/>
              <w:left w:val="nil"/>
              <w:bottom w:val="single" w:sz="4" w:space="0" w:color="auto"/>
              <w:right w:val="single" w:sz="4" w:space="0" w:color="auto"/>
            </w:tcBorders>
            <w:shd w:val="clear" w:color="auto" w:fill="auto"/>
            <w:noWrap/>
            <w:vAlign w:val="center"/>
            <w:hideMark/>
          </w:tcPr>
          <w:p w14:paraId="223F65FE" w14:textId="151D7A4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75388335" w14:textId="4E2ED81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100,2 %</w:t>
            </w:r>
          </w:p>
        </w:tc>
      </w:tr>
      <w:tr w:rsidR="008430BD" w:rsidRPr="001C3EC8" w14:paraId="0C29FB73"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D6908C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03" w:type="dxa"/>
            <w:tcBorders>
              <w:top w:val="nil"/>
              <w:left w:val="nil"/>
              <w:bottom w:val="single" w:sz="4" w:space="0" w:color="auto"/>
              <w:right w:val="nil"/>
            </w:tcBorders>
            <w:shd w:val="clear" w:color="auto" w:fill="auto"/>
            <w:noWrap/>
            <w:vAlign w:val="bottom"/>
            <w:hideMark/>
          </w:tcPr>
          <w:p w14:paraId="1182C8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9 736</w:t>
            </w:r>
          </w:p>
        </w:tc>
        <w:tc>
          <w:tcPr>
            <w:tcW w:w="837" w:type="dxa"/>
            <w:tcBorders>
              <w:top w:val="nil"/>
              <w:left w:val="nil"/>
              <w:bottom w:val="single" w:sz="4" w:space="0" w:color="auto"/>
              <w:right w:val="nil"/>
            </w:tcBorders>
            <w:shd w:val="clear" w:color="auto" w:fill="auto"/>
            <w:noWrap/>
            <w:vAlign w:val="center"/>
            <w:hideMark/>
          </w:tcPr>
          <w:p w14:paraId="6152F39F" w14:textId="4A89A18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03" w:type="dxa"/>
            <w:tcBorders>
              <w:top w:val="nil"/>
              <w:left w:val="single" w:sz="4" w:space="0" w:color="auto"/>
              <w:bottom w:val="single" w:sz="4" w:space="0" w:color="auto"/>
              <w:right w:val="nil"/>
            </w:tcBorders>
            <w:shd w:val="clear" w:color="auto" w:fill="auto"/>
            <w:noWrap/>
            <w:vAlign w:val="bottom"/>
            <w:hideMark/>
          </w:tcPr>
          <w:p w14:paraId="4659172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9 762</w:t>
            </w:r>
          </w:p>
        </w:tc>
        <w:tc>
          <w:tcPr>
            <w:tcW w:w="837" w:type="dxa"/>
            <w:tcBorders>
              <w:top w:val="nil"/>
              <w:left w:val="nil"/>
              <w:bottom w:val="single" w:sz="4" w:space="0" w:color="auto"/>
              <w:right w:val="single" w:sz="4" w:space="0" w:color="auto"/>
            </w:tcBorders>
            <w:shd w:val="clear" w:color="auto" w:fill="auto"/>
            <w:noWrap/>
            <w:vAlign w:val="center"/>
            <w:hideMark/>
          </w:tcPr>
          <w:p w14:paraId="62D9ADFF" w14:textId="04C8974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944" w:type="dxa"/>
            <w:tcBorders>
              <w:top w:val="nil"/>
              <w:left w:val="nil"/>
              <w:bottom w:val="single" w:sz="4" w:space="0" w:color="auto"/>
              <w:right w:val="nil"/>
            </w:tcBorders>
            <w:shd w:val="clear" w:color="auto" w:fill="auto"/>
            <w:noWrap/>
            <w:vAlign w:val="bottom"/>
            <w:hideMark/>
          </w:tcPr>
          <w:p w14:paraId="53F4FB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1 648</w:t>
            </w:r>
          </w:p>
        </w:tc>
        <w:tc>
          <w:tcPr>
            <w:tcW w:w="957" w:type="dxa"/>
            <w:tcBorders>
              <w:top w:val="nil"/>
              <w:left w:val="nil"/>
              <w:bottom w:val="single" w:sz="4" w:space="0" w:color="auto"/>
              <w:right w:val="single" w:sz="4" w:space="0" w:color="auto"/>
            </w:tcBorders>
            <w:shd w:val="clear" w:color="auto" w:fill="auto"/>
            <w:noWrap/>
            <w:vAlign w:val="center"/>
            <w:hideMark/>
          </w:tcPr>
          <w:p w14:paraId="785CC015" w14:textId="0992B7E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539" w:type="dxa"/>
            <w:tcBorders>
              <w:top w:val="nil"/>
              <w:left w:val="nil"/>
              <w:bottom w:val="single" w:sz="4" w:space="0" w:color="auto"/>
              <w:right w:val="nil"/>
            </w:tcBorders>
            <w:shd w:val="clear" w:color="auto" w:fill="auto"/>
            <w:noWrap/>
            <w:vAlign w:val="center"/>
            <w:hideMark/>
          </w:tcPr>
          <w:p w14:paraId="1941CB89" w14:textId="7625956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100,3 %</w:t>
            </w:r>
          </w:p>
        </w:tc>
      </w:tr>
      <w:tr w:rsidR="008430BD" w:rsidRPr="001C3EC8" w14:paraId="3FE4B50B"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41A0127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03" w:type="dxa"/>
            <w:tcBorders>
              <w:top w:val="nil"/>
              <w:left w:val="nil"/>
              <w:bottom w:val="double" w:sz="6" w:space="0" w:color="auto"/>
              <w:right w:val="nil"/>
            </w:tcBorders>
            <w:shd w:val="clear" w:color="auto" w:fill="auto"/>
            <w:noWrap/>
            <w:vAlign w:val="bottom"/>
            <w:hideMark/>
          </w:tcPr>
          <w:p w14:paraId="34F2299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12 454</w:t>
            </w:r>
          </w:p>
        </w:tc>
        <w:tc>
          <w:tcPr>
            <w:tcW w:w="837" w:type="dxa"/>
            <w:tcBorders>
              <w:top w:val="nil"/>
              <w:left w:val="nil"/>
              <w:bottom w:val="double" w:sz="6" w:space="0" w:color="auto"/>
              <w:right w:val="nil"/>
            </w:tcBorders>
            <w:shd w:val="clear" w:color="auto" w:fill="auto"/>
            <w:noWrap/>
            <w:vAlign w:val="center"/>
            <w:hideMark/>
          </w:tcPr>
          <w:p w14:paraId="49325A13" w14:textId="4DB35EC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1003" w:type="dxa"/>
            <w:tcBorders>
              <w:top w:val="nil"/>
              <w:left w:val="single" w:sz="4" w:space="0" w:color="auto"/>
              <w:bottom w:val="double" w:sz="6" w:space="0" w:color="auto"/>
              <w:right w:val="nil"/>
            </w:tcBorders>
            <w:shd w:val="clear" w:color="auto" w:fill="auto"/>
            <w:noWrap/>
            <w:vAlign w:val="bottom"/>
            <w:hideMark/>
          </w:tcPr>
          <w:p w14:paraId="2BB66B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12 458</w:t>
            </w:r>
          </w:p>
        </w:tc>
        <w:tc>
          <w:tcPr>
            <w:tcW w:w="837" w:type="dxa"/>
            <w:tcBorders>
              <w:top w:val="nil"/>
              <w:left w:val="nil"/>
              <w:bottom w:val="double" w:sz="6" w:space="0" w:color="auto"/>
              <w:right w:val="single" w:sz="4" w:space="0" w:color="auto"/>
            </w:tcBorders>
            <w:shd w:val="clear" w:color="auto" w:fill="auto"/>
            <w:noWrap/>
            <w:vAlign w:val="center"/>
            <w:hideMark/>
          </w:tcPr>
          <w:p w14:paraId="103513D6" w14:textId="50941DF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944" w:type="dxa"/>
            <w:tcBorders>
              <w:top w:val="nil"/>
              <w:left w:val="nil"/>
              <w:bottom w:val="double" w:sz="6" w:space="0" w:color="auto"/>
              <w:right w:val="nil"/>
            </w:tcBorders>
            <w:shd w:val="clear" w:color="auto" w:fill="auto"/>
            <w:noWrap/>
            <w:vAlign w:val="bottom"/>
            <w:hideMark/>
          </w:tcPr>
          <w:p w14:paraId="5F46AA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2 685</w:t>
            </w:r>
          </w:p>
        </w:tc>
        <w:tc>
          <w:tcPr>
            <w:tcW w:w="957" w:type="dxa"/>
            <w:tcBorders>
              <w:top w:val="nil"/>
              <w:left w:val="nil"/>
              <w:bottom w:val="double" w:sz="6" w:space="0" w:color="auto"/>
              <w:right w:val="single" w:sz="4" w:space="0" w:color="auto"/>
            </w:tcBorders>
            <w:shd w:val="clear" w:color="auto" w:fill="auto"/>
            <w:noWrap/>
            <w:vAlign w:val="center"/>
            <w:hideMark/>
          </w:tcPr>
          <w:p w14:paraId="3515F458" w14:textId="19113BD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1539" w:type="dxa"/>
            <w:tcBorders>
              <w:top w:val="nil"/>
              <w:left w:val="nil"/>
              <w:bottom w:val="nil"/>
              <w:right w:val="nil"/>
            </w:tcBorders>
            <w:shd w:val="clear" w:color="auto" w:fill="auto"/>
            <w:noWrap/>
            <w:vAlign w:val="center"/>
            <w:hideMark/>
          </w:tcPr>
          <w:p w14:paraId="264BAAD0" w14:textId="1AE11AC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100,0 %</w:t>
            </w:r>
          </w:p>
        </w:tc>
      </w:tr>
      <w:tr w:rsidR="008430BD" w:rsidRPr="001C3EC8" w14:paraId="738B297E"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44024BC6"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03" w:type="dxa"/>
            <w:tcBorders>
              <w:top w:val="nil"/>
              <w:left w:val="nil"/>
              <w:bottom w:val="double" w:sz="6" w:space="0" w:color="auto"/>
              <w:right w:val="nil"/>
            </w:tcBorders>
            <w:shd w:val="clear" w:color="auto" w:fill="auto"/>
            <w:noWrap/>
            <w:vAlign w:val="bottom"/>
            <w:hideMark/>
          </w:tcPr>
          <w:p w14:paraId="2721D08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63 940</w:t>
            </w:r>
          </w:p>
        </w:tc>
        <w:tc>
          <w:tcPr>
            <w:tcW w:w="837" w:type="dxa"/>
            <w:tcBorders>
              <w:top w:val="nil"/>
              <w:left w:val="nil"/>
              <w:bottom w:val="double" w:sz="6" w:space="0" w:color="auto"/>
              <w:right w:val="nil"/>
            </w:tcBorders>
            <w:shd w:val="clear" w:color="auto" w:fill="auto"/>
            <w:noWrap/>
            <w:vAlign w:val="center"/>
            <w:hideMark/>
          </w:tcPr>
          <w:p w14:paraId="5749D6EF" w14:textId="07630B6C"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-13 </w:t>
            </w:r>
            <w:r w:rsidR="00B07E76">
              <w:rPr>
                <w:rFonts w:eastAsia="Times New Roman"/>
                <w:b/>
                <w:bCs/>
                <w:color w:val="000000" w:themeColor="text1"/>
                <w:sz w:val="20"/>
                <w:szCs w:val="20"/>
                <w:lang w:eastAsia="cs-CZ"/>
              </w:rPr>
              <w:t>%</w:t>
            </w:r>
          </w:p>
        </w:tc>
        <w:tc>
          <w:tcPr>
            <w:tcW w:w="1003" w:type="dxa"/>
            <w:tcBorders>
              <w:top w:val="nil"/>
              <w:left w:val="single" w:sz="4" w:space="0" w:color="auto"/>
              <w:bottom w:val="double" w:sz="6" w:space="0" w:color="auto"/>
              <w:right w:val="nil"/>
            </w:tcBorders>
            <w:shd w:val="clear" w:color="auto" w:fill="auto"/>
            <w:noWrap/>
            <w:vAlign w:val="bottom"/>
            <w:hideMark/>
          </w:tcPr>
          <w:p w14:paraId="46C76D6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64 089</w:t>
            </w:r>
          </w:p>
        </w:tc>
        <w:tc>
          <w:tcPr>
            <w:tcW w:w="837" w:type="dxa"/>
            <w:tcBorders>
              <w:top w:val="nil"/>
              <w:left w:val="nil"/>
              <w:bottom w:val="double" w:sz="6" w:space="0" w:color="auto"/>
              <w:right w:val="single" w:sz="4" w:space="0" w:color="auto"/>
            </w:tcBorders>
            <w:shd w:val="clear" w:color="auto" w:fill="auto"/>
            <w:noWrap/>
            <w:vAlign w:val="center"/>
            <w:hideMark/>
          </w:tcPr>
          <w:p w14:paraId="6BBC2B48" w14:textId="5F37533C"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-13 </w:t>
            </w:r>
            <w:r w:rsidR="00B07E76">
              <w:rPr>
                <w:rFonts w:eastAsia="Times New Roman"/>
                <w:b/>
                <w:bCs/>
                <w:color w:val="000000" w:themeColor="text1"/>
                <w:sz w:val="20"/>
                <w:szCs w:val="20"/>
                <w:lang w:eastAsia="cs-CZ"/>
              </w:rPr>
              <w:t>%</w:t>
            </w:r>
          </w:p>
        </w:tc>
        <w:tc>
          <w:tcPr>
            <w:tcW w:w="944" w:type="dxa"/>
            <w:tcBorders>
              <w:top w:val="nil"/>
              <w:left w:val="nil"/>
              <w:bottom w:val="double" w:sz="6" w:space="0" w:color="auto"/>
              <w:right w:val="nil"/>
            </w:tcBorders>
            <w:shd w:val="clear" w:color="auto" w:fill="auto"/>
            <w:noWrap/>
            <w:vAlign w:val="bottom"/>
            <w:hideMark/>
          </w:tcPr>
          <w:p w14:paraId="2CD54B7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12 126</w:t>
            </w:r>
          </w:p>
        </w:tc>
        <w:tc>
          <w:tcPr>
            <w:tcW w:w="957" w:type="dxa"/>
            <w:tcBorders>
              <w:top w:val="nil"/>
              <w:left w:val="nil"/>
              <w:bottom w:val="double" w:sz="6" w:space="0" w:color="auto"/>
              <w:right w:val="single" w:sz="4" w:space="0" w:color="auto"/>
            </w:tcBorders>
            <w:shd w:val="clear" w:color="auto" w:fill="auto"/>
            <w:noWrap/>
            <w:vAlign w:val="center"/>
            <w:hideMark/>
          </w:tcPr>
          <w:p w14:paraId="0DBCD3B3" w14:textId="3BC05654"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1539" w:type="dxa"/>
            <w:tcBorders>
              <w:top w:val="double" w:sz="6" w:space="0" w:color="auto"/>
              <w:left w:val="nil"/>
              <w:bottom w:val="double" w:sz="6" w:space="0" w:color="auto"/>
              <w:right w:val="nil"/>
            </w:tcBorders>
            <w:shd w:val="clear" w:color="auto" w:fill="auto"/>
            <w:noWrap/>
            <w:vAlign w:val="center"/>
            <w:hideMark/>
          </w:tcPr>
          <w:p w14:paraId="201227BC" w14:textId="48CC6103"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100,2 %</w:t>
            </w:r>
          </w:p>
        </w:tc>
      </w:tr>
    </w:tbl>
    <w:p w14:paraId="3CC3AA94" w14:textId="77777777" w:rsidR="008430BD" w:rsidRPr="001C3EC8" w:rsidRDefault="008430BD" w:rsidP="008430BD">
      <w:pPr>
        <w:spacing w:line="240" w:lineRule="auto"/>
        <w:jc w:val="left"/>
        <w:rPr>
          <w:color w:val="000000" w:themeColor="text1"/>
          <w:highlight w:val="yellow"/>
        </w:rPr>
      </w:pPr>
    </w:p>
    <w:p w14:paraId="3973C782" w14:textId="3CA7EC7F" w:rsidR="008430BD" w:rsidRPr="001C3EC8" w:rsidRDefault="008430BD" w:rsidP="008430BD">
      <w:pPr>
        <w:pStyle w:val="OdstavecASR"/>
        <w:rPr>
          <w:color w:val="000000" w:themeColor="text1"/>
        </w:rPr>
      </w:pPr>
      <w:r w:rsidRPr="001C3EC8">
        <w:rPr>
          <w:color w:val="000000" w:themeColor="text1"/>
        </w:rPr>
        <w:t xml:space="preserve">Míra vyřizování zůstává </w:t>
      </w:r>
      <w:r w:rsidR="00120A38" w:rsidRPr="001C3EC8">
        <w:rPr>
          <w:color w:val="000000" w:themeColor="text1"/>
        </w:rPr>
        <w:t>u</w:t>
      </w:r>
      <w:r w:rsidR="00120A38">
        <w:rPr>
          <w:color w:val="000000" w:themeColor="text1"/>
        </w:rPr>
        <w:t> </w:t>
      </w:r>
      <w:r w:rsidRPr="001C3EC8">
        <w:rPr>
          <w:color w:val="000000" w:themeColor="text1"/>
        </w:rPr>
        <w:t xml:space="preserve">trestních věcí v zásadě na stejné úrovni jako v předchozích letech a činí přibližně 100 % ve všech krajích. Soudní kraj Severní Čechy (nadřízený soud KS Ústí nad Labem), tedy kraj, který vykazuje vysoké délky řízení a velké množství nedodělků, má opět nejvyšší míru vyřizování, ačkoliv klesá </w:t>
      </w:r>
      <w:r w:rsidR="00120A38" w:rsidRPr="001C3EC8">
        <w:rPr>
          <w:color w:val="000000" w:themeColor="text1"/>
        </w:rPr>
        <w:t>a</w:t>
      </w:r>
      <w:r w:rsidR="00120A38">
        <w:rPr>
          <w:color w:val="000000" w:themeColor="text1"/>
        </w:rPr>
        <w:t> </w:t>
      </w:r>
      <w:r w:rsidRPr="001C3EC8">
        <w:rPr>
          <w:color w:val="000000" w:themeColor="text1"/>
        </w:rPr>
        <w:t xml:space="preserve">nyní je jen velmi mírně nad 100 % (v roce 2017 byla na 108,53 %). Situace v tomto kraji se tedy </w:t>
      </w:r>
      <w:r w:rsidR="00120A38" w:rsidRPr="001C3EC8">
        <w:rPr>
          <w:color w:val="000000" w:themeColor="text1"/>
        </w:rPr>
        <w:t>i</w:t>
      </w:r>
      <w:r w:rsidR="00120A38">
        <w:rPr>
          <w:color w:val="000000" w:themeColor="text1"/>
        </w:rPr>
        <w:t> </w:t>
      </w:r>
      <w:r w:rsidRPr="001C3EC8">
        <w:rPr>
          <w:color w:val="000000" w:themeColor="text1"/>
        </w:rPr>
        <w:t>nadále (velmi) pomalu zlepšuje. Jedině ve Středočeském kraji byla míra vyřizování pod 100 %. Kraj je ale v trestní agendě nejlepší v</w:t>
      </w:r>
      <w:r w:rsidR="00D110C7" w:rsidRPr="001C3EC8">
        <w:rPr>
          <w:color w:val="000000" w:themeColor="text1"/>
        </w:rPr>
        <w:t> </w:t>
      </w:r>
      <w:r w:rsidRPr="001C3EC8">
        <w:rPr>
          <w:color w:val="000000" w:themeColor="text1"/>
        </w:rPr>
        <w:t>ČR</w:t>
      </w:r>
      <w:r w:rsidR="00D110C7" w:rsidRPr="001C3EC8">
        <w:rPr>
          <w:color w:val="000000" w:themeColor="text1"/>
        </w:rPr>
        <w:t>.</w:t>
      </w:r>
    </w:p>
    <w:p w14:paraId="29B9949A" w14:textId="0CAC17C2" w:rsidR="008430BD" w:rsidRPr="001C3EC8" w:rsidRDefault="008430BD" w:rsidP="008430BD">
      <w:pPr>
        <w:pStyle w:val="OdstavecASR"/>
        <w:rPr>
          <w:color w:val="000000" w:themeColor="text1"/>
        </w:rPr>
      </w:pPr>
      <w:r w:rsidRPr="001C3EC8">
        <w:rPr>
          <w:color w:val="000000" w:themeColor="text1"/>
        </w:rPr>
        <w:t xml:space="preserve">Stejně jako </w:t>
      </w:r>
      <w:r w:rsidR="00120A38" w:rsidRPr="001C3EC8">
        <w:rPr>
          <w:color w:val="000000" w:themeColor="text1"/>
        </w:rPr>
        <w:t>u</w:t>
      </w:r>
      <w:r w:rsidR="00120A38">
        <w:rPr>
          <w:color w:val="000000" w:themeColor="text1"/>
        </w:rPr>
        <w:t> </w:t>
      </w:r>
      <w:r w:rsidRPr="001C3EC8">
        <w:rPr>
          <w:color w:val="000000" w:themeColor="text1"/>
        </w:rPr>
        <w:t xml:space="preserve">předchozích agend je dále nápad v roce 2020 sledován po měsících. V grafu níže vidíme, že v době prvního </w:t>
      </w:r>
      <w:r w:rsidR="00120A38" w:rsidRPr="001C3EC8">
        <w:rPr>
          <w:color w:val="000000" w:themeColor="text1"/>
        </w:rPr>
        <w:t>i</w:t>
      </w:r>
      <w:r w:rsidR="00120A38">
        <w:rPr>
          <w:color w:val="000000" w:themeColor="text1"/>
        </w:rPr>
        <w:t> </w:t>
      </w:r>
      <w:r w:rsidRPr="001C3EC8">
        <w:rPr>
          <w:color w:val="000000" w:themeColor="text1"/>
        </w:rPr>
        <w:t xml:space="preserve">druhého nouzového stavu došlo k výraznému poklesu nápadu. Pokles byl silný obzvlášť v době prvního nouzového stavu. Vliv mohl mít samotný nouzový stav, ale </w:t>
      </w:r>
      <w:r w:rsidR="00120A38" w:rsidRPr="001C3EC8">
        <w:rPr>
          <w:color w:val="000000" w:themeColor="text1"/>
        </w:rPr>
        <w:t>i</w:t>
      </w:r>
      <w:r w:rsidR="00120A38">
        <w:rPr>
          <w:color w:val="000000" w:themeColor="text1"/>
        </w:rPr>
        <w:t> </w:t>
      </w:r>
      <w:r w:rsidRPr="001C3EC8">
        <w:rPr>
          <w:color w:val="000000" w:themeColor="text1"/>
        </w:rPr>
        <w:t>přijatá opatření, která byla během nouzového stavu nejpřísnější. Neobvyklý je ovšem nárůst v nápadu v prosinci 2020 oproti listopadu. Tato zpráv</w:t>
      </w:r>
      <w:r w:rsidR="00D110C7" w:rsidRPr="001C3EC8">
        <w:rPr>
          <w:color w:val="000000" w:themeColor="text1"/>
        </w:rPr>
        <w:t>a</w:t>
      </w:r>
      <w:r w:rsidRPr="001C3EC8">
        <w:rPr>
          <w:color w:val="000000" w:themeColor="text1"/>
        </w:rPr>
        <w:t xml:space="preserve"> vliv </w:t>
      </w:r>
      <w:r w:rsidR="000C3B1E">
        <w:rPr>
          <w:color w:val="000000" w:themeColor="text1"/>
        </w:rPr>
        <w:t>COVID</w:t>
      </w:r>
      <w:r w:rsidR="000C3B1E">
        <w:rPr>
          <w:color w:val="000000" w:themeColor="text1"/>
        </w:rPr>
        <w:noBreakHyphen/>
        <w:t>19</w:t>
      </w:r>
      <w:r w:rsidRPr="001C3EC8">
        <w:rPr>
          <w:color w:val="000000" w:themeColor="text1"/>
        </w:rPr>
        <w:t xml:space="preserve"> na kriminalitu dále nezkoumá, ale podrobnější analýza by byla jistě zajímavá</w:t>
      </w:r>
      <w:r w:rsidR="00DC7EA7" w:rsidRPr="001C3EC8">
        <w:rPr>
          <w:color w:val="000000" w:themeColor="text1"/>
        </w:rPr>
        <w:t xml:space="preserve">, stejně jako hlubší </w:t>
      </w:r>
      <w:r w:rsidRPr="001C3EC8">
        <w:rPr>
          <w:color w:val="000000" w:themeColor="text1"/>
        </w:rPr>
        <w:t>srovnání s nápadem v civilních věcech</w:t>
      </w:r>
      <w:r w:rsidR="00DC7EA7" w:rsidRPr="001C3EC8">
        <w:rPr>
          <w:color w:val="000000" w:themeColor="text1"/>
        </w:rPr>
        <w:t>:</w:t>
      </w:r>
      <w:r w:rsidRPr="001C3EC8">
        <w:rPr>
          <w:color w:val="000000" w:themeColor="text1"/>
        </w:rPr>
        <w:t xml:space="preserve"> nápad v civilních </w:t>
      </w:r>
      <w:r w:rsidR="00120A38" w:rsidRPr="001C3EC8">
        <w:rPr>
          <w:color w:val="000000" w:themeColor="text1"/>
        </w:rPr>
        <w:t>a</w:t>
      </w:r>
      <w:r w:rsidR="00120A38">
        <w:rPr>
          <w:color w:val="000000" w:themeColor="text1"/>
        </w:rPr>
        <w:t> </w:t>
      </w:r>
      <w:r w:rsidRPr="001C3EC8">
        <w:rPr>
          <w:color w:val="000000" w:themeColor="text1"/>
        </w:rPr>
        <w:t>trestních věcech se vyvíjel obdobně během první vlny, ale ve druhé podzimní vlně se od září pohyboval přesně opačně.</w:t>
      </w:r>
    </w:p>
    <w:p w14:paraId="4F86B1A2" w14:textId="77777777" w:rsidR="008430BD" w:rsidRPr="001C3EC8" w:rsidRDefault="008430BD" w:rsidP="008430BD">
      <w:pPr>
        <w:pStyle w:val="OdstavecASR"/>
        <w:rPr>
          <w:color w:val="000000" w:themeColor="text1"/>
        </w:rPr>
      </w:pPr>
    </w:p>
    <w:p w14:paraId="7D597DF2"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6D41B4E8" w14:textId="409F876E" w:rsidR="008430BD" w:rsidRPr="001C3EC8" w:rsidRDefault="008430BD" w:rsidP="008430BD">
      <w:pPr>
        <w:pStyle w:val="Podnadpis"/>
        <w:rPr>
          <w:color w:val="000000" w:themeColor="text1"/>
        </w:rPr>
      </w:pPr>
      <w:bookmarkStart w:id="229" w:name="_Toc75952207"/>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27</w:t>
      </w:r>
      <w:r w:rsidRPr="001C3EC8">
        <w:rPr>
          <w:color w:val="000000" w:themeColor="text1"/>
        </w:rPr>
        <w:fldChar w:fldCharType="end"/>
      </w:r>
      <w:r w:rsidRPr="001C3EC8">
        <w:rPr>
          <w:color w:val="000000" w:themeColor="text1"/>
        </w:rPr>
        <w:t>: OS – měsíční nápad trestních věcí</w:t>
      </w:r>
      <w:bookmarkEnd w:id="229"/>
    </w:p>
    <w:p w14:paraId="0CC61C33"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6C2033EF" wp14:editId="2A754BAA">
            <wp:extent cx="5115560" cy="374396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27348401" w14:textId="77777777" w:rsidR="008430BD" w:rsidRPr="001C3EC8" w:rsidRDefault="008430BD" w:rsidP="008430BD">
      <w:pPr>
        <w:spacing w:line="240" w:lineRule="auto"/>
        <w:jc w:val="left"/>
        <w:rPr>
          <w:color w:val="000000" w:themeColor="text1"/>
          <w:highlight w:val="yellow"/>
        </w:rPr>
      </w:pPr>
    </w:p>
    <w:p w14:paraId="24B8EC0A" w14:textId="77777777" w:rsidR="008430BD" w:rsidRPr="001C3EC8" w:rsidRDefault="008430BD" w:rsidP="008430BD">
      <w:pPr>
        <w:pStyle w:val="Nadpis3"/>
        <w:numPr>
          <w:ilvl w:val="2"/>
          <w:numId w:val="1"/>
        </w:numPr>
        <w:rPr>
          <w:color w:val="000000" w:themeColor="text1"/>
        </w:rPr>
      </w:pPr>
      <w:bookmarkStart w:id="230" w:name="_Toc515871233"/>
      <w:bookmarkStart w:id="231" w:name="_Toc41546310"/>
      <w:bookmarkStart w:id="232" w:name="_Toc75952069"/>
      <w:r w:rsidRPr="001C3EC8">
        <w:rPr>
          <w:color w:val="000000" w:themeColor="text1"/>
        </w:rPr>
        <w:t>Vyřizování věcí v přepočtu na soudce</w:t>
      </w:r>
      <w:bookmarkEnd w:id="230"/>
      <w:bookmarkEnd w:id="231"/>
      <w:bookmarkEnd w:id="232"/>
    </w:p>
    <w:p w14:paraId="6543EEA8" w14:textId="08BBEC00" w:rsidR="008430BD" w:rsidRPr="001C3EC8" w:rsidRDefault="008430BD" w:rsidP="008430BD">
      <w:pPr>
        <w:pStyle w:val="OdstavecASR"/>
        <w:rPr>
          <w:color w:val="000000" w:themeColor="text1"/>
        </w:rPr>
      </w:pPr>
      <w:r w:rsidRPr="001C3EC8">
        <w:rPr>
          <w:color w:val="000000" w:themeColor="text1"/>
        </w:rPr>
        <w:t xml:space="preserve">Trestní úsek je výrazně menší než úsek civilní. Proto může v přepočtu na soudce docházet k určitým výkyvům, a to především na úrovni jednotlivých soudů. U nejmenších soudů působí na trestním úseku pouze dva soudci. Dočasný pokles nebo nárůst </w:t>
      </w:r>
      <w:r w:rsidR="00120A38" w:rsidRPr="001C3EC8">
        <w:rPr>
          <w:color w:val="000000" w:themeColor="text1"/>
        </w:rPr>
        <w:t>v</w:t>
      </w:r>
      <w:r w:rsidR="00120A38">
        <w:rPr>
          <w:color w:val="000000" w:themeColor="text1"/>
        </w:rPr>
        <w:t> </w:t>
      </w:r>
      <w:r w:rsidRPr="001C3EC8">
        <w:rPr>
          <w:color w:val="000000" w:themeColor="text1"/>
        </w:rPr>
        <w:t>počtu soudců tedy může vést ke značnému nárůstu nebo poklesu nevyřízených věcí v přepočtu na soudce.</w:t>
      </w:r>
    </w:p>
    <w:p w14:paraId="7A27979E" w14:textId="59594E6B" w:rsidR="008430BD" w:rsidRPr="001C3EC8" w:rsidRDefault="008430BD" w:rsidP="008430BD">
      <w:pPr>
        <w:rPr>
          <w:color w:val="000000" w:themeColor="text1"/>
        </w:rPr>
      </w:pPr>
      <w:r w:rsidRPr="001C3EC8">
        <w:rPr>
          <w:color w:val="000000" w:themeColor="text1"/>
        </w:rPr>
        <w:t xml:space="preserve">Stejně jako </w:t>
      </w:r>
      <w:r w:rsidR="00120A38" w:rsidRPr="001C3EC8">
        <w:rPr>
          <w:color w:val="000000" w:themeColor="text1"/>
        </w:rPr>
        <w:t>u</w:t>
      </w:r>
      <w:r w:rsidR="00120A38">
        <w:rPr>
          <w:color w:val="000000" w:themeColor="text1"/>
        </w:rPr>
        <w:t> </w:t>
      </w:r>
      <w:r w:rsidRPr="001C3EC8">
        <w:rPr>
          <w:color w:val="000000" w:themeColor="text1"/>
        </w:rPr>
        <w:t>civilní agendy</w:t>
      </w:r>
      <w:r w:rsidR="00D110C7" w:rsidRPr="001C3EC8">
        <w:rPr>
          <w:color w:val="000000" w:themeColor="text1"/>
        </w:rPr>
        <w:t xml:space="preserve"> má</w:t>
      </w:r>
      <w:r w:rsidRPr="001C3EC8">
        <w:rPr>
          <w:color w:val="000000" w:themeColor="text1"/>
        </w:rPr>
        <w:t xml:space="preserve"> Ministerstvo spravedlnosti za poslední dva roky k dispozici přesnější data </w:t>
      </w:r>
      <w:r w:rsidR="00120A38" w:rsidRPr="001C3EC8">
        <w:rPr>
          <w:color w:val="000000" w:themeColor="text1"/>
        </w:rPr>
        <w:t>o</w:t>
      </w:r>
      <w:r w:rsidR="00120A38">
        <w:rPr>
          <w:color w:val="000000" w:themeColor="text1"/>
        </w:rPr>
        <w:t> </w:t>
      </w:r>
      <w:r w:rsidRPr="001C3EC8">
        <w:rPr>
          <w:color w:val="000000" w:themeColor="text1"/>
        </w:rPr>
        <w:t>počtu soudců. Detailnější informace lze najít v podkapitole 2.2.3.</w:t>
      </w:r>
    </w:p>
    <w:p w14:paraId="5BF07A83" w14:textId="63F357C0" w:rsidR="008430BD" w:rsidRPr="001C3EC8" w:rsidRDefault="008430BD" w:rsidP="008430BD">
      <w:pPr>
        <w:pStyle w:val="Podnadpis"/>
        <w:rPr>
          <w:color w:val="000000" w:themeColor="text1"/>
        </w:rPr>
      </w:pPr>
      <w:bookmarkStart w:id="233" w:name="_Toc515871454"/>
      <w:bookmarkStart w:id="234" w:name="_Toc11133222"/>
      <w:bookmarkStart w:id="235" w:name="_Toc43931195"/>
      <w:bookmarkStart w:id="236" w:name="_Hlk67407410"/>
      <w:bookmarkStart w:id="237" w:name="_Toc75952325"/>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22</w:t>
      </w:r>
      <w:r w:rsidRPr="001C3EC8">
        <w:rPr>
          <w:noProof/>
          <w:color w:val="000000" w:themeColor="text1"/>
        </w:rPr>
        <w:fldChar w:fldCharType="end"/>
      </w:r>
      <w:r w:rsidRPr="001C3EC8">
        <w:rPr>
          <w:color w:val="000000" w:themeColor="text1"/>
        </w:rPr>
        <w:t xml:space="preserve">: OS – vyřizování trestních věcí na </w:t>
      </w:r>
      <w:r w:rsidR="00D110C7" w:rsidRPr="001C3EC8">
        <w:rPr>
          <w:color w:val="000000" w:themeColor="text1"/>
        </w:rPr>
        <w:t>skutečný úvazek</w:t>
      </w:r>
      <w:r w:rsidRPr="001C3EC8">
        <w:rPr>
          <w:color w:val="000000" w:themeColor="text1"/>
        </w:rPr>
        <w:t xml:space="preserve"> dle krajů</w:t>
      </w:r>
      <w:bookmarkEnd w:id="233"/>
      <w:bookmarkEnd w:id="234"/>
      <w:bookmarkEnd w:id="235"/>
      <w:bookmarkEnd w:id="236"/>
      <w:bookmarkEnd w:id="237"/>
    </w:p>
    <w:tbl>
      <w:tblPr>
        <w:tblW w:w="9072" w:type="dxa"/>
        <w:tblCellMar>
          <w:left w:w="70" w:type="dxa"/>
          <w:right w:w="70" w:type="dxa"/>
        </w:tblCellMar>
        <w:tblLook w:val="04A0" w:firstRow="1" w:lastRow="0" w:firstColumn="1" w:lastColumn="0" w:noHBand="0" w:noVBand="1"/>
      </w:tblPr>
      <w:tblGrid>
        <w:gridCol w:w="1820"/>
        <w:gridCol w:w="1015"/>
        <w:gridCol w:w="1134"/>
        <w:gridCol w:w="942"/>
        <w:gridCol w:w="7"/>
        <w:gridCol w:w="1237"/>
        <w:gridCol w:w="949"/>
        <w:gridCol w:w="1022"/>
        <w:gridCol w:w="946"/>
      </w:tblGrid>
      <w:tr w:rsidR="00003FDE" w:rsidRPr="001C3EC8" w14:paraId="12A93755" w14:textId="77777777" w:rsidTr="00DB2668">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453C81F9" w14:textId="77777777" w:rsidR="00003FDE" w:rsidRPr="001C3EC8" w:rsidRDefault="00003FDE" w:rsidP="00003FDE">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015" w:type="dxa"/>
            <w:vMerge w:val="restart"/>
            <w:tcBorders>
              <w:top w:val="double" w:sz="6" w:space="0" w:color="auto"/>
              <w:left w:val="nil"/>
              <w:bottom w:val="double" w:sz="6" w:space="0" w:color="000000"/>
              <w:right w:val="nil"/>
            </w:tcBorders>
            <w:shd w:val="clear" w:color="auto" w:fill="auto"/>
            <w:noWrap/>
            <w:vAlign w:val="center"/>
            <w:hideMark/>
          </w:tcPr>
          <w:p w14:paraId="3D530772"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6237" w:type="dxa"/>
            <w:gridSpan w:val="7"/>
            <w:tcBorders>
              <w:top w:val="double" w:sz="6" w:space="0" w:color="auto"/>
              <w:left w:val="nil"/>
              <w:bottom w:val="nil"/>
              <w:right w:val="nil"/>
            </w:tcBorders>
            <w:shd w:val="clear" w:color="auto" w:fill="auto"/>
            <w:noWrap/>
            <w:vAlign w:val="center"/>
            <w:hideMark/>
          </w:tcPr>
          <w:p w14:paraId="35518006"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003FDE" w:rsidRPr="001C3EC8" w14:paraId="63A59029" w14:textId="77777777" w:rsidTr="00DB2668">
        <w:trPr>
          <w:trHeight w:val="330"/>
        </w:trPr>
        <w:tc>
          <w:tcPr>
            <w:tcW w:w="1820" w:type="dxa"/>
            <w:vMerge/>
            <w:tcBorders>
              <w:top w:val="double" w:sz="6" w:space="0" w:color="auto"/>
              <w:left w:val="nil"/>
              <w:bottom w:val="double" w:sz="6" w:space="0" w:color="000000"/>
              <w:right w:val="nil"/>
            </w:tcBorders>
            <w:vAlign w:val="center"/>
            <w:hideMark/>
          </w:tcPr>
          <w:p w14:paraId="00BC607F" w14:textId="77777777" w:rsidR="00003FDE" w:rsidRPr="001C3EC8" w:rsidRDefault="00003FDE" w:rsidP="00003FDE">
            <w:pPr>
              <w:spacing w:line="240" w:lineRule="auto"/>
              <w:jc w:val="left"/>
              <w:rPr>
                <w:rFonts w:eastAsia="Times New Roman"/>
                <w:b/>
                <w:bCs/>
                <w:color w:val="000000" w:themeColor="text1"/>
                <w:szCs w:val="24"/>
                <w:lang w:eastAsia="cs-CZ"/>
              </w:rPr>
            </w:pPr>
          </w:p>
        </w:tc>
        <w:tc>
          <w:tcPr>
            <w:tcW w:w="1015" w:type="dxa"/>
            <w:vMerge/>
            <w:tcBorders>
              <w:top w:val="double" w:sz="6" w:space="0" w:color="auto"/>
              <w:left w:val="nil"/>
              <w:bottom w:val="double" w:sz="6" w:space="0" w:color="000000"/>
              <w:right w:val="nil"/>
            </w:tcBorders>
            <w:vAlign w:val="center"/>
            <w:hideMark/>
          </w:tcPr>
          <w:p w14:paraId="55CE867B" w14:textId="77777777" w:rsidR="00003FDE" w:rsidRPr="001C3EC8" w:rsidRDefault="00003FDE" w:rsidP="00003FDE">
            <w:pPr>
              <w:spacing w:line="240" w:lineRule="auto"/>
              <w:jc w:val="left"/>
              <w:rPr>
                <w:rFonts w:eastAsia="Times New Roman"/>
                <w:b/>
                <w:bCs/>
                <w:color w:val="000000" w:themeColor="text1"/>
                <w:szCs w:val="24"/>
                <w:lang w:eastAsia="cs-CZ"/>
              </w:rPr>
            </w:pPr>
          </w:p>
        </w:tc>
        <w:tc>
          <w:tcPr>
            <w:tcW w:w="2076" w:type="dxa"/>
            <w:gridSpan w:val="2"/>
            <w:tcBorders>
              <w:top w:val="nil"/>
              <w:left w:val="nil"/>
              <w:bottom w:val="double" w:sz="6" w:space="0" w:color="auto"/>
              <w:right w:val="nil"/>
            </w:tcBorders>
            <w:shd w:val="clear" w:color="auto" w:fill="auto"/>
            <w:noWrap/>
            <w:vAlign w:val="center"/>
            <w:hideMark/>
          </w:tcPr>
          <w:p w14:paraId="6F0A0C2D"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2193"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6F820A70"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68" w:type="dxa"/>
            <w:gridSpan w:val="2"/>
            <w:tcBorders>
              <w:top w:val="nil"/>
              <w:left w:val="nil"/>
              <w:bottom w:val="double" w:sz="6" w:space="0" w:color="auto"/>
              <w:right w:val="nil"/>
            </w:tcBorders>
            <w:shd w:val="clear" w:color="auto" w:fill="auto"/>
            <w:noWrap/>
            <w:vAlign w:val="center"/>
            <w:hideMark/>
          </w:tcPr>
          <w:p w14:paraId="6AD760B3" w14:textId="7777777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003FDE" w:rsidRPr="001C3EC8" w14:paraId="05C8D7BD" w14:textId="77777777" w:rsidTr="00DB2668">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61986CB4"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15" w:type="dxa"/>
            <w:tcBorders>
              <w:top w:val="single" w:sz="4" w:space="0" w:color="auto"/>
              <w:left w:val="nil"/>
              <w:bottom w:val="single" w:sz="4" w:space="0" w:color="auto"/>
              <w:right w:val="nil"/>
            </w:tcBorders>
            <w:shd w:val="clear" w:color="auto" w:fill="auto"/>
            <w:noWrap/>
            <w:vAlign w:val="bottom"/>
            <w:hideMark/>
          </w:tcPr>
          <w:p w14:paraId="2F8F203D" w14:textId="3DC71857"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51,4</w:t>
            </w:r>
          </w:p>
        </w:tc>
        <w:tc>
          <w:tcPr>
            <w:tcW w:w="1134" w:type="dxa"/>
            <w:tcBorders>
              <w:top w:val="single" w:sz="4" w:space="0" w:color="auto"/>
              <w:left w:val="nil"/>
              <w:bottom w:val="single" w:sz="4" w:space="0" w:color="auto"/>
              <w:right w:val="nil"/>
            </w:tcBorders>
            <w:shd w:val="clear" w:color="auto" w:fill="auto"/>
            <w:noWrap/>
            <w:vAlign w:val="bottom"/>
            <w:hideMark/>
          </w:tcPr>
          <w:p w14:paraId="20D49EC0" w14:textId="513E95F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45</w:t>
            </w:r>
          </w:p>
        </w:tc>
        <w:tc>
          <w:tcPr>
            <w:tcW w:w="949" w:type="dxa"/>
            <w:gridSpan w:val="2"/>
            <w:tcBorders>
              <w:top w:val="single" w:sz="4" w:space="0" w:color="auto"/>
              <w:left w:val="nil"/>
              <w:bottom w:val="single" w:sz="4" w:space="0" w:color="auto"/>
              <w:right w:val="nil"/>
            </w:tcBorders>
            <w:shd w:val="clear" w:color="auto" w:fill="auto"/>
            <w:noWrap/>
            <w:vAlign w:val="center"/>
            <w:hideMark/>
          </w:tcPr>
          <w:p w14:paraId="17DAF662" w14:textId="4F4B55C7"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462ABDC8" w14:textId="690B17CA"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156</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07</w:t>
            </w:r>
          </w:p>
        </w:tc>
        <w:tc>
          <w:tcPr>
            <w:tcW w:w="949" w:type="dxa"/>
            <w:tcBorders>
              <w:top w:val="nil"/>
              <w:left w:val="nil"/>
              <w:bottom w:val="single" w:sz="4" w:space="0" w:color="auto"/>
              <w:right w:val="single" w:sz="4" w:space="0" w:color="auto"/>
            </w:tcBorders>
            <w:shd w:val="clear" w:color="auto" w:fill="auto"/>
            <w:noWrap/>
            <w:vAlign w:val="center"/>
            <w:hideMark/>
          </w:tcPr>
          <w:p w14:paraId="70BF73A0" w14:textId="1D5F7C3A"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022" w:type="dxa"/>
            <w:tcBorders>
              <w:top w:val="single" w:sz="4" w:space="0" w:color="auto"/>
              <w:left w:val="nil"/>
              <w:bottom w:val="single" w:sz="4" w:space="0" w:color="auto"/>
              <w:right w:val="nil"/>
            </w:tcBorders>
            <w:shd w:val="clear" w:color="auto" w:fill="auto"/>
            <w:noWrap/>
            <w:vAlign w:val="bottom"/>
            <w:hideMark/>
          </w:tcPr>
          <w:p w14:paraId="7BC3B662" w14:textId="7ED41199"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60</w:t>
            </w:r>
          </w:p>
        </w:tc>
        <w:tc>
          <w:tcPr>
            <w:tcW w:w="946" w:type="dxa"/>
            <w:tcBorders>
              <w:top w:val="single" w:sz="4" w:space="0" w:color="auto"/>
              <w:left w:val="nil"/>
              <w:bottom w:val="single" w:sz="4" w:space="0" w:color="auto"/>
              <w:right w:val="nil"/>
            </w:tcBorders>
            <w:shd w:val="clear" w:color="auto" w:fill="auto"/>
            <w:noWrap/>
            <w:vAlign w:val="center"/>
            <w:hideMark/>
          </w:tcPr>
          <w:p w14:paraId="1E38D825" w14:textId="35A48A18"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r>
      <w:tr w:rsidR="00003FDE" w:rsidRPr="001C3EC8" w14:paraId="556A6F8B" w14:textId="77777777" w:rsidTr="00DB2668">
        <w:trPr>
          <w:trHeight w:val="315"/>
        </w:trPr>
        <w:tc>
          <w:tcPr>
            <w:tcW w:w="1820" w:type="dxa"/>
            <w:tcBorders>
              <w:top w:val="nil"/>
              <w:left w:val="nil"/>
              <w:bottom w:val="single" w:sz="4" w:space="0" w:color="auto"/>
              <w:right w:val="nil"/>
            </w:tcBorders>
            <w:shd w:val="clear" w:color="auto" w:fill="auto"/>
            <w:noWrap/>
            <w:vAlign w:val="bottom"/>
            <w:hideMark/>
          </w:tcPr>
          <w:p w14:paraId="05092E67"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15" w:type="dxa"/>
            <w:tcBorders>
              <w:top w:val="nil"/>
              <w:left w:val="nil"/>
              <w:bottom w:val="single" w:sz="4" w:space="0" w:color="auto"/>
              <w:right w:val="nil"/>
            </w:tcBorders>
            <w:shd w:val="clear" w:color="auto" w:fill="auto"/>
            <w:noWrap/>
            <w:vAlign w:val="bottom"/>
            <w:hideMark/>
          </w:tcPr>
          <w:p w14:paraId="4C45D67F" w14:textId="2F3BCD5E"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41,6</w:t>
            </w:r>
          </w:p>
        </w:tc>
        <w:tc>
          <w:tcPr>
            <w:tcW w:w="1134" w:type="dxa"/>
            <w:tcBorders>
              <w:top w:val="nil"/>
              <w:left w:val="nil"/>
              <w:bottom w:val="single" w:sz="4" w:space="0" w:color="auto"/>
              <w:right w:val="nil"/>
            </w:tcBorders>
            <w:shd w:val="clear" w:color="auto" w:fill="auto"/>
            <w:noWrap/>
            <w:vAlign w:val="bottom"/>
            <w:hideMark/>
          </w:tcPr>
          <w:p w14:paraId="2E429F01" w14:textId="6BFDFB42"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50</w:t>
            </w:r>
          </w:p>
        </w:tc>
        <w:tc>
          <w:tcPr>
            <w:tcW w:w="949" w:type="dxa"/>
            <w:gridSpan w:val="2"/>
            <w:tcBorders>
              <w:top w:val="nil"/>
              <w:left w:val="nil"/>
              <w:bottom w:val="single" w:sz="4" w:space="0" w:color="auto"/>
              <w:right w:val="nil"/>
            </w:tcBorders>
            <w:shd w:val="clear" w:color="auto" w:fill="auto"/>
            <w:noWrap/>
            <w:vAlign w:val="center"/>
            <w:hideMark/>
          </w:tcPr>
          <w:p w14:paraId="4CDAAD2C" w14:textId="6FA3FD69"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7C325995" w14:textId="099CF7C2"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173</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65</w:t>
            </w:r>
          </w:p>
        </w:tc>
        <w:tc>
          <w:tcPr>
            <w:tcW w:w="949" w:type="dxa"/>
            <w:tcBorders>
              <w:top w:val="nil"/>
              <w:left w:val="nil"/>
              <w:bottom w:val="single" w:sz="4" w:space="0" w:color="auto"/>
              <w:right w:val="single" w:sz="4" w:space="0" w:color="auto"/>
            </w:tcBorders>
            <w:shd w:val="clear" w:color="auto" w:fill="auto"/>
            <w:noWrap/>
            <w:vAlign w:val="center"/>
            <w:hideMark/>
          </w:tcPr>
          <w:p w14:paraId="32A398D9" w14:textId="3405E434"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022" w:type="dxa"/>
            <w:tcBorders>
              <w:top w:val="nil"/>
              <w:left w:val="nil"/>
              <w:bottom w:val="single" w:sz="4" w:space="0" w:color="auto"/>
              <w:right w:val="nil"/>
            </w:tcBorders>
            <w:shd w:val="clear" w:color="auto" w:fill="auto"/>
            <w:noWrap/>
            <w:vAlign w:val="bottom"/>
            <w:hideMark/>
          </w:tcPr>
          <w:p w14:paraId="492B9014" w14:textId="65FB0DE1"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41</w:t>
            </w:r>
          </w:p>
        </w:tc>
        <w:tc>
          <w:tcPr>
            <w:tcW w:w="946" w:type="dxa"/>
            <w:tcBorders>
              <w:top w:val="nil"/>
              <w:left w:val="nil"/>
              <w:bottom w:val="single" w:sz="4" w:space="0" w:color="auto"/>
              <w:right w:val="nil"/>
            </w:tcBorders>
            <w:shd w:val="clear" w:color="auto" w:fill="auto"/>
            <w:noWrap/>
            <w:vAlign w:val="center"/>
            <w:hideMark/>
          </w:tcPr>
          <w:p w14:paraId="2743218A" w14:textId="4C8D824B"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r>
      <w:tr w:rsidR="00003FDE" w:rsidRPr="001C3EC8" w14:paraId="700E6A71" w14:textId="77777777" w:rsidTr="00DB2668">
        <w:trPr>
          <w:trHeight w:val="315"/>
        </w:trPr>
        <w:tc>
          <w:tcPr>
            <w:tcW w:w="1820" w:type="dxa"/>
            <w:tcBorders>
              <w:top w:val="nil"/>
              <w:left w:val="nil"/>
              <w:bottom w:val="single" w:sz="4" w:space="0" w:color="auto"/>
              <w:right w:val="nil"/>
            </w:tcBorders>
            <w:shd w:val="clear" w:color="auto" w:fill="auto"/>
            <w:noWrap/>
            <w:vAlign w:val="bottom"/>
            <w:hideMark/>
          </w:tcPr>
          <w:p w14:paraId="6F45FB1D"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15" w:type="dxa"/>
            <w:tcBorders>
              <w:top w:val="nil"/>
              <w:left w:val="nil"/>
              <w:bottom w:val="single" w:sz="4" w:space="0" w:color="auto"/>
              <w:right w:val="nil"/>
            </w:tcBorders>
            <w:shd w:val="clear" w:color="auto" w:fill="auto"/>
            <w:noWrap/>
            <w:vAlign w:val="bottom"/>
            <w:hideMark/>
          </w:tcPr>
          <w:p w14:paraId="6ABF7CA5" w14:textId="1EDFF055"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25,7</w:t>
            </w:r>
          </w:p>
        </w:tc>
        <w:tc>
          <w:tcPr>
            <w:tcW w:w="1134" w:type="dxa"/>
            <w:tcBorders>
              <w:top w:val="nil"/>
              <w:left w:val="nil"/>
              <w:bottom w:val="single" w:sz="4" w:space="0" w:color="auto"/>
              <w:right w:val="nil"/>
            </w:tcBorders>
            <w:shd w:val="clear" w:color="auto" w:fill="auto"/>
            <w:noWrap/>
            <w:vAlign w:val="bottom"/>
            <w:hideMark/>
          </w:tcPr>
          <w:p w14:paraId="4F1DC28C" w14:textId="144DB66F"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05</w:t>
            </w:r>
          </w:p>
        </w:tc>
        <w:tc>
          <w:tcPr>
            <w:tcW w:w="949" w:type="dxa"/>
            <w:gridSpan w:val="2"/>
            <w:tcBorders>
              <w:top w:val="nil"/>
              <w:left w:val="nil"/>
              <w:bottom w:val="single" w:sz="4" w:space="0" w:color="auto"/>
              <w:right w:val="nil"/>
            </w:tcBorders>
            <w:shd w:val="clear" w:color="auto" w:fill="auto"/>
            <w:noWrap/>
            <w:vAlign w:val="center"/>
            <w:hideMark/>
          </w:tcPr>
          <w:p w14:paraId="43BD5152" w14:textId="17D9AFF8"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50E5962C" w14:textId="0260E068"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75</w:t>
            </w:r>
          </w:p>
        </w:tc>
        <w:tc>
          <w:tcPr>
            <w:tcW w:w="949" w:type="dxa"/>
            <w:tcBorders>
              <w:top w:val="nil"/>
              <w:left w:val="nil"/>
              <w:bottom w:val="single" w:sz="4" w:space="0" w:color="auto"/>
              <w:right w:val="single" w:sz="4" w:space="0" w:color="auto"/>
            </w:tcBorders>
            <w:shd w:val="clear" w:color="auto" w:fill="auto"/>
            <w:noWrap/>
            <w:vAlign w:val="center"/>
            <w:hideMark/>
          </w:tcPr>
          <w:p w14:paraId="12BEF898" w14:textId="66700896"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022" w:type="dxa"/>
            <w:tcBorders>
              <w:top w:val="nil"/>
              <w:left w:val="nil"/>
              <w:bottom w:val="single" w:sz="4" w:space="0" w:color="auto"/>
              <w:right w:val="nil"/>
            </w:tcBorders>
            <w:shd w:val="clear" w:color="auto" w:fill="auto"/>
            <w:noWrap/>
            <w:vAlign w:val="bottom"/>
            <w:hideMark/>
          </w:tcPr>
          <w:p w14:paraId="43539431" w14:textId="6B504B2D"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11</w:t>
            </w:r>
          </w:p>
        </w:tc>
        <w:tc>
          <w:tcPr>
            <w:tcW w:w="946" w:type="dxa"/>
            <w:tcBorders>
              <w:top w:val="nil"/>
              <w:left w:val="nil"/>
              <w:bottom w:val="single" w:sz="4" w:space="0" w:color="auto"/>
              <w:right w:val="nil"/>
            </w:tcBorders>
            <w:shd w:val="clear" w:color="auto" w:fill="auto"/>
            <w:noWrap/>
            <w:vAlign w:val="center"/>
            <w:hideMark/>
          </w:tcPr>
          <w:p w14:paraId="786905BF" w14:textId="52EEC769"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003FDE" w:rsidRPr="001C3EC8" w14:paraId="40DBCA4C" w14:textId="77777777" w:rsidTr="00DB2668">
        <w:trPr>
          <w:trHeight w:val="315"/>
        </w:trPr>
        <w:tc>
          <w:tcPr>
            <w:tcW w:w="1820" w:type="dxa"/>
            <w:tcBorders>
              <w:top w:val="nil"/>
              <w:left w:val="nil"/>
              <w:bottom w:val="single" w:sz="4" w:space="0" w:color="auto"/>
              <w:right w:val="nil"/>
            </w:tcBorders>
            <w:shd w:val="clear" w:color="auto" w:fill="auto"/>
            <w:noWrap/>
            <w:vAlign w:val="bottom"/>
            <w:hideMark/>
          </w:tcPr>
          <w:p w14:paraId="74166D34"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15" w:type="dxa"/>
            <w:tcBorders>
              <w:top w:val="nil"/>
              <w:left w:val="nil"/>
              <w:bottom w:val="single" w:sz="4" w:space="0" w:color="auto"/>
              <w:right w:val="nil"/>
            </w:tcBorders>
            <w:shd w:val="clear" w:color="auto" w:fill="auto"/>
            <w:noWrap/>
            <w:vAlign w:val="bottom"/>
            <w:hideMark/>
          </w:tcPr>
          <w:p w14:paraId="1B686359" w14:textId="5CE18A62"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39,63</w:t>
            </w:r>
          </w:p>
        </w:tc>
        <w:tc>
          <w:tcPr>
            <w:tcW w:w="1134" w:type="dxa"/>
            <w:tcBorders>
              <w:top w:val="nil"/>
              <w:left w:val="nil"/>
              <w:bottom w:val="single" w:sz="4" w:space="0" w:color="auto"/>
              <w:right w:val="nil"/>
            </w:tcBorders>
            <w:shd w:val="clear" w:color="auto" w:fill="auto"/>
            <w:noWrap/>
            <w:vAlign w:val="bottom"/>
            <w:hideMark/>
          </w:tcPr>
          <w:p w14:paraId="0EB7FFC3" w14:textId="29E9B9C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144</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84</w:t>
            </w:r>
          </w:p>
        </w:tc>
        <w:tc>
          <w:tcPr>
            <w:tcW w:w="949" w:type="dxa"/>
            <w:gridSpan w:val="2"/>
            <w:tcBorders>
              <w:top w:val="nil"/>
              <w:left w:val="nil"/>
              <w:bottom w:val="single" w:sz="4" w:space="0" w:color="auto"/>
              <w:right w:val="nil"/>
            </w:tcBorders>
            <w:shd w:val="clear" w:color="auto" w:fill="auto"/>
            <w:noWrap/>
            <w:vAlign w:val="center"/>
            <w:hideMark/>
          </w:tcPr>
          <w:p w14:paraId="43DB98AF" w14:textId="12A1EF04"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5A7D37EE" w14:textId="21252ADA"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34</w:t>
            </w:r>
          </w:p>
        </w:tc>
        <w:tc>
          <w:tcPr>
            <w:tcW w:w="949" w:type="dxa"/>
            <w:tcBorders>
              <w:top w:val="nil"/>
              <w:left w:val="nil"/>
              <w:bottom w:val="single" w:sz="4" w:space="0" w:color="auto"/>
              <w:right w:val="single" w:sz="4" w:space="0" w:color="auto"/>
            </w:tcBorders>
            <w:shd w:val="clear" w:color="auto" w:fill="auto"/>
            <w:noWrap/>
            <w:vAlign w:val="center"/>
            <w:hideMark/>
          </w:tcPr>
          <w:p w14:paraId="10D794CF" w14:textId="66ED8A41"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022" w:type="dxa"/>
            <w:tcBorders>
              <w:top w:val="nil"/>
              <w:left w:val="nil"/>
              <w:bottom w:val="single" w:sz="4" w:space="0" w:color="auto"/>
              <w:right w:val="nil"/>
            </w:tcBorders>
            <w:shd w:val="clear" w:color="auto" w:fill="auto"/>
            <w:noWrap/>
            <w:vAlign w:val="bottom"/>
            <w:hideMark/>
          </w:tcPr>
          <w:p w14:paraId="39747987" w14:textId="0688ACD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21</w:t>
            </w:r>
          </w:p>
        </w:tc>
        <w:tc>
          <w:tcPr>
            <w:tcW w:w="946" w:type="dxa"/>
            <w:tcBorders>
              <w:top w:val="nil"/>
              <w:left w:val="nil"/>
              <w:bottom w:val="single" w:sz="4" w:space="0" w:color="auto"/>
              <w:right w:val="nil"/>
            </w:tcBorders>
            <w:shd w:val="clear" w:color="auto" w:fill="auto"/>
            <w:noWrap/>
            <w:vAlign w:val="center"/>
            <w:hideMark/>
          </w:tcPr>
          <w:p w14:paraId="44670FF4" w14:textId="736DD9CF"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003FDE" w:rsidRPr="001C3EC8" w14:paraId="0CB70808" w14:textId="77777777" w:rsidTr="00DB2668">
        <w:trPr>
          <w:trHeight w:val="315"/>
        </w:trPr>
        <w:tc>
          <w:tcPr>
            <w:tcW w:w="1820" w:type="dxa"/>
            <w:tcBorders>
              <w:top w:val="nil"/>
              <w:left w:val="nil"/>
              <w:bottom w:val="single" w:sz="4" w:space="0" w:color="auto"/>
              <w:right w:val="nil"/>
            </w:tcBorders>
            <w:shd w:val="clear" w:color="auto" w:fill="auto"/>
            <w:noWrap/>
            <w:vAlign w:val="bottom"/>
            <w:hideMark/>
          </w:tcPr>
          <w:p w14:paraId="4AECAA76"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15" w:type="dxa"/>
            <w:tcBorders>
              <w:top w:val="nil"/>
              <w:left w:val="nil"/>
              <w:bottom w:val="single" w:sz="4" w:space="0" w:color="auto"/>
              <w:right w:val="nil"/>
            </w:tcBorders>
            <w:shd w:val="clear" w:color="auto" w:fill="auto"/>
            <w:noWrap/>
            <w:vAlign w:val="bottom"/>
            <w:hideMark/>
          </w:tcPr>
          <w:p w14:paraId="74545D6F" w14:textId="72B08599"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61,24</w:t>
            </w:r>
          </w:p>
        </w:tc>
        <w:tc>
          <w:tcPr>
            <w:tcW w:w="1134" w:type="dxa"/>
            <w:tcBorders>
              <w:top w:val="nil"/>
              <w:left w:val="nil"/>
              <w:bottom w:val="single" w:sz="4" w:space="0" w:color="auto"/>
              <w:right w:val="nil"/>
            </w:tcBorders>
            <w:shd w:val="clear" w:color="auto" w:fill="auto"/>
            <w:noWrap/>
            <w:vAlign w:val="bottom"/>
            <w:hideMark/>
          </w:tcPr>
          <w:p w14:paraId="63917318" w14:textId="045C7454"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174</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22</w:t>
            </w:r>
          </w:p>
        </w:tc>
        <w:tc>
          <w:tcPr>
            <w:tcW w:w="949" w:type="dxa"/>
            <w:gridSpan w:val="2"/>
            <w:tcBorders>
              <w:top w:val="nil"/>
              <w:left w:val="nil"/>
              <w:bottom w:val="single" w:sz="4" w:space="0" w:color="auto"/>
              <w:right w:val="nil"/>
            </w:tcBorders>
            <w:shd w:val="clear" w:color="auto" w:fill="auto"/>
            <w:noWrap/>
            <w:vAlign w:val="center"/>
            <w:hideMark/>
          </w:tcPr>
          <w:p w14:paraId="5DF93EA7" w14:textId="2194D277"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3DE56BD4" w14:textId="28B41F65"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176</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05</w:t>
            </w:r>
          </w:p>
        </w:tc>
        <w:tc>
          <w:tcPr>
            <w:tcW w:w="949" w:type="dxa"/>
            <w:tcBorders>
              <w:top w:val="nil"/>
              <w:left w:val="nil"/>
              <w:bottom w:val="single" w:sz="4" w:space="0" w:color="auto"/>
              <w:right w:val="single" w:sz="4" w:space="0" w:color="auto"/>
            </w:tcBorders>
            <w:shd w:val="clear" w:color="auto" w:fill="auto"/>
            <w:noWrap/>
            <w:vAlign w:val="center"/>
            <w:hideMark/>
          </w:tcPr>
          <w:p w14:paraId="256671B8" w14:textId="6946906E"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022" w:type="dxa"/>
            <w:tcBorders>
              <w:top w:val="nil"/>
              <w:left w:val="nil"/>
              <w:bottom w:val="single" w:sz="4" w:space="0" w:color="auto"/>
              <w:right w:val="nil"/>
            </w:tcBorders>
            <w:shd w:val="clear" w:color="auto" w:fill="auto"/>
            <w:noWrap/>
            <w:vAlign w:val="bottom"/>
            <w:hideMark/>
          </w:tcPr>
          <w:p w14:paraId="6625612E" w14:textId="25CCE4DF"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21</w:t>
            </w:r>
          </w:p>
        </w:tc>
        <w:tc>
          <w:tcPr>
            <w:tcW w:w="946" w:type="dxa"/>
            <w:tcBorders>
              <w:top w:val="nil"/>
              <w:left w:val="nil"/>
              <w:bottom w:val="single" w:sz="4" w:space="0" w:color="auto"/>
              <w:right w:val="nil"/>
            </w:tcBorders>
            <w:shd w:val="clear" w:color="auto" w:fill="auto"/>
            <w:noWrap/>
            <w:vAlign w:val="center"/>
            <w:hideMark/>
          </w:tcPr>
          <w:p w14:paraId="430E0A89" w14:textId="05166260"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003FDE" w:rsidRPr="001C3EC8" w14:paraId="69FBD80B" w14:textId="77777777" w:rsidTr="00DB2668">
        <w:trPr>
          <w:trHeight w:val="315"/>
        </w:trPr>
        <w:tc>
          <w:tcPr>
            <w:tcW w:w="1820" w:type="dxa"/>
            <w:tcBorders>
              <w:top w:val="nil"/>
              <w:left w:val="nil"/>
              <w:bottom w:val="single" w:sz="4" w:space="0" w:color="auto"/>
              <w:right w:val="nil"/>
            </w:tcBorders>
            <w:shd w:val="clear" w:color="auto" w:fill="auto"/>
            <w:noWrap/>
            <w:vAlign w:val="bottom"/>
            <w:hideMark/>
          </w:tcPr>
          <w:p w14:paraId="64BBE1B6"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15" w:type="dxa"/>
            <w:tcBorders>
              <w:top w:val="nil"/>
              <w:left w:val="nil"/>
              <w:bottom w:val="single" w:sz="4" w:space="0" w:color="auto"/>
              <w:right w:val="nil"/>
            </w:tcBorders>
            <w:shd w:val="clear" w:color="auto" w:fill="auto"/>
            <w:noWrap/>
            <w:vAlign w:val="bottom"/>
            <w:hideMark/>
          </w:tcPr>
          <w:p w14:paraId="16CEF5E9" w14:textId="621925D7"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36,8</w:t>
            </w:r>
          </w:p>
        </w:tc>
        <w:tc>
          <w:tcPr>
            <w:tcW w:w="1134" w:type="dxa"/>
            <w:tcBorders>
              <w:top w:val="nil"/>
              <w:left w:val="nil"/>
              <w:bottom w:val="single" w:sz="4" w:space="0" w:color="auto"/>
              <w:right w:val="nil"/>
            </w:tcBorders>
            <w:shd w:val="clear" w:color="auto" w:fill="auto"/>
            <w:noWrap/>
            <w:vAlign w:val="bottom"/>
            <w:hideMark/>
          </w:tcPr>
          <w:p w14:paraId="1CBCA99D" w14:textId="3649FB6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160</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63</w:t>
            </w:r>
          </w:p>
        </w:tc>
        <w:tc>
          <w:tcPr>
            <w:tcW w:w="949" w:type="dxa"/>
            <w:gridSpan w:val="2"/>
            <w:tcBorders>
              <w:top w:val="nil"/>
              <w:left w:val="nil"/>
              <w:bottom w:val="single" w:sz="4" w:space="0" w:color="auto"/>
              <w:right w:val="nil"/>
            </w:tcBorders>
            <w:shd w:val="clear" w:color="auto" w:fill="auto"/>
            <w:noWrap/>
            <w:vAlign w:val="center"/>
            <w:hideMark/>
          </w:tcPr>
          <w:p w14:paraId="0CC3A7D5" w14:textId="1B28299F"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490A47E8" w14:textId="366D7019"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01</w:t>
            </w:r>
          </w:p>
        </w:tc>
        <w:tc>
          <w:tcPr>
            <w:tcW w:w="949" w:type="dxa"/>
            <w:tcBorders>
              <w:top w:val="nil"/>
              <w:left w:val="nil"/>
              <w:bottom w:val="single" w:sz="4" w:space="0" w:color="auto"/>
              <w:right w:val="single" w:sz="4" w:space="0" w:color="auto"/>
            </w:tcBorders>
            <w:shd w:val="clear" w:color="auto" w:fill="auto"/>
            <w:noWrap/>
            <w:vAlign w:val="center"/>
            <w:hideMark/>
          </w:tcPr>
          <w:p w14:paraId="2A756B98" w14:textId="751DBBB7"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022" w:type="dxa"/>
            <w:tcBorders>
              <w:top w:val="nil"/>
              <w:left w:val="nil"/>
              <w:bottom w:val="single" w:sz="4" w:space="0" w:color="auto"/>
              <w:right w:val="nil"/>
            </w:tcBorders>
            <w:shd w:val="clear" w:color="auto" w:fill="auto"/>
            <w:noWrap/>
            <w:vAlign w:val="bottom"/>
            <w:hideMark/>
          </w:tcPr>
          <w:p w14:paraId="75AD77AA" w14:textId="4F3E5843"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66</w:t>
            </w:r>
          </w:p>
        </w:tc>
        <w:tc>
          <w:tcPr>
            <w:tcW w:w="946" w:type="dxa"/>
            <w:tcBorders>
              <w:top w:val="nil"/>
              <w:left w:val="nil"/>
              <w:bottom w:val="single" w:sz="4" w:space="0" w:color="auto"/>
              <w:right w:val="nil"/>
            </w:tcBorders>
            <w:shd w:val="clear" w:color="auto" w:fill="auto"/>
            <w:noWrap/>
            <w:vAlign w:val="center"/>
            <w:hideMark/>
          </w:tcPr>
          <w:p w14:paraId="1AD49F9C" w14:textId="63177369"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003FDE" w:rsidRPr="001C3EC8" w14:paraId="305C2809" w14:textId="77777777" w:rsidTr="00DB2668">
        <w:trPr>
          <w:trHeight w:val="315"/>
        </w:trPr>
        <w:tc>
          <w:tcPr>
            <w:tcW w:w="1820" w:type="dxa"/>
            <w:tcBorders>
              <w:top w:val="nil"/>
              <w:left w:val="nil"/>
              <w:bottom w:val="single" w:sz="4" w:space="0" w:color="auto"/>
              <w:right w:val="nil"/>
            </w:tcBorders>
            <w:shd w:val="clear" w:color="auto" w:fill="auto"/>
            <w:noWrap/>
            <w:vAlign w:val="bottom"/>
            <w:hideMark/>
          </w:tcPr>
          <w:p w14:paraId="7D9C1CEC"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15" w:type="dxa"/>
            <w:tcBorders>
              <w:top w:val="nil"/>
              <w:left w:val="nil"/>
              <w:bottom w:val="single" w:sz="4" w:space="0" w:color="auto"/>
              <w:right w:val="nil"/>
            </w:tcBorders>
            <w:shd w:val="clear" w:color="auto" w:fill="auto"/>
            <w:noWrap/>
            <w:vAlign w:val="bottom"/>
            <w:hideMark/>
          </w:tcPr>
          <w:p w14:paraId="690E7E65" w14:textId="5DB7BD7B"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52,99</w:t>
            </w:r>
          </w:p>
        </w:tc>
        <w:tc>
          <w:tcPr>
            <w:tcW w:w="1134" w:type="dxa"/>
            <w:tcBorders>
              <w:top w:val="nil"/>
              <w:left w:val="nil"/>
              <w:bottom w:val="single" w:sz="4" w:space="0" w:color="auto"/>
              <w:right w:val="nil"/>
            </w:tcBorders>
            <w:shd w:val="clear" w:color="auto" w:fill="auto"/>
            <w:noWrap/>
            <w:vAlign w:val="bottom"/>
            <w:hideMark/>
          </w:tcPr>
          <w:p w14:paraId="6C13E1D9" w14:textId="19CF1725"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183</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73</w:t>
            </w:r>
          </w:p>
        </w:tc>
        <w:tc>
          <w:tcPr>
            <w:tcW w:w="949" w:type="dxa"/>
            <w:gridSpan w:val="2"/>
            <w:tcBorders>
              <w:top w:val="nil"/>
              <w:left w:val="nil"/>
              <w:bottom w:val="single" w:sz="4" w:space="0" w:color="auto"/>
              <w:right w:val="nil"/>
            </w:tcBorders>
            <w:shd w:val="clear" w:color="auto" w:fill="auto"/>
            <w:noWrap/>
            <w:vAlign w:val="center"/>
            <w:hideMark/>
          </w:tcPr>
          <w:p w14:paraId="51CC3705" w14:textId="1D116093"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237" w:type="dxa"/>
            <w:tcBorders>
              <w:top w:val="nil"/>
              <w:left w:val="single" w:sz="4" w:space="0" w:color="auto"/>
              <w:bottom w:val="single" w:sz="4" w:space="0" w:color="auto"/>
              <w:right w:val="nil"/>
            </w:tcBorders>
            <w:shd w:val="clear" w:color="auto" w:fill="auto"/>
            <w:noWrap/>
            <w:vAlign w:val="bottom"/>
            <w:hideMark/>
          </w:tcPr>
          <w:p w14:paraId="226797F4" w14:textId="69E7703D"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184</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22</w:t>
            </w:r>
          </w:p>
        </w:tc>
        <w:tc>
          <w:tcPr>
            <w:tcW w:w="949" w:type="dxa"/>
            <w:tcBorders>
              <w:top w:val="nil"/>
              <w:left w:val="nil"/>
              <w:bottom w:val="single" w:sz="4" w:space="0" w:color="auto"/>
              <w:right w:val="single" w:sz="4" w:space="0" w:color="auto"/>
            </w:tcBorders>
            <w:shd w:val="clear" w:color="auto" w:fill="auto"/>
            <w:noWrap/>
            <w:vAlign w:val="center"/>
            <w:hideMark/>
          </w:tcPr>
          <w:p w14:paraId="7B3D3D02" w14:textId="67847D89"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022" w:type="dxa"/>
            <w:tcBorders>
              <w:top w:val="nil"/>
              <w:left w:val="nil"/>
              <w:bottom w:val="single" w:sz="4" w:space="0" w:color="auto"/>
              <w:right w:val="nil"/>
            </w:tcBorders>
            <w:shd w:val="clear" w:color="auto" w:fill="auto"/>
            <w:noWrap/>
            <w:vAlign w:val="bottom"/>
            <w:hideMark/>
          </w:tcPr>
          <w:p w14:paraId="775A7FF7" w14:textId="23B4C13E"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10</w:t>
            </w:r>
          </w:p>
        </w:tc>
        <w:tc>
          <w:tcPr>
            <w:tcW w:w="946" w:type="dxa"/>
            <w:tcBorders>
              <w:top w:val="nil"/>
              <w:left w:val="nil"/>
              <w:bottom w:val="single" w:sz="4" w:space="0" w:color="auto"/>
              <w:right w:val="nil"/>
            </w:tcBorders>
            <w:shd w:val="clear" w:color="auto" w:fill="auto"/>
            <w:noWrap/>
            <w:vAlign w:val="center"/>
            <w:hideMark/>
          </w:tcPr>
          <w:p w14:paraId="65EC2BE0" w14:textId="45F968D5"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003FDE" w:rsidRPr="001C3EC8" w14:paraId="0974DEC0" w14:textId="77777777" w:rsidTr="00DB2668">
        <w:trPr>
          <w:trHeight w:val="330"/>
        </w:trPr>
        <w:tc>
          <w:tcPr>
            <w:tcW w:w="1820" w:type="dxa"/>
            <w:tcBorders>
              <w:top w:val="nil"/>
              <w:left w:val="nil"/>
              <w:bottom w:val="double" w:sz="6" w:space="0" w:color="auto"/>
              <w:right w:val="nil"/>
            </w:tcBorders>
            <w:shd w:val="clear" w:color="auto" w:fill="auto"/>
            <w:noWrap/>
            <w:vAlign w:val="bottom"/>
            <w:hideMark/>
          </w:tcPr>
          <w:p w14:paraId="5A78BE2E" w14:textId="77777777" w:rsidR="00003FDE" w:rsidRPr="001C3EC8" w:rsidRDefault="00003FDE" w:rsidP="00003FDE">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15" w:type="dxa"/>
            <w:tcBorders>
              <w:top w:val="nil"/>
              <w:left w:val="nil"/>
              <w:bottom w:val="double" w:sz="6" w:space="0" w:color="auto"/>
              <w:right w:val="nil"/>
            </w:tcBorders>
            <w:shd w:val="clear" w:color="auto" w:fill="auto"/>
            <w:noWrap/>
            <w:vAlign w:val="bottom"/>
            <w:hideMark/>
          </w:tcPr>
          <w:p w14:paraId="6524CD8A" w14:textId="58B57674"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71,15</w:t>
            </w:r>
          </w:p>
        </w:tc>
        <w:tc>
          <w:tcPr>
            <w:tcW w:w="1134" w:type="dxa"/>
            <w:tcBorders>
              <w:top w:val="nil"/>
              <w:left w:val="nil"/>
              <w:bottom w:val="double" w:sz="6" w:space="0" w:color="auto"/>
              <w:right w:val="nil"/>
            </w:tcBorders>
            <w:shd w:val="clear" w:color="auto" w:fill="auto"/>
            <w:noWrap/>
            <w:vAlign w:val="bottom"/>
            <w:hideMark/>
          </w:tcPr>
          <w:p w14:paraId="4FEE1760" w14:textId="160D9FB6"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04</w:t>
            </w:r>
          </w:p>
        </w:tc>
        <w:tc>
          <w:tcPr>
            <w:tcW w:w="949" w:type="dxa"/>
            <w:gridSpan w:val="2"/>
            <w:tcBorders>
              <w:top w:val="nil"/>
              <w:left w:val="nil"/>
              <w:bottom w:val="double" w:sz="6" w:space="0" w:color="auto"/>
              <w:right w:val="nil"/>
            </w:tcBorders>
            <w:shd w:val="clear" w:color="auto" w:fill="auto"/>
            <w:noWrap/>
            <w:vAlign w:val="center"/>
            <w:hideMark/>
          </w:tcPr>
          <w:p w14:paraId="7C039B75" w14:textId="4CA6F2B1"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237" w:type="dxa"/>
            <w:tcBorders>
              <w:top w:val="nil"/>
              <w:left w:val="single" w:sz="4" w:space="0" w:color="auto"/>
              <w:bottom w:val="double" w:sz="6" w:space="0" w:color="auto"/>
              <w:right w:val="nil"/>
            </w:tcBorders>
            <w:shd w:val="clear" w:color="auto" w:fill="auto"/>
            <w:noWrap/>
            <w:vAlign w:val="bottom"/>
            <w:hideMark/>
          </w:tcPr>
          <w:p w14:paraId="316FD2B0" w14:textId="68661CDF"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09</w:t>
            </w:r>
          </w:p>
        </w:tc>
        <w:tc>
          <w:tcPr>
            <w:tcW w:w="949" w:type="dxa"/>
            <w:tcBorders>
              <w:top w:val="nil"/>
              <w:left w:val="nil"/>
              <w:bottom w:val="double" w:sz="6" w:space="0" w:color="auto"/>
              <w:right w:val="single" w:sz="4" w:space="0" w:color="auto"/>
            </w:tcBorders>
            <w:shd w:val="clear" w:color="auto" w:fill="auto"/>
            <w:noWrap/>
            <w:vAlign w:val="center"/>
            <w:hideMark/>
          </w:tcPr>
          <w:p w14:paraId="29F27518" w14:textId="51075A19"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022" w:type="dxa"/>
            <w:tcBorders>
              <w:top w:val="nil"/>
              <w:left w:val="nil"/>
              <w:bottom w:val="double" w:sz="6" w:space="0" w:color="auto"/>
              <w:right w:val="nil"/>
            </w:tcBorders>
            <w:shd w:val="clear" w:color="auto" w:fill="auto"/>
            <w:noWrap/>
            <w:vAlign w:val="bottom"/>
            <w:hideMark/>
          </w:tcPr>
          <w:p w14:paraId="5582D450" w14:textId="41AFF317" w:rsidR="00003FDE" w:rsidRPr="001C3EC8" w:rsidRDefault="00003FDE" w:rsidP="00003FDE">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w:t>
            </w:r>
            <w:r w:rsidR="00DB2668" w:rsidRPr="001C3EC8">
              <w:rPr>
                <w:rFonts w:eastAsia="Times New Roman"/>
                <w:color w:val="000000" w:themeColor="text1"/>
                <w:szCs w:val="24"/>
                <w:lang w:eastAsia="cs-CZ"/>
              </w:rPr>
              <w:t>,</w:t>
            </w:r>
            <w:r w:rsidRPr="001C3EC8">
              <w:rPr>
                <w:rFonts w:eastAsia="Times New Roman"/>
                <w:color w:val="000000" w:themeColor="text1"/>
                <w:szCs w:val="24"/>
                <w:lang w:eastAsia="cs-CZ"/>
              </w:rPr>
              <w:t>74</w:t>
            </w:r>
          </w:p>
        </w:tc>
        <w:tc>
          <w:tcPr>
            <w:tcW w:w="946" w:type="dxa"/>
            <w:tcBorders>
              <w:top w:val="nil"/>
              <w:left w:val="nil"/>
              <w:bottom w:val="double" w:sz="6" w:space="0" w:color="auto"/>
              <w:right w:val="nil"/>
            </w:tcBorders>
            <w:shd w:val="clear" w:color="auto" w:fill="auto"/>
            <w:noWrap/>
            <w:vAlign w:val="center"/>
            <w:hideMark/>
          </w:tcPr>
          <w:p w14:paraId="1717DC8E" w14:textId="1C0A0E5D" w:rsidR="00003FDE" w:rsidRPr="001C3EC8" w:rsidRDefault="00003FDE" w:rsidP="00003FDE">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003FDE" w:rsidRPr="001C3EC8" w14:paraId="3B33015E" w14:textId="77777777" w:rsidTr="00DB2668">
        <w:trPr>
          <w:trHeight w:val="345"/>
        </w:trPr>
        <w:tc>
          <w:tcPr>
            <w:tcW w:w="1820" w:type="dxa"/>
            <w:tcBorders>
              <w:top w:val="nil"/>
              <w:left w:val="nil"/>
              <w:bottom w:val="double" w:sz="6" w:space="0" w:color="auto"/>
              <w:right w:val="nil"/>
            </w:tcBorders>
            <w:shd w:val="clear" w:color="auto" w:fill="auto"/>
            <w:noWrap/>
            <w:vAlign w:val="bottom"/>
            <w:hideMark/>
          </w:tcPr>
          <w:p w14:paraId="639210D6" w14:textId="77777777" w:rsidR="00003FDE" w:rsidRPr="001C3EC8" w:rsidRDefault="00003FDE" w:rsidP="00003FDE">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15" w:type="dxa"/>
            <w:tcBorders>
              <w:top w:val="nil"/>
              <w:left w:val="nil"/>
              <w:bottom w:val="double" w:sz="6" w:space="0" w:color="auto"/>
              <w:right w:val="nil"/>
            </w:tcBorders>
            <w:shd w:val="clear" w:color="auto" w:fill="auto"/>
            <w:noWrap/>
            <w:vAlign w:val="bottom"/>
            <w:hideMark/>
          </w:tcPr>
          <w:p w14:paraId="759CDE92" w14:textId="1DCEDE18"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380,51</w:t>
            </w:r>
          </w:p>
        </w:tc>
        <w:tc>
          <w:tcPr>
            <w:tcW w:w="1134" w:type="dxa"/>
            <w:tcBorders>
              <w:top w:val="nil"/>
              <w:left w:val="nil"/>
              <w:bottom w:val="double" w:sz="6" w:space="0" w:color="auto"/>
              <w:right w:val="nil"/>
            </w:tcBorders>
            <w:shd w:val="clear" w:color="auto" w:fill="auto"/>
            <w:noWrap/>
            <w:vAlign w:val="bottom"/>
            <w:hideMark/>
          </w:tcPr>
          <w:p w14:paraId="1E137868" w14:textId="62D31D58"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168</w:t>
            </w:r>
            <w:r w:rsidR="00DB2668" w:rsidRPr="001C3EC8">
              <w:rPr>
                <w:rFonts w:eastAsia="Times New Roman"/>
                <w:b/>
                <w:bCs/>
                <w:color w:val="000000" w:themeColor="text1"/>
                <w:szCs w:val="24"/>
                <w:lang w:eastAsia="cs-CZ"/>
              </w:rPr>
              <w:t>,</w:t>
            </w:r>
            <w:r w:rsidRPr="001C3EC8">
              <w:rPr>
                <w:rFonts w:eastAsia="Times New Roman"/>
                <w:b/>
                <w:bCs/>
                <w:color w:val="000000" w:themeColor="text1"/>
                <w:szCs w:val="24"/>
                <w:lang w:eastAsia="cs-CZ"/>
              </w:rPr>
              <w:t>04</w:t>
            </w:r>
          </w:p>
        </w:tc>
        <w:tc>
          <w:tcPr>
            <w:tcW w:w="949" w:type="dxa"/>
            <w:gridSpan w:val="2"/>
            <w:tcBorders>
              <w:top w:val="nil"/>
              <w:left w:val="nil"/>
              <w:bottom w:val="double" w:sz="6" w:space="0" w:color="auto"/>
              <w:right w:val="nil"/>
            </w:tcBorders>
            <w:shd w:val="clear" w:color="auto" w:fill="auto"/>
            <w:noWrap/>
            <w:vAlign w:val="center"/>
            <w:hideMark/>
          </w:tcPr>
          <w:p w14:paraId="6BFF00E0" w14:textId="497BF929" w:rsidR="00003FDE" w:rsidRPr="001C3EC8" w:rsidRDefault="00003FDE" w:rsidP="00003FDE">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-5 </w:t>
            </w:r>
            <w:r w:rsidR="00B07E76">
              <w:rPr>
                <w:rFonts w:eastAsia="Times New Roman"/>
                <w:b/>
                <w:bCs/>
                <w:color w:val="000000" w:themeColor="text1"/>
                <w:sz w:val="20"/>
                <w:szCs w:val="20"/>
                <w:lang w:eastAsia="cs-CZ"/>
              </w:rPr>
              <w:t>%</w:t>
            </w:r>
          </w:p>
        </w:tc>
        <w:tc>
          <w:tcPr>
            <w:tcW w:w="1237" w:type="dxa"/>
            <w:tcBorders>
              <w:top w:val="nil"/>
              <w:left w:val="single" w:sz="4" w:space="0" w:color="auto"/>
              <w:bottom w:val="double" w:sz="6" w:space="0" w:color="auto"/>
              <w:right w:val="nil"/>
            </w:tcBorders>
            <w:shd w:val="clear" w:color="auto" w:fill="auto"/>
            <w:noWrap/>
            <w:vAlign w:val="bottom"/>
            <w:hideMark/>
          </w:tcPr>
          <w:p w14:paraId="30D17C13" w14:textId="215B2BE7"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168</w:t>
            </w:r>
            <w:r w:rsidR="00DB2668" w:rsidRPr="001C3EC8">
              <w:rPr>
                <w:rFonts w:eastAsia="Times New Roman"/>
                <w:b/>
                <w:bCs/>
                <w:color w:val="000000" w:themeColor="text1"/>
                <w:szCs w:val="24"/>
                <w:lang w:eastAsia="cs-CZ"/>
              </w:rPr>
              <w:t>,</w:t>
            </w:r>
            <w:r w:rsidRPr="001C3EC8">
              <w:rPr>
                <w:rFonts w:eastAsia="Times New Roman"/>
                <w:b/>
                <w:bCs/>
                <w:color w:val="000000" w:themeColor="text1"/>
                <w:szCs w:val="24"/>
                <w:lang w:eastAsia="cs-CZ"/>
              </w:rPr>
              <w:t>43</w:t>
            </w:r>
          </w:p>
        </w:tc>
        <w:tc>
          <w:tcPr>
            <w:tcW w:w="949" w:type="dxa"/>
            <w:tcBorders>
              <w:top w:val="nil"/>
              <w:left w:val="nil"/>
              <w:bottom w:val="double" w:sz="6" w:space="0" w:color="auto"/>
              <w:right w:val="single" w:sz="4" w:space="0" w:color="auto"/>
            </w:tcBorders>
            <w:shd w:val="clear" w:color="auto" w:fill="auto"/>
            <w:noWrap/>
            <w:vAlign w:val="center"/>
            <w:hideMark/>
          </w:tcPr>
          <w:p w14:paraId="6F91B18D" w14:textId="41877522" w:rsidR="00003FDE" w:rsidRPr="001C3EC8" w:rsidRDefault="00003FDE" w:rsidP="00003FDE">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-5 </w:t>
            </w:r>
            <w:r w:rsidR="00B07E76">
              <w:rPr>
                <w:rFonts w:eastAsia="Times New Roman"/>
                <w:b/>
                <w:bCs/>
                <w:color w:val="000000" w:themeColor="text1"/>
                <w:sz w:val="20"/>
                <w:szCs w:val="20"/>
                <w:lang w:eastAsia="cs-CZ"/>
              </w:rPr>
              <w:t>%</w:t>
            </w:r>
          </w:p>
        </w:tc>
        <w:tc>
          <w:tcPr>
            <w:tcW w:w="1022" w:type="dxa"/>
            <w:tcBorders>
              <w:top w:val="nil"/>
              <w:left w:val="nil"/>
              <w:bottom w:val="double" w:sz="6" w:space="0" w:color="auto"/>
              <w:right w:val="nil"/>
            </w:tcBorders>
            <w:shd w:val="clear" w:color="auto" w:fill="auto"/>
            <w:noWrap/>
            <w:vAlign w:val="bottom"/>
            <w:hideMark/>
          </w:tcPr>
          <w:p w14:paraId="43556775" w14:textId="306E7D71" w:rsidR="00003FDE" w:rsidRPr="001C3EC8" w:rsidRDefault="00003FDE" w:rsidP="00003FDE">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31</w:t>
            </w:r>
            <w:r w:rsidR="00DB2668" w:rsidRPr="001C3EC8">
              <w:rPr>
                <w:rFonts w:eastAsia="Times New Roman"/>
                <w:b/>
                <w:bCs/>
                <w:color w:val="000000" w:themeColor="text1"/>
                <w:szCs w:val="24"/>
                <w:lang w:eastAsia="cs-CZ"/>
              </w:rPr>
              <w:t>,</w:t>
            </w:r>
            <w:r w:rsidRPr="001C3EC8">
              <w:rPr>
                <w:rFonts w:eastAsia="Times New Roman"/>
                <w:b/>
                <w:bCs/>
                <w:color w:val="000000" w:themeColor="text1"/>
                <w:szCs w:val="24"/>
                <w:lang w:eastAsia="cs-CZ"/>
              </w:rPr>
              <w:t>87</w:t>
            </w:r>
          </w:p>
        </w:tc>
        <w:tc>
          <w:tcPr>
            <w:tcW w:w="946" w:type="dxa"/>
            <w:tcBorders>
              <w:top w:val="nil"/>
              <w:left w:val="nil"/>
              <w:bottom w:val="double" w:sz="6" w:space="0" w:color="auto"/>
              <w:right w:val="nil"/>
            </w:tcBorders>
            <w:shd w:val="clear" w:color="auto" w:fill="auto"/>
            <w:noWrap/>
            <w:vAlign w:val="center"/>
            <w:hideMark/>
          </w:tcPr>
          <w:p w14:paraId="3E6EC972" w14:textId="5CA534ED" w:rsidR="00003FDE" w:rsidRPr="001C3EC8" w:rsidRDefault="00003FDE" w:rsidP="00003FDE">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r>
    </w:tbl>
    <w:p w14:paraId="5940FE22" w14:textId="77777777" w:rsidR="008430BD" w:rsidRPr="001C3EC8" w:rsidRDefault="008430BD" w:rsidP="008430BD">
      <w:pPr>
        <w:pStyle w:val="OdstavecASR"/>
        <w:rPr>
          <w:color w:val="000000" w:themeColor="text1"/>
        </w:rPr>
      </w:pPr>
    </w:p>
    <w:p w14:paraId="33C6F032" w14:textId="77777777" w:rsidR="00B07E76" w:rsidRDefault="008430BD" w:rsidP="008430BD">
      <w:pPr>
        <w:pStyle w:val="OdstavecASR"/>
        <w:rPr>
          <w:color w:val="000000" w:themeColor="text1"/>
        </w:rPr>
      </w:pPr>
      <w:r w:rsidRPr="001C3EC8">
        <w:rPr>
          <w:color w:val="000000" w:themeColor="text1"/>
        </w:rPr>
        <w:lastRenderedPageBreak/>
        <w:t>V tabulce vidíme, že výsledky (počty nevyřízených věcí na soudce) opět přibližně odpovídají délkám řízení – nejhorší situace je stále u OS, které spadají pod KS Ústí nad Labem.</w:t>
      </w:r>
    </w:p>
    <w:p w14:paraId="2C04221F" w14:textId="45DA01A8" w:rsidR="008430BD" w:rsidRPr="001C3EC8" w:rsidRDefault="00120A38" w:rsidP="008430BD">
      <w:pPr>
        <w:pStyle w:val="OdstavecASR"/>
        <w:rPr>
          <w:color w:val="000000" w:themeColor="text1"/>
        </w:rPr>
      </w:pPr>
      <w:r w:rsidRPr="001C3EC8">
        <w:rPr>
          <w:color w:val="000000" w:themeColor="text1"/>
        </w:rPr>
        <w:t>I</w:t>
      </w:r>
      <w:r>
        <w:rPr>
          <w:color w:val="000000" w:themeColor="text1"/>
        </w:rPr>
        <w:t> </w:t>
      </w:r>
      <w:r w:rsidR="008430BD" w:rsidRPr="001C3EC8">
        <w:rPr>
          <w:color w:val="000000" w:themeColor="text1"/>
        </w:rPr>
        <w:t xml:space="preserve">přesto, že počet nevyřízených věcí zůstal stabilní, počet nevyřízených věcí na soudce stoupl, neboť klesl počet soudců (skutečných úvazků) ze 417 na necelých 381, tedy </w:t>
      </w:r>
      <w:r w:rsidRPr="001C3EC8">
        <w:rPr>
          <w:color w:val="000000" w:themeColor="text1"/>
        </w:rPr>
        <w:t>o</w:t>
      </w:r>
      <w:r>
        <w:rPr>
          <w:color w:val="000000" w:themeColor="text1"/>
        </w:rPr>
        <w:t> </w:t>
      </w:r>
      <w:r w:rsidR="008430BD" w:rsidRPr="001C3EC8">
        <w:rPr>
          <w:color w:val="000000" w:themeColor="text1"/>
        </w:rPr>
        <w:t>8,76 %.</w:t>
      </w:r>
    </w:p>
    <w:p w14:paraId="359DC6E5" w14:textId="571AF75E" w:rsidR="008430BD" w:rsidRPr="001C3EC8" w:rsidRDefault="008430BD" w:rsidP="008430BD">
      <w:pPr>
        <w:pStyle w:val="Podnadpis"/>
        <w:rPr>
          <w:color w:val="000000" w:themeColor="text1"/>
        </w:rPr>
      </w:pPr>
      <w:bookmarkStart w:id="238" w:name="_Toc515871354"/>
      <w:bookmarkStart w:id="239" w:name="_Toc11135089"/>
      <w:bookmarkStart w:id="240" w:name="_Toc43841405"/>
      <w:bookmarkStart w:id="241" w:name="_Toc7595220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28</w:t>
      </w:r>
      <w:r w:rsidRPr="001C3EC8">
        <w:rPr>
          <w:noProof/>
          <w:color w:val="000000" w:themeColor="text1"/>
        </w:rPr>
        <w:fldChar w:fldCharType="end"/>
      </w:r>
      <w:r w:rsidRPr="001C3EC8">
        <w:rPr>
          <w:color w:val="000000" w:themeColor="text1"/>
        </w:rPr>
        <w:t xml:space="preserve">: OS – počet </w:t>
      </w:r>
      <w:proofErr w:type="spellStart"/>
      <w:r w:rsidRPr="001C3EC8">
        <w:rPr>
          <w:color w:val="000000" w:themeColor="text1"/>
        </w:rPr>
        <w:t>nevyříz</w:t>
      </w:r>
      <w:proofErr w:type="spellEnd"/>
      <w:r w:rsidRPr="001C3EC8">
        <w:rPr>
          <w:color w:val="000000" w:themeColor="text1"/>
        </w:rPr>
        <w:t xml:space="preserve">. trestních věcí na </w:t>
      </w:r>
      <w:r w:rsidR="00D110C7" w:rsidRPr="001C3EC8">
        <w:rPr>
          <w:color w:val="000000" w:themeColor="text1"/>
        </w:rPr>
        <w:t>úvazek</w:t>
      </w:r>
      <w:r w:rsidRPr="001C3EC8">
        <w:rPr>
          <w:color w:val="000000" w:themeColor="text1"/>
        </w:rPr>
        <w:t xml:space="preserve"> u jednotlivých soudů</w:t>
      </w:r>
      <w:bookmarkEnd w:id="238"/>
      <w:bookmarkEnd w:id="239"/>
      <w:bookmarkEnd w:id="240"/>
      <w:bookmarkEnd w:id="241"/>
    </w:p>
    <w:p w14:paraId="00E40B8C" w14:textId="6AAC6A29" w:rsidR="008430BD" w:rsidRPr="001C3EC8"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69504" behindDoc="0" locked="0" layoutInCell="1" allowOverlap="1" wp14:anchorId="70E48BB3" wp14:editId="0AD05528">
            <wp:simplePos x="0" y="0"/>
            <wp:positionH relativeFrom="margin">
              <wp:align>right</wp:align>
            </wp:positionH>
            <wp:positionV relativeFrom="paragraph">
              <wp:posOffset>44450</wp:posOffset>
            </wp:positionV>
            <wp:extent cx="1260000" cy="918000"/>
            <wp:effectExtent l="0" t="0" r="0" b="0"/>
            <wp:wrapNone/>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755F8E35" wp14:editId="6DDF8DAC">
            <wp:extent cx="5759450" cy="3296019"/>
            <wp:effectExtent l="0" t="0" r="0" b="0"/>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Pr="001C3EC8">
        <w:rPr>
          <w:color w:val="000000" w:themeColor="text1"/>
        </w:rPr>
        <w:t>Soudy s nejmenším počtem nevyřízených věcí v přepočtu na soudce jsou OS Beroun (</w:t>
      </w:r>
      <w:r w:rsidR="00120A38" w:rsidRPr="001C3EC8">
        <w:rPr>
          <w:color w:val="000000" w:themeColor="text1"/>
        </w:rPr>
        <w:t>7</w:t>
      </w:r>
      <w:r w:rsidR="00120A38">
        <w:rPr>
          <w:color w:val="000000" w:themeColor="text1"/>
        </w:rPr>
        <w:t> </w:t>
      </w:r>
      <w:r w:rsidRPr="001C3EC8">
        <w:rPr>
          <w:color w:val="000000" w:themeColor="text1"/>
        </w:rPr>
        <w:t xml:space="preserve">věcí), OS Kutná Hora (8) </w:t>
      </w:r>
      <w:r w:rsidR="00120A38" w:rsidRPr="001C3EC8">
        <w:rPr>
          <w:color w:val="000000" w:themeColor="text1"/>
        </w:rPr>
        <w:t>a</w:t>
      </w:r>
      <w:r w:rsidR="00120A38">
        <w:rPr>
          <w:color w:val="000000" w:themeColor="text1"/>
        </w:rPr>
        <w:t> </w:t>
      </w:r>
      <w:r w:rsidRPr="001C3EC8">
        <w:rPr>
          <w:color w:val="000000" w:themeColor="text1"/>
        </w:rPr>
        <w:t xml:space="preserve">OS Jičín (9). Naopak soudy s největším počtem nevyřízených věcí na soudce jsou OS Blansko (74), OS Prachatice (86) </w:t>
      </w:r>
      <w:r w:rsidR="00120A38" w:rsidRPr="001C3EC8">
        <w:rPr>
          <w:color w:val="000000" w:themeColor="text1"/>
        </w:rPr>
        <w:t>a</w:t>
      </w:r>
      <w:r w:rsidR="00120A38">
        <w:rPr>
          <w:color w:val="000000" w:themeColor="text1"/>
        </w:rPr>
        <w:t> </w:t>
      </w:r>
      <w:r w:rsidRPr="001C3EC8">
        <w:rPr>
          <w:color w:val="000000" w:themeColor="text1"/>
        </w:rPr>
        <w:t>(stejně jako v loňském roce) na posledním místě OS Děčín s velmi vysokým počtem 123 nevyřízených věcí na soudce. Prachatice jsou dobrým příkladem toho, jak mohou změn</w:t>
      </w:r>
      <w:r w:rsidR="004A27AD" w:rsidRPr="001C3EC8">
        <w:rPr>
          <w:color w:val="000000" w:themeColor="text1"/>
        </w:rPr>
        <w:t>y</w:t>
      </w:r>
      <w:r w:rsidRPr="001C3EC8">
        <w:rPr>
          <w:color w:val="000000" w:themeColor="text1"/>
        </w:rPr>
        <w:t xml:space="preserve"> v počtu soudců ovlivnit výsledek. V současné době tam totiž vyřizuje trestní agendu pouze jeden soudce.</w:t>
      </w:r>
    </w:p>
    <w:p w14:paraId="479BB0DB" w14:textId="77777777" w:rsidR="008430BD" w:rsidRPr="001C3EC8" w:rsidRDefault="008430BD" w:rsidP="008430BD">
      <w:pPr>
        <w:pStyle w:val="Nadpis3"/>
        <w:numPr>
          <w:ilvl w:val="2"/>
          <w:numId w:val="1"/>
        </w:numPr>
        <w:rPr>
          <w:color w:val="000000" w:themeColor="text1"/>
        </w:rPr>
      </w:pPr>
      <w:bookmarkStart w:id="242" w:name="_Toc515871234"/>
      <w:bookmarkStart w:id="243" w:name="_Toc75952070"/>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242"/>
      <w:proofErr w:type="spellEnd"/>
      <w:r w:rsidRPr="001C3EC8">
        <w:rPr>
          <w:color w:val="000000" w:themeColor="text1"/>
        </w:rPr>
        <w:t xml:space="preserve"> (dispoziční čas)</w:t>
      </w:r>
      <w:bookmarkEnd w:id="243"/>
    </w:p>
    <w:p w14:paraId="3ADCA7D6" w14:textId="77777777" w:rsidR="008430BD" w:rsidRPr="001C3EC8" w:rsidRDefault="008430BD" w:rsidP="008430BD">
      <w:pPr>
        <w:pStyle w:val="OdstavecASR"/>
        <w:spacing w:before="0" w:after="0"/>
        <w:rPr>
          <w:color w:val="000000" w:themeColor="text1"/>
        </w:rPr>
      </w:pPr>
      <w:r w:rsidRPr="001C3EC8">
        <w:rPr>
          <w:color w:val="000000" w:themeColor="text1"/>
        </w:rPr>
        <w:t>Základní popis způsobu výpočtu a účelu tohoto ukazatele se nachází v části věnované civilnímu řízení u OS. Výsledky DT velmi silně korespondují s výsledky z předchozích podkapitol.</w:t>
      </w:r>
    </w:p>
    <w:p w14:paraId="3E1F9FB9" w14:textId="64DA411A" w:rsidR="008430BD" w:rsidRPr="001C3EC8" w:rsidRDefault="008430BD" w:rsidP="008430BD">
      <w:pPr>
        <w:pStyle w:val="Podnadpis"/>
        <w:rPr>
          <w:color w:val="000000" w:themeColor="text1"/>
        </w:rPr>
      </w:pPr>
      <w:bookmarkStart w:id="244" w:name="_Toc515871358"/>
      <w:bookmarkStart w:id="245" w:name="_Toc11135092"/>
      <w:bookmarkStart w:id="246" w:name="_Toc43841406"/>
      <w:bookmarkStart w:id="247" w:name="_Toc75952209"/>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29</w:t>
      </w:r>
      <w:r w:rsidRPr="001C3EC8">
        <w:rPr>
          <w:noProof/>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trestního řízení v letech 2008–20</w:t>
      </w:r>
      <w:bookmarkEnd w:id="244"/>
      <w:bookmarkEnd w:id="245"/>
      <w:bookmarkEnd w:id="246"/>
      <w:r w:rsidRPr="001C3EC8">
        <w:rPr>
          <w:color w:val="000000" w:themeColor="text1"/>
        </w:rPr>
        <w:t>20</w:t>
      </w:r>
      <w:bookmarkEnd w:id="247"/>
    </w:p>
    <w:p w14:paraId="5E3F5405"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344AFA98" wp14:editId="3B7C5D7B">
            <wp:extent cx="5115560" cy="3743960"/>
            <wp:effectExtent l="0" t="0" r="0" b="889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DEBD424" w14:textId="645162EF" w:rsidR="00B07E76" w:rsidRDefault="008430BD" w:rsidP="008430BD">
      <w:pPr>
        <w:pStyle w:val="OdstavecASR"/>
        <w:rPr>
          <w:color w:val="000000" w:themeColor="text1"/>
        </w:rPr>
      </w:pPr>
      <w:r w:rsidRPr="001C3EC8">
        <w:rPr>
          <w:color w:val="000000" w:themeColor="text1"/>
        </w:rPr>
        <w:t>Zajímavý je určitý pokles DT v roce 2013. Ten byl způsoben nárůstem v počtu napadlých (a tedy i vyřízených věcí) v tomto roce. Od roku 2013 je DT velmi stabilní. Pokles počtu vyřízených i nevyřízených věcí za celou ČR pokračoval přibližně stejným tempem. Jak je výše diskutováno, v roce 2020 významně poklesl nápad (</w:t>
      </w:r>
      <w:r w:rsidR="00120A38" w:rsidRPr="001C3EC8">
        <w:rPr>
          <w:color w:val="000000" w:themeColor="text1"/>
        </w:rPr>
        <w:t>o</w:t>
      </w:r>
      <w:r w:rsidR="00120A38">
        <w:rPr>
          <w:color w:val="000000" w:themeColor="text1"/>
        </w:rPr>
        <w:t> </w:t>
      </w:r>
      <w:r w:rsidRPr="001C3EC8">
        <w:rPr>
          <w:color w:val="000000" w:themeColor="text1"/>
        </w:rPr>
        <w:t>13</w:t>
      </w:r>
      <w:r w:rsidR="004A27AD" w:rsidRPr="001C3EC8">
        <w:rPr>
          <w:color w:val="000000" w:themeColor="text1"/>
        </w:rPr>
        <w:t xml:space="preserve"> </w:t>
      </w:r>
      <w:r w:rsidRPr="001C3EC8">
        <w:rPr>
          <w:color w:val="000000" w:themeColor="text1"/>
        </w:rPr>
        <w:t xml:space="preserve">%), logicky tak poklesl </w:t>
      </w:r>
      <w:r w:rsidR="00120A38" w:rsidRPr="001C3EC8">
        <w:rPr>
          <w:color w:val="000000" w:themeColor="text1"/>
        </w:rPr>
        <w:t>i</w:t>
      </w:r>
      <w:r w:rsidR="00120A38">
        <w:rPr>
          <w:color w:val="000000" w:themeColor="text1"/>
        </w:rPr>
        <w:t> </w:t>
      </w:r>
      <w:r w:rsidRPr="001C3EC8">
        <w:rPr>
          <w:color w:val="000000" w:themeColor="text1"/>
        </w:rPr>
        <w:t xml:space="preserve">počet vyřízených věcí (také </w:t>
      </w:r>
      <w:r w:rsidR="00DB2668" w:rsidRPr="001C3EC8">
        <w:rPr>
          <w:color w:val="000000" w:themeColor="text1"/>
        </w:rPr>
        <w:t>o </w:t>
      </w:r>
      <w:r w:rsidRPr="001C3EC8">
        <w:rPr>
          <w:color w:val="000000" w:themeColor="text1"/>
        </w:rPr>
        <w:t>13</w:t>
      </w:r>
      <w:r w:rsidR="004A27AD" w:rsidRPr="001C3EC8">
        <w:rPr>
          <w:color w:val="000000" w:themeColor="text1"/>
        </w:rPr>
        <w:t xml:space="preserve"> </w:t>
      </w:r>
      <w:r w:rsidRPr="001C3EC8">
        <w:rPr>
          <w:color w:val="000000" w:themeColor="text1"/>
        </w:rPr>
        <w:t xml:space="preserve">%), ale počet nevyřízených věcí poklesl jen nepatrně </w:t>
      </w:r>
      <w:r w:rsidR="00120A38" w:rsidRPr="001C3EC8">
        <w:rPr>
          <w:color w:val="000000" w:themeColor="text1"/>
        </w:rPr>
        <w:t>o</w:t>
      </w:r>
      <w:r w:rsidR="00120A38">
        <w:rPr>
          <w:color w:val="000000" w:themeColor="text1"/>
        </w:rPr>
        <w:t> </w:t>
      </w:r>
      <w:r w:rsidR="00120A38" w:rsidRPr="001C3EC8">
        <w:rPr>
          <w:color w:val="000000" w:themeColor="text1"/>
        </w:rPr>
        <w:t>1</w:t>
      </w:r>
      <w:r w:rsidR="00120A38">
        <w:rPr>
          <w:color w:val="000000" w:themeColor="text1"/>
        </w:rPr>
        <w:t> </w:t>
      </w:r>
      <w:r w:rsidRPr="001C3EC8">
        <w:rPr>
          <w:color w:val="000000" w:themeColor="text1"/>
        </w:rPr>
        <w:t xml:space="preserve">% </w:t>
      </w:r>
      <w:r w:rsidR="00DC7EA7" w:rsidRPr="001C3EC8">
        <w:rPr>
          <w:color w:val="000000" w:themeColor="text1"/>
        </w:rPr>
        <w:t xml:space="preserve">oproti </w:t>
      </w:r>
      <w:r w:rsidRPr="001C3EC8">
        <w:rPr>
          <w:color w:val="000000" w:themeColor="text1"/>
        </w:rPr>
        <w:t>rok</w:t>
      </w:r>
      <w:r w:rsidR="00DC7EA7" w:rsidRPr="001C3EC8">
        <w:rPr>
          <w:color w:val="000000" w:themeColor="text1"/>
        </w:rPr>
        <w:t>u</w:t>
      </w:r>
      <w:r w:rsidRPr="001C3EC8">
        <w:rPr>
          <w:color w:val="000000" w:themeColor="text1"/>
        </w:rPr>
        <w:t xml:space="preserve"> 2019. To pak vedlo k růstu DT.</w:t>
      </w:r>
    </w:p>
    <w:p w14:paraId="659CCD3F" w14:textId="71F98EE5" w:rsidR="008430BD" w:rsidRPr="001C3EC8" w:rsidRDefault="008430BD" w:rsidP="008430BD">
      <w:pPr>
        <w:rPr>
          <w:color w:val="000000" w:themeColor="text1"/>
          <w:highlight w:val="yellow"/>
        </w:rPr>
      </w:pPr>
    </w:p>
    <w:p w14:paraId="4B7AD45C" w14:textId="57615866" w:rsidR="008430BD" w:rsidRPr="001C3EC8" w:rsidRDefault="008430BD" w:rsidP="008430BD">
      <w:pPr>
        <w:pStyle w:val="Podnadpis"/>
        <w:rPr>
          <w:color w:val="000000" w:themeColor="text1"/>
        </w:rPr>
      </w:pPr>
      <w:bookmarkStart w:id="248" w:name="_Toc43931196"/>
      <w:bookmarkStart w:id="249" w:name="_Toc75952326"/>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23</w:t>
      </w:r>
      <w:r w:rsidRPr="001C3EC8">
        <w:rPr>
          <w:noProof/>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trestního řízení dle krajů</w:t>
      </w:r>
      <w:bookmarkEnd w:id="248"/>
      <w:bookmarkEnd w:id="249"/>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1EF7EB40"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231AB8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068E5FA5"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2C0096AB"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2808B37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70D9C5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w:t>
            </w:r>
          </w:p>
        </w:tc>
        <w:tc>
          <w:tcPr>
            <w:tcW w:w="1927" w:type="dxa"/>
            <w:tcBorders>
              <w:top w:val="nil"/>
              <w:left w:val="nil"/>
              <w:bottom w:val="single" w:sz="4" w:space="0" w:color="auto"/>
              <w:right w:val="nil"/>
            </w:tcBorders>
            <w:shd w:val="clear" w:color="auto" w:fill="auto"/>
            <w:noWrap/>
            <w:vAlign w:val="center"/>
            <w:hideMark/>
          </w:tcPr>
          <w:p w14:paraId="6D77E7B2" w14:textId="2B487EB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r>
      <w:tr w:rsidR="008430BD" w:rsidRPr="001C3EC8" w14:paraId="1DE9773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DA0F37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12A8F1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w:t>
            </w:r>
          </w:p>
        </w:tc>
        <w:tc>
          <w:tcPr>
            <w:tcW w:w="1927" w:type="dxa"/>
            <w:tcBorders>
              <w:top w:val="nil"/>
              <w:left w:val="nil"/>
              <w:bottom w:val="single" w:sz="4" w:space="0" w:color="auto"/>
              <w:right w:val="nil"/>
            </w:tcBorders>
            <w:shd w:val="clear" w:color="auto" w:fill="auto"/>
            <w:noWrap/>
            <w:vAlign w:val="center"/>
            <w:hideMark/>
          </w:tcPr>
          <w:p w14:paraId="76510994" w14:textId="2483407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+33 </w:t>
            </w:r>
            <w:r w:rsidR="00B07E76">
              <w:rPr>
                <w:rFonts w:eastAsia="Times New Roman"/>
                <w:color w:val="000000" w:themeColor="text1"/>
                <w:sz w:val="20"/>
                <w:szCs w:val="20"/>
                <w:lang w:eastAsia="cs-CZ"/>
              </w:rPr>
              <w:t>%</w:t>
            </w:r>
          </w:p>
        </w:tc>
      </w:tr>
      <w:tr w:rsidR="008430BD" w:rsidRPr="001C3EC8" w14:paraId="0DFCE73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0903E6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58B67D5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1927" w:type="dxa"/>
            <w:tcBorders>
              <w:top w:val="nil"/>
              <w:left w:val="nil"/>
              <w:bottom w:val="single" w:sz="4" w:space="0" w:color="auto"/>
              <w:right w:val="nil"/>
            </w:tcBorders>
            <w:shd w:val="clear" w:color="auto" w:fill="auto"/>
            <w:noWrap/>
            <w:vAlign w:val="center"/>
            <w:hideMark/>
          </w:tcPr>
          <w:p w14:paraId="6BF41600" w14:textId="2F99A00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8430BD" w:rsidRPr="001C3EC8" w14:paraId="23C47CDF"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A3E6A4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077F8B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78</w:t>
            </w:r>
          </w:p>
        </w:tc>
        <w:tc>
          <w:tcPr>
            <w:tcW w:w="1927" w:type="dxa"/>
            <w:tcBorders>
              <w:top w:val="nil"/>
              <w:left w:val="nil"/>
              <w:bottom w:val="single" w:sz="4" w:space="0" w:color="auto"/>
              <w:right w:val="nil"/>
            </w:tcBorders>
            <w:shd w:val="clear" w:color="auto" w:fill="auto"/>
            <w:noWrap/>
            <w:vAlign w:val="center"/>
            <w:hideMark/>
          </w:tcPr>
          <w:p w14:paraId="430EA45E" w14:textId="4608CCD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8430BD" w:rsidRPr="001C3EC8" w14:paraId="254EEF4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3F73ED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7F33AB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w:t>
            </w:r>
          </w:p>
        </w:tc>
        <w:tc>
          <w:tcPr>
            <w:tcW w:w="1927" w:type="dxa"/>
            <w:tcBorders>
              <w:top w:val="nil"/>
              <w:left w:val="nil"/>
              <w:bottom w:val="single" w:sz="4" w:space="0" w:color="auto"/>
              <w:right w:val="nil"/>
            </w:tcBorders>
            <w:shd w:val="clear" w:color="auto" w:fill="auto"/>
            <w:noWrap/>
            <w:vAlign w:val="center"/>
            <w:hideMark/>
          </w:tcPr>
          <w:p w14:paraId="7C56B446" w14:textId="7E29F50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41681F51"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03DFE0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4548770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1927" w:type="dxa"/>
            <w:tcBorders>
              <w:top w:val="nil"/>
              <w:left w:val="nil"/>
              <w:bottom w:val="single" w:sz="4" w:space="0" w:color="auto"/>
              <w:right w:val="nil"/>
            </w:tcBorders>
            <w:shd w:val="clear" w:color="auto" w:fill="auto"/>
            <w:noWrap/>
            <w:vAlign w:val="center"/>
            <w:hideMark/>
          </w:tcPr>
          <w:p w14:paraId="080BA290" w14:textId="3AE0637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8430BD" w:rsidRPr="001C3EC8" w14:paraId="1F746771"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286385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022B90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62</w:t>
            </w:r>
          </w:p>
        </w:tc>
        <w:tc>
          <w:tcPr>
            <w:tcW w:w="1927" w:type="dxa"/>
            <w:tcBorders>
              <w:top w:val="nil"/>
              <w:left w:val="nil"/>
              <w:bottom w:val="single" w:sz="4" w:space="0" w:color="auto"/>
              <w:right w:val="nil"/>
            </w:tcBorders>
            <w:shd w:val="clear" w:color="auto" w:fill="auto"/>
            <w:noWrap/>
            <w:vAlign w:val="center"/>
            <w:hideMark/>
          </w:tcPr>
          <w:p w14:paraId="5C435DDA" w14:textId="6570EAB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r>
      <w:tr w:rsidR="008430BD" w:rsidRPr="001C3EC8" w14:paraId="72CF0362"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4FB10C1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562A282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w:t>
            </w:r>
          </w:p>
        </w:tc>
        <w:tc>
          <w:tcPr>
            <w:tcW w:w="1927" w:type="dxa"/>
            <w:tcBorders>
              <w:top w:val="nil"/>
              <w:left w:val="nil"/>
              <w:bottom w:val="double" w:sz="6" w:space="0" w:color="auto"/>
              <w:right w:val="nil"/>
            </w:tcBorders>
            <w:shd w:val="clear" w:color="auto" w:fill="auto"/>
            <w:noWrap/>
            <w:vAlign w:val="center"/>
            <w:hideMark/>
          </w:tcPr>
          <w:p w14:paraId="2A53FAF3" w14:textId="32C0DFB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56F91CF1"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0AC1AEE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435FA7C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69</w:t>
            </w:r>
          </w:p>
        </w:tc>
        <w:tc>
          <w:tcPr>
            <w:tcW w:w="1927" w:type="dxa"/>
            <w:tcBorders>
              <w:top w:val="nil"/>
              <w:left w:val="nil"/>
              <w:bottom w:val="double" w:sz="6" w:space="0" w:color="auto"/>
              <w:right w:val="nil"/>
            </w:tcBorders>
            <w:shd w:val="clear" w:color="auto" w:fill="auto"/>
            <w:noWrap/>
            <w:vAlign w:val="center"/>
            <w:hideMark/>
          </w:tcPr>
          <w:p w14:paraId="47B3C77F" w14:textId="22140978"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+13 </w:t>
            </w:r>
            <w:r w:rsidR="00B07E76">
              <w:rPr>
                <w:rFonts w:eastAsia="Times New Roman"/>
                <w:b/>
                <w:bCs/>
                <w:color w:val="000000" w:themeColor="text1"/>
                <w:sz w:val="20"/>
                <w:szCs w:val="20"/>
                <w:lang w:eastAsia="cs-CZ"/>
              </w:rPr>
              <w:t>%</w:t>
            </w:r>
          </w:p>
        </w:tc>
      </w:tr>
    </w:tbl>
    <w:p w14:paraId="2DD8202B" w14:textId="77777777" w:rsidR="008430BD" w:rsidRPr="001C3EC8" w:rsidRDefault="008430BD" w:rsidP="008430BD">
      <w:pPr>
        <w:rPr>
          <w:color w:val="000000" w:themeColor="text1"/>
          <w:highlight w:val="yellow"/>
        </w:rPr>
      </w:pPr>
    </w:p>
    <w:p w14:paraId="5756EA8F" w14:textId="33C37D89" w:rsidR="008430BD" w:rsidRPr="001C3EC8" w:rsidRDefault="008430BD" w:rsidP="008430BD">
      <w:pPr>
        <w:rPr>
          <w:color w:val="000000" w:themeColor="text1"/>
        </w:rPr>
      </w:pPr>
      <w:r w:rsidRPr="001C3EC8">
        <w:rPr>
          <w:color w:val="000000" w:themeColor="text1"/>
        </w:rPr>
        <w:t xml:space="preserve">DT dle krajů víceméně odpovídá výsledkům dle počtu nevyřízených věcí na soudce. Nejvyšší DT mají Severočeský </w:t>
      </w:r>
      <w:r w:rsidR="00120A38" w:rsidRPr="001C3EC8">
        <w:rPr>
          <w:color w:val="000000" w:themeColor="text1"/>
        </w:rPr>
        <w:t>a</w:t>
      </w:r>
      <w:r w:rsidR="00120A38">
        <w:rPr>
          <w:color w:val="000000" w:themeColor="text1"/>
        </w:rPr>
        <w:t> </w:t>
      </w:r>
      <w:r w:rsidRPr="001C3EC8">
        <w:rPr>
          <w:color w:val="000000" w:themeColor="text1"/>
        </w:rPr>
        <w:t xml:space="preserve">Západočeský kraj, nejnižší kraj Středočeský, </w:t>
      </w:r>
      <w:r w:rsidR="00120A38" w:rsidRPr="001C3EC8">
        <w:rPr>
          <w:color w:val="000000" w:themeColor="text1"/>
        </w:rPr>
        <w:t>a</w:t>
      </w:r>
      <w:r w:rsidR="00120A38">
        <w:rPr>
          <w:color w:val="000000" w:themeColor="text1"/>
        </w:rPr>
        <w:t> </w:t>
      </w:r>
      <w:r w:rsidRPr="001C3EC8">
        <w:rPr>
          <w:color w:val="000000" w:themeColor="text1"/>
        </w:rPr>
        <w:t xml:space="preserve">to </w:t>
      </w:r>
      <w:r w:rsidR="00120A38" w:rsidRPr="001C3EC8">
        <w:rPr>
          <w:color w:val="000000" w:themeColor="text1"/>
        </w:rPr>
        <w:t>i</w:t>
      </w:r>
      <w:r w:rsidR="00120A38">
        <w:rPr>
          <w:color w:val="000000" w:themeColor="text1"/>
        </w:rPr>
        <w:t> </w:t>
      </w:r>
      <w:r w:rsidRPr="001C3EC8">
        <w:rPr>
          <w:color w:val="000000" w:themeColor="text1"/>
        </w:rPr>
        <w:t xml:space="preserve">přes 33% nárůst. Nápad a počet vyřízených věcí klesl ve všech krajích, </w:t>
      </w:r>
      <w:r w:rsidR="00120A38" w:rsidRPr="001C3EC8">
        <w:rPr>
          <w:color w:val="000000" w:themeColor="text1"/>
        </w:rPr>
        <w:t>a</w:t>
      </w:r>
      <w:r w:rsidR="00120A38">
        <w:rPr>
          <w:color w:val="000000" w:themeColor="text1"/>
        </w:rPr>
        <w:t> </w:t>
      </w:r>
      <w:r w:rsidRPr="001C3EC8">
        <w:rPr>
          <w:color w:val="000000" w:themeColor="text1"/>
        </w:rPr>
        <w:t xml:space="preserve">logicky tedy </w:t>
      </w:r>
      <w:r w:rsidR="00DC7EA7" w:rsidRPr="001C3EC8">
        <w:rPr>
          <w:color w:val="000000" w:themeColor="text1"/>
        </w:rPr>
        <w:t xml:space="preserve">ve všech krajích </w:t>
      </w:r>
      <w:r w:rsidRPr="001C3EC8">
        <w:rPr>
          <w:color w:val="000000" w:themeColor="text1"/>
        </w:rPr>
        <w:t xml:space="preserve">vzrostl </w:t>
      </w:r>
      <w:r w:rsidR="00120A38" w:rsidRPr="001C3EC8">
        <w:rPr>
          <w:color w:val="000000" w:themeColor="text1"/>
        </w:rPr>
        <w:t>i</w:t>
      </w:r>
      <w:r w:rsidR="00120A38">
        <w:rPr>
          <w:color w:val="000000" w:themeColor="text1"/>
        </w:rPr>
        <w:t> </w:t>
      </w:r>
      <w:r w:rsidR="00DC7EA7" w:rsidRPr="001C3EC8">
        <w:rPr>
          <w:color w:val="000000" w:themeColor="text1"/>
        </w:rPr>
        <w:t>DT</w:t>
      </w:r>
      <w:r w:rsidRPr="001C3EC8">
        <w:rPr>
          <w:color w:val="000000" w:themeColor="text1"/>
        </w:rPr>
        <w:t>.</w:t>
      </w:r>
    </w:p>
    <w:p w14:paraId="3C716117" w14:textId="75800B53" w:rsidR="008430BD" w:rsidRPr="001C3EC8" w:rsidRDefault="008430BD" w:rsidP="008430BD">
      <w:pPr>
        <w:pStyle w:val="Podnadpis"/>
        <w:rPr>
          <w:color w:val="000000" w:themeColor="text1"/>
        </w:rPr>
      </w:pPr>
      <w:bookmarkStart w:id="250" w:name="_Toc515871359"/>
      <w:bookmarkStart w:id="251" w:name="_Toc11135093"/>
      <w:bookmarkStart w:id="252" w:name="_Toc43841407"/>
      <w:bookmarkStart w:id="253" w:name="_Toc75952210"/>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30</w:t>
      </w:r>
      <w:r w:rsidRPr="001C3EC8">
        <w:rPr>
          <w:noProof/>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trestního řízení u jednotlivých soudů</w:t>
      </w:r>
      <w:bookmarkEnd w:id="250"/>
      <w:bookmarkEnd w:id="251"/>
      <w:bookmarkEnd w:id="252"/>
      <w:bookmarkEnd w:id="253"/>
    </w:p>
    <w:p w14:paraId="64A693D5" w14:textId="79BD0479" w:rsidR="008430BD" w:rsidRPr="001C3EC8" w:rsidRDefault="008430BD" w:rsidP="008430BD">
      <w:pPr>
        <w:rPr>
          <w:color w:val="000000" w:themeColor="text1"/>
        </w:rPr>
      </w:pPr>
      <w:r w:rsidRPr="001C3EC8">
        <w:rPr>
          <w:noProof/>
          <w:color w:val="000000" w:themeColor="text1"/>
          <w:lang w:eastAsia="cs-CZ"/>
        </w:rPr>
        <w:drawing>
          <wp:anchor distT="0" distB="0" distL="114300" distR="114300" simplePos="0" relativeHeight="251670528" behindDoc="0" locked="0" layoutInCell="1" allowOverlap="1" wp14:anchorId="2D1AFD5E" wp14:editId="7F76D623">
            <wp:simplePos x="0" y="0"/>
            <wp:positionH relativeFrom="margin">
              <wp:align>right</wp:align>
            </wp:positionH>
            <wp:positionV relativeFrom="paragraph">
              <wp:posOffset>13970</wp:posOffset>
            </wp:positionV>
            <wp:extent cx="1260000" cy="918000"/>
            <wp:effectExtent l="0" t="0" r="0" b="0"/>
            <wp:wrapNone/>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0D01F880" wp14:editId="1FA6FCAD">
            <wp:extent cx="5759450" cy="3296019"/>
            <wp:effectExtent l="0" t="0" r="0" b="0"/>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Pr="001C3EC8">
        <w:rPr>
          <w:color w:val="000000" w:themeColor="text1"/>
        </w:rPr>
        <w:t>Data v kartogramu potvrzují závěry z předchozích podkapitol věnovaných délkám řízení a vyřizování věcí.</w:t>
      </w:r>
      <w:r w:rsidR="00E10CA4">
        <w:rPr>
          <w:color w:val="000000" w:themeColor="text1"/>
        </w:rPr>
        <w:t xml:space="preserve"> </w:t>
      </w:r>
      <w:r w:rsidRPr="001C3EC8">
        <w:rPr>
          <w:color w:val="000000" w:themeColor="text1"/>
        </w:rPr>
        <w:t xml:space="preserve">Na krabicových grafech opět registrujeme zvýšení variability – „vousy“ jsou delší. Zdaleka nejodlehlejší hodnota DT na grafu je opět OS Děčín. To spolu se značnými délkami řízení </w:t>
      </w:r>
      <w:r w:rsidR="00120A38" w:rsidRPr="001C3EC8">
        <w:rPr>
          <w:color w:val="000000" w:themeColor="text1"/>
        </w:rPr>
        <w:t>a</w:t>
      </w:r>
      <w:r w:rsidR="00120A38">
        <w:rPr>
          <w:color w:val="000000" w:themeColor="text1"/>
        </w:rPr>
        <w:t> </w:t>
      </w:r>
      <w:r w:rsidRPr="001C3EC8">
        <w:rPr>
          <w:color w:val="000000" w:themeColor="text1"/>
        </w:rPr>
        <w:t>vysokým počtem nevyřízených věcí na soudce v posledních letech ukazuje, že OS Děčín má s vyřizováním trestní agendy dlouhodobější problém.</w:t>
      </w:r>
    </w:p>
    <w:p w14:paraId="65824278" w14:textId="77777777" w:rsidR="008430BD" w:rsidRPr="001C3EC8" w:rsidRDefault="008430BD" w:rsidP="008430BD">
      <w:pPr>
        <w:pStyle w:val="OdstavecASR"/>
        <w:rPr>
          <w:color w:val="000000" w:themeColor="text1"/>
        </w:rPr>
      </w:pPr>
    </w:p>
    <w:p w14:paraId="513CEB9B" w14:textId="144D3E79" w:rsidR="008430BD" w:rsidRPr="001C3EC8" w:rsidRDefault="008430BD" w:rsidP="008430BD">
      <w:pPr>
        <w:pStyle w:val="Podnadpis"/>
        <w:rPr>
          <w:color w:val="000000" w:themeColor="text1"/>
        </w:rPr>
      </w:pPr>
      <w:bookmarkStart w:id="254" w:name="_Toc43841408"/>
      <w:bookmarkStart w:id="255" w:name="_Toc7595221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31</w:t>
      </w:r>
      <w:r w:rsidRPr="001C3EC8">
        <w:rPr>
          <w:noProof/>
          <w:color w:val="000000" w:themeColor="text1"/>
        </w:rPr>
        <w:fldChar w:fldCharType="end"/>
      </w:r>
      <w:r w:rsidRPr="001C3EC8">
        <w:rPr>
          <w:color w:val="000000" w:themeColor="text1"/>
        </w:rPr>
        <w:t>: OS – krabicové grafy, DT trestního řízení</w:t>
      </w:r>
      <w:bookmarkEnd w:id="254"/>
      <w:bookmarkEnd w:id="255"/>
    </w:p>
    <w:p w14:paraId="2927765F"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643838D6" wp14:editId="5BE9483A">
            <wp:extent cx="5115560" cy="3743960"/>
            <wp:effectExtent l="0" t="0" r="0" b="889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69F4E4EA" w14:textId="0430B9E3" w:rsidR="008430BD" w:rsidRPr="001C3EC8" w:rsidRDefault="008430BD" w:rsidP="008430BD">
      <w:pPr>
        <w:pStyle w:val="OdstavecASR"/>
        <w:rPr>
          <w:color w:val="000000" w:themeColor="text1"/>
        </w:rPr>
      </w:pPr>
      <w:r w:rsidRPr="001C3EC8">
        <w:rPr>
          <w:color w:val="000000" w:themeColor="text1"/>
        </w:rPr>
        <w:lastRenderedPageBreak/>
        <w:t xml:space="preserve">Závěrem můžeme uvést, že situace v trestní agendě v posledních letech stagnuje nebo se velmi mírně vylepšila. Pomalu se snižovala variabilita mezi soudy. Na rozdíl od civilního řízení na tom měl zásluhu především snižující se nápad a posilování trestních úseků vybraných soudů. V roce 2020 se </w:t>
      </w:r>
      <w:r w:rsidR="00120A38" w:rsidRPr="001C3EC8">
        <w:rPr>
          <w:color w:val="000000" w:themeColor="text1"/>
        </w:rPr>
        <w:t>u</w:t>
      </w:r>
      <w:r w:rsidR="00120A38">
        <w:rPr>
          <w:color w:val="000000" w:themeColor="text1"/>
        </w:rPr>
        <w:t> </w:t>
      </w:r>
      <w:r w:rsidRPr="001C3EC8">
        <w:rPr>
          <w:color w:val="000000" w:themeColor="text1"/>
        </w:rPr>
        <w:t xml:space="preserve">některých okresních soudů zhoršil DT, což je dáno snížením počtu napadlých </w:t>
      </w:r>
      <w:r w:rsidR="00120A38" w:rsidRPr="001C3EC8">
        <w:rPr>
          <w:color w:val="000000" w:themeColor="text1"/>
        </w:rPr>
        <w:t>a</w:t>
      </w:r>
      <w:r w:rsidR="00120A38">
        <w:rPr>
          <w:color w:val="000000" w:themeColor="text1"/>
        </w:rPr>
        <w:t> </w:t>
      </w:r>
      <w:r w:rsidRPr="001C3EC8">
        <w:rPr>
          <w:color w:val="000000" w:themeColor="text1"/>
        </w:rPr>
        <w:t>vyřízených věcí</w:t>
      </w:r>
      <w:r w:rsidR="00DC7EA7" w:rsidRPr="001C3EC8">
        <w:rPr>
          <w:color w:val="000000" w:themeColor="text1"/>
        </w:rPr>
        <w:t>,</w:t>
      </w:r>
      <w:r w:rsidRPr="001C3EC8">
        <w:rPr>
          <w:color w:val="000000" w:themeColor="text1"/>
        </w:rPr>
        <w:t xml:space="preserve"> </w:t>
      </w:r>
      <w:r w:rsidR="00120A38" w:rsidRPr="001C3EC8">
        <w:rPr>
          <w:color w:val="000000" w:themeColor="text1"/>
        </w:rPr>
        <w:t>a</w:t>
      </w:r>
      <w:r w:rsidR="00120A38">
        <w:rPr>
          <w:color w:val="000000" w:themeColor="text1"/>
        </w:rPr>
        <w:t> </w:t>
      </w:r>
      <w:r w:rsidRPr="001C3EC8">
        <w:rPr>
          <w:color w:val="000000" w:themeColor="text1"/>
        </w:rPr>
        <w:t>zvýšil se počet nevyřízených věcí na soudce</w:t>
      </w:r>
      <w:r w:rsidR="004A27AD" w:rsidRPr="001C3EC8">
        <w:rPr>
          <w:color w:val="000000" w:themeColor="text1"/>
        </w:rPr>
        <w:t xml:space="preserve"> (úvazek)</w:t>
      </w:r>
      <w:r w:rsidRPr="001C3EC8">
        <w:rPr>
          <w:color w:val="000000" w:themeColor="text1"/>
        </w:rPr>
        <w:t xml:space="preserve">, což je dáno nižším počtem soudců. </w:t>
      </w:r>
      <w:r w:rsidR="00DC7EA7" w:rsidRPr="001C3EC8">
        <w:rPr>
          <w:color w:val="000000" w:themeColor="text1"/>
        </w:rPr>
        <w:t>Přesto se</w:t>
      </w:r>
      <w:r w:rsidRPr="001C3EC8">
        <w:rPr>
          <w:color w:val="000000" w:themeColor="text1"/>
        </w:rPr>
        <w:t xml:space="preserve"> celková situace oproti roku 2019 víceméně nezměnila. Data ukazují </w:t>
      </w:r>
      <w:r w:rsidR="00120A38" w:rsidRPr="001C3EC8">
        <w:rPr>
          <w:color w:val="000000" w:themeColor="text1"/>
        </w:rPr>
        <w:t>i</w:t>
      </w:r>
      <w:r w:rsidR="00120A38">
        <w:rPr>
          <w:color w:val="000000" w:themeColor="text1"/>
        </w:rPr>
        <w:t> </w:t>
      </w:r>
      <w:r w:rsidRPr="001C3EC8">
        <w:rPr>
          <w:color w:val="000000" w:themeColor="text1"/>
        </w:rPr>
        <w:t>problémy několika soudů s trestní agendou.</w:t>
      </w:r>
    </w:p>
    <w:p w14:paraId="72FECD01" w14:textId="77777777" w:rsidR="008430BD" w:rsidRPr="001C3EC8" w:rsidRDefault="008430BD" w:rsidP="008430BD">
      <w:pPr>
        <w:pStyle w:val="Nadpis3"/>
        <w:numPr>
          <w:ilvl w:val="2"/>
          <w:numId w:val="1"/>
        </w:numPr>
        <w:rPr>
          <w:color w:val="000000" w:themeColor="text1"/>
        </w:rPr>
      </w:pPr>
      <w:bookmarkStart w:id="256" w:name="_Toc515871235"/>
      <w:bookmarkStart w:id="257" w:name="_Toc75952071"/>
      <w:r w:rsidRPr="001C3EC8">
        <w:rPr>
          <w:color w:val="000000" w:themeColor="text1"/>
        </w:rPr>
        <w:t>Další statistiky</w:t>
      </w:r>
      <w:bookmarkEnd w:id="256"/>
      <w:bookmarkEnd w:id="257"/>
    </w:p>
    <w:p w14:paraId="340BA410" w14:textId="6713E562" w:rsidR="008430BD" w:rsidRPr="001C3EC8" w:rsidRDefault="008430BD" w:rsidP="008430BD">
      <w:pPr>
        <w:pStyle w:val="OdstavecASR"/>
        <w:rPr>
          <w:color w:val="000000" w:themeColor="text1"/>
        </w:rPr>
      </w:pPr>
      <w:r w:rsidRPr="001C3EC8">
        <w:rPr>
          <w:color w:val="000000" w:themeColor="text1"/>
        </w:rPr>
        <w:t>Data pochází ze statistických listů, zkoumáme tedy agendy T a </w:t>
      </w:r>
      <w:proofErr w:type="spellStart"/>
      <w:r w:rsidRPr="001C3EC8">
        <w:rPr>
          <w:color w:val="000000" w:themeColor="text1"/>
        </w:rPr>
        <w:t>Tm</w:t>
      </w:r>
      <w:proofErr w:type="spellEnd"/>
      <w:r w:rsidRPr="001C3EC8">
        <w:rPr>
          <w:color w:val="000000" w:themeColor="text1"/>
        </w:rPr>
        <w:t xml:space="preserve">. </w:t>
      </w:r>
      <w:r w:rsidR="00120A38" w:rsidRPr="001C3EC8">
        <w:rPr>
          <w:color w:val="000000" w:themeColor="text1"/>
        </w:rPr>
        <w:t>I</w:t>
      </w:r>
      <w:r w:rsidR="00120A38">
        <w:rPr>
          <w:color w:val="000000" w:themeColor="text1"/>
        </w:rPr>
        <w:t> </w:t>
      </w:r>
      <w:r w:rsidRPr="001C3EC8">
        <w:rPr>
          <w:color w:val="000000" w:themeColor="text1"/>
        </w:rPr>
        <w:t>zde uvádíme několik příkladů dalších sledovaných statistik, podobně jako u civilního řízení je to míra odvolání a míra změny rozsudku. Připomínáme, že jsme u těchto statistik vyřadili věci vyřízené trestním příkazem, jejichž podíl na celkovém počtu věcí v této podkapitole také zkoumáme. Dále se zabýváme podílem věcí skončených trestním příkazem, počtem odsouzených na 1000 obyvatel dle krajů</w:t>
      </w:r>
      <w:r w:rsidR="00DC7EA7" w:rsidRPr="001C3EC8">
        <w:rPr>
          <w:color w:val="000000" w:themeColor="text1"/>
        </w:rPr>
        <w:t xml:space="preserve">, </w:t>
      </w:r>
      <w:r w:rsidRPr="001C3EC8">
        <w:rPr>
          <w:color w:val="000000" w:themeColor="text1"/>
        </w:rPr>
        <w:t>počt</w:t>
      </w:r>
      <w:r w:rsidR="00DC7EA7" w:rsidRPr="001C3EC8">
        <w:rPr>
          <w:color w:val="000000" w:themeColor="text1"/>
        </w:rPr>
        <w:t>em</w:t>
      </w:r>
      <w:r w:rsidRPr="001C3EC8">
        <w:rPr>
          <w:color w:val="000000" w:themeColor="text1"/>
        </w:rPr>
        <w:t xml:space="preserve"> odsouzených dle národnosti, vývoj</w:t>
      </w:r>
      <w:r w:rsidR="00DC7EA7" w:rsidRPr="001C3EC8">
        <w:rPr>
          <w:color w:val="000000" w:themeColor="text1"/>
        </w:rPr>
        <w:t>em</w:t>
      </w:r>
      <w:r w:rsidRPr="001C3EC8">
        <w:rPr>
          <w:color w:val="000000" w:themeColor="text1"/>
        </w:rPr>
        <w:t xml:space="preserve"> ukládání peněžitých trestů od roku 2008 </w:t>
      </w:r>
      <w:r w:rsidR="00120A38" w:rsidRPr="001C3EC8">
        <w:rPr>
          <w:color w:val="000000" w:themeColor="text1"/>
        </w:rPr>
        <w:t>a</w:t>
      </w:r>
      <w:r w:rsidR="00120A38">
        <w:rPr>
          <w:color w:val="000000" w:themeColor="text1"/>
        </w:rPr>
        <w:t> </w:t>
      </w:r>
      <w:r w:rsidRPr="001C3EC8">
        <w:rPr>
          <w:color w:val="000000" w:themeColor="text1"/>
        </w:rPr>
        <w:t>nakonec mír</w:t>
      </w:r>
      <w:r w:rsidR="004A0CF5" w:rsidRPr="001C3EC8">
        <w:rPr>
          <w:color w:val="000000" w:themeColor="text1"/>
        </w:rPr>
        <w:t>ou</w:t>
      </w:r>
      <w:r w:rsidRPr="001C3EC8">
        <w:rPr>
          <w:color w:val="000000" w:themeColor="text1"/>
        </w:rPr>
        <w:t xml:space="preserve"> odsouzení.</w:t>
      </w:r>
    </w:p>
    <w:p w14:paraId="07347C06" w14:textId="60C087A6" w:rsidR="004A27AD" w:rsidRPr="001C3EC8" w:rsidRDefault="004A27AD" w:rsidP="008430BD">
      <w:pPr>
        <w:pStyle w:val="OdstavecASR"/>
        <w:rPr>
          <w:b/>
          <w:bCs/>
          <w:color w:val="000000" w:themeColor="text1"/>
          <w:highlight w:val="yellow"/>
        </w:rPr>
      </w:pPr>
      <w:r w:rsidRPr="001C3EC8">
        <w:rPr>
          <w:b/>
          <w:bCs/>
          <w:color w:val="000000" w:themeColor="text1"/>
        </w:rPr>
        <w:t>Míra odvolání</w:t>
      </w:r>
    </w:p>
    <w:p w14:paraId="3DA1C7AA" w14:textId="14DF1D82" w:rsidR="008430BD" w:rsidRPr="001C3EC8" w:rsidRDefault="008430BD" w:rsidP="008430BD">
      <w:pPr>
        <w:pStyle w:val="Podnadpis"/>
        <w:rPr>
          <w:color w:val="000000" w:themeColor="text1"/>
        </w:rPr>
      </w:pPr>
      <w:bookmarkStart w:id="258" w:name="_Toc515871456"/>
      <w:bookmarkStart w:id="259" w:name="_Toc11133224"/>
      <w:bookmarkStart w:id="260" w:name="_Toc43931197"/>
      <w:bookmarkStart w:id="261" w:name="_Toc75952327"/>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24</w:t>
      </w:r>
      <w:r w:rsidRPr="001C3EC8">
        <w:rPr>
          <w:noProof/>
          <w:color w:val="000000" w:themeColor="text1"/>
        </w:rPr>
        <w:fldChar w:fldCharType="end"/>
      </w:r>
      <w:r w:rsidRPr="001C3EC8">
        <w:rPr>
          <w:color w:val="000000" w:themeColor="text1"/>
        </w:rPr>
        <w:t>: OS – míra odvolání dle krajů v trestním řízení</w:t>
      </w:r>
      <w:bookmarkEnd w:id="258"/>
      <w:bookmarkEnd w:id="259"/>
      <w:bookmarkEnd w:id="260"/>
      <w:bookmarkEnd w:id="261"/>
    </w:p>
    <w:tbl>
      <w:tblPr>
        <w:tblW w:w="6300" w:type="dxa"/>
        <w:tblCellMar>
          <w:left w:w="70" w:type="dxa"/>
          <w:right w:w="70" w:type="dxa"/>
        </w:tblCellMar>
        <w:tblLook w:val="04A0" w:firstRow="1" w:lastRow="0" w:firstColumn="1" w:lastColumn="0" w:noHBand="0" w:noVBand="1"/>
      </w:tblPr>
      <w:tblGrid>
        <w:gridCol w:w="2780"/>
        <w:gridCol w:w="1447"/>
        <w:gridCol w:w="2073"/>
      </w:tblGrid>
      <w:tr w:rsidR="008430BD" w:rsidRPr="001C3EC8" w14:paraId="2EA3B56C"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275940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73BCD77C" w14:textId="1A837E98"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odvolání (</w:t>
            </w:r>
            <w:r w:rsidR="00120A38" w:rsidRPr="001C3EC8">
              <w:rPr>
                <w:rFonts w:eastAsia="Times New Roman"/>
                <w:b/>
                <w:bCs/>
                <w:color w:val="000000" w:themeColor="text1"/>
                <w:szCs w:val="24"/>
                <w:lang w:eastAsia="cs-CZ"/>
              </w:rPr>
              <w:t>v</w:t>
            </w:r>
            <w:r w:rsidR="00120A38">
              <w:rPr>
                <w:rFonts w:eastAsia="Times New Roman"/>
                <w:b/>
                <w:bCs/>
                <w:color w:val="000000" w:themeColor="text1"/>
                <w:szCs w:val="24"/>
                <w:lang w:eastAsia="cs-CZ"/>
              </w:rPr>
              <w:t> </w:t>
            </w:r>
            <w:r w:rsidRPr="001C3EC8">
              <w:rPr>
                <w:rFonts w:eastAsia="Times New Roman"/>
                <w:b/>
                <w:bCs/>
                <w:color w:val="000000" w:themeColor="text1"/>
                <w:szCs w:val="24"/>
                <w:lang w:eastAsia="cs-CZ"/>
              </w:rPr>
              <w:t xml:space="preserve">%) </w:t>
            </w:r>
          </w:p>
        </w:tc>
      </w:tr>
      <w:tr w:rsidR="008430BD" w:rsidRPr="001C3EC8" w14:paraId="790B7DDB"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5973C71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447" w:type="dxa"/>
            <w:tcBorders>
              <w:top w:val="nil"/>
              <w:left w:val="nil"/>
              <w:bottom w:val="single" w:sz="4" w:space="0" w:color="auto"/>
              <w:right w:val="nil"/>
            </w:tcBorders>
            <w:shd w:val="clear" w:color="auto" w:fill="auto"/>
            <w:noWrap/>
            <w:vAlign w:val="bottom"/>
            <w:hideMark/>
          </w:tcPr>
          <w:p w14:paraId="49A911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30,61</w:t>
            </w:r>
          </w:p>
        </w:tc>
        <w:tc>
          <w:tcPr>
            <w:tcW w:w="2073" w:type="dxa"/>
            <w:tcBorders>
              <w:top w:val="nil"/>
              <w:left w:val="nil"/>
              <w:bottom w:val="single" w:sz="4" w:space="0" w:color="auto"/>
              <w:right w:val="nil"/>
            </w:tcBorders>
            <w:shd w:val="clear" w:color="auto" w:fill="auto"/>
            <w:noWrap/>
            <w:vAlign w:val="center"/>
            <w:hideMark/>
          </w:tcPr>
          <w:p w14:paraId="761AB12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+0,1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341F02EF"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8E8467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447" w:type="dxa"/>
            <w:tcBorders>
              <w:top w:val="nil"/>
              <w:left w:val="nil"/>
              <w:bottom w:val="single" w:sz="4" w:space="0" w:color="auto"/>
              <w:right w:val="nil"/>
            </w:tcBorders>
            <w:shd w:val="clear" w:color="auto" w:fill="auto"/>
            <w:noWrap/>
            <w:vAlign w:val="bottom"/>
            <w:hideMark/>
          </w:tcPr>
          <w:p w14:paraId="11E388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28,16</w:t>
            </w:r>
          </w:p>
        </w:tc>
        <w:tc>
          <w:tcPr>
            <w:tcW w:w="2073" w:type="dxa"/>
            <w:tcBorders>
              <w:top w:val="nil"/>
              <w:left w:val="nil"/>
              <w:bottom w:val="single" w:sz="4" w:space="0" w:color="auto"/>
              <w:right w:val="nil"/>
            </w:tcBorders>
            <w:shd w:val="clear" w:color="auto" w:fill="auto"/>
            <w:noWrap/>
            <w:vAlign w:val="center"/>
            <w:hideMark/>
          </w:tcPr>
          <w:p w14:paraId="60F50DC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+0,5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4414CB6"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4C04AA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447" w:type="dxa"/>
            <w:tcBorders>
              <w:top w:val="nil"/>
              <w:left w:val="nil"/>
              <w:bottom w:val="single" w:sz="4" w:space="0" w:color="auto"/>
              <w:right w:val="nil"/>
            </w:tcBorders>
            <w:shd w:val="clear" w:color="auto" w:fill="auto"/>
            <w:noWrap/>
            <w:vAlign w:val="bottom"/>
            <w:hideMark/>
          </w:tcPr>
          <w:p w14:paraId="7FFD2C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21,30</w:t>
            </w:r>
          </w:p>
        </w:tc>
        <w:tc>
          <w:tcPr>
            <w:tcW w:w="2073" w:type="dxa"/>
            <w:tcBorders>
              <w:top w:val="nil"/>
              <w:left w:val="nil"/>
              <w:bottom w:val="single" w:sz="4" w:space="0" w:color="auto"/>
              <w:right w:val="nil"/>
            </w:tcBorders>
            <w:shd w:val="clear" w:color="auto" w:fill="auto"/>
            <w:noWrap/>
            <w:vAlign w:val="center"/>
            <w:hideMark/>
          </w:tcPr>
          <w:p w14:paraId="2E99904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-0,8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ACB2FC6"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828B62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447" w:type="dxa"/>
            <w:tcBorders>
              <w:top w:val="nil"/>
              <w:left w:val="nil"/>
              <w:bottom w:val="single" w:sz="4" w:space="0" w:color="auto"/>
              <w:right w:val="nil"/>
            </w:tcBorders>
            <w:shd w:val="clear" w:color="auto" w:fill="auto"/>
            <w:noWrap/>
            <w:vAlign w:val="bottom"/>
            <w:hideMark/>
          </w:tcPr>
          <w:p w14:paraId="7CE221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27,64</w:t>
            </w:r>
          </w:p>
        </w:tc>
        <w:tc>
          <w:tcPr>
            <w:tcW w:w="2073" w:type="dxa"/>
            <w:tcBorders>
              <w:top w:val="nil"/>
              <w:left w:val="nil"/>
              <w:bottom w:val="single" w:sz="4" w:space="0" w:color="auto"/>
              <w:right w:val="nil"/>
            </w:tcBorders>
            <w:shd w:val="clear" w:color="auto" w:fill="auto"/>
            <w:noWrap/>
            <w:vAlign w:val="center"/>
            <w:hideMark/>
          </w:tcPr>
          <w:p w14:paraId="0A3127A9"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B14104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FF48D4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447" w:type="dxa"/>
            <w:tcBorders>
              <w:top w:val="nil"/>
              <w:left w:val="nil"/>
              <w:bottom w:val="single" w:sz="4" w:space="0" w:color="auto"/>
              <w:right w:val="nil"/>
            </w:tcBorders>
            <w:shd w:val="clear" w:color="auto" w:fill="auto"/>
            <w:noWrap/>
            <w:vAlign w:val="bottom"/>
            <w:hideMark/>
          </w:tcPr>
          <w:p w14:paraId="63DDC3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17,46</w:t>
            </w:r>
          </w:p>
        </w:tc>
        <w:tc>
          <w:tcPr>
            <w:tcW w:w="2073" w:type="dxa"/>
            <w:tcBorders>
              <w:top w:val="nil"/>
              <w:left w:val="nil"/>
              <w:bottom w:val="single" w:sz="4" w:space="0" w:color="auto"/>
              <w:right w:val="nil"/>
            </w:tcBorders>
            <w:shd w:val="clear" w:color="auto" w:fill="auto"/>
            <w:noWrap/>
            <w:vAlign w:val="center"/>
            <w:hideMark/>
          </w:tcPr>
          <w:p w14:paraId="4D8FA75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2FB329FB"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BC1FCF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447" w:type="dxa"/>
            <w:tcBorders>
              <w:top w:val="nil"/>
              <w:left w:val="nil"/>
              <w:bottom w:val="single" w:sz="4" w:space="0" w:color="auto"/>
              <w:right w:val="nil"/>
            </w:tcBorders>
            <w:shd w:val="clear" w:color="auto" w:fill="auto"/>
            <w:noWrap/>
            <w:vAlign w:val="bottom"/>
            <w:hideMark/>
          </w:tcPr>
          <w:p w14:paraId="0C1262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25,50</w:t>
            </w:r>
          </w:p>
        </w:tc>
        <w:tc>
          <w:tcPr>
            <w:tcW w:w="2073" w:type="dxa"/>
            <w:tcBorders>
              <w:top w:val="nil"/>
              <w:left w:val="nil"/>
              <w:bottom w:val="single" w:sz="4" w:space="0" w:color="auto"/>
              <w:right w:val="nil"/>
            </w:tcBorders>
            <w:shd w:val="clear" w:color="auto" w:fill="auto"/>
            <w:noWrap/>
            <w:vAlign w:val="center"/>
            <w:hideMark/>
          </w:tcPr>
          <w:p w14:paraId="3869035F"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-0,8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46D5AF9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75E4D3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447" w:type="dxa"/>
            <w:tcBorders>
              <w:top w:val="nil"/>
              <w:left w:val="nil"/>
              <w:bottom w:val="single" w:sz="4" w:space="0" w:color="auto"/>
              <w:right w:val="nil"/>
            </w:tcBorders>
            <w:shd w:val="clear" w:color="auto" w:fill="auto"/>
            <w:noWrap/>
            <w:vAlign w:val="bottom"/>
            <w:hideMark/>
          </w:tcPr>
          <w:p w14:paraId="47C3FD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25,89</w:t>
            </w:r>
          </w:p>
        </w:tc>
        <w:tc>
          <w:tcPr>
            <w:tcW w:w="2073" w:type="dxa"/>
            <w:tcBorders>
              <w:top w:val="nil"/>
              <w:left w:val="nil"/>
              <w:bottom w:val="single" w:sz="4" w:space="0" w:color="auto"/>
              <w:right w:val="nil"/>
            </w:tcBorders>
            <w:shd w:val="clear" w:color="auto" w:fill="auto"/>
            <w:noWrap/>
            <w:vAlign w:val="center"/>
            <w:hideMark/>
          </w:tcPr>
          <w:p w14:paraId="44DF553C"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-0,1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DF3D51F"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0EBD468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447" w:type="dxa"/>
            <w:tcBorders>
              <w:top w:val="nil"/>
              <w:left w:val="nil"/>
              <w:bottom w:val="double" w:sz="6" w:space="0" w:color="auto"/>
              <w:right w:val="nil"/>
            </w:tcBorders>
            <w:shd w:val="clear" w:color="auto" w:fill="auto"/>
            <w:noWrap/>
            <w:vAlign w:val="bottom"/>
            <w:hideMark/>
          </w:tcPr>
          <w:p w14:paraId="0E47CF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23,71</w:t>
            </w:r>
          </w:p>
        </w:tc>
        <w:tc>
          <w:tcPr>
            <w:tcW w:w="2073" w:type="dxa"/>
            <w:tcBorders>
              <w:top w:val="nil"/>
              <w:left w:val="nil"/>
              <w:bottom w:val="double" w:sz="6" w:space="0" w:color="auto"/>
              <w:right w:val="nil"/>
            </w:tcBorders>
            <w:shd w:val="clear" w:color="auto" w:fill="auto"/>
            <w:noWrap/>
            <w:vAlign w:val="center"/>
            <w:hideMark/>
          </w:tcPr>
          <w:p w14:paraId="73E0463F"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2CDED7B2"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0E43F86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447" w:type="dxa"/>
            <w:tcBorders>
              <w:top w:val="nil"/>
              <w:left w:val="nil"/>
              <w:bottom w:val="double" w:sz="6" w:space="0" w:color="auto"/>
              <w:right w:val="nil"/>
            </w:tcBorders>
            <w:shd w:val="clear" w:color="auto" w:fill="auto"/>
            <w:noWrap/>
            <w:vAlign w:val="bottom"/>
            <w:hideMark/>
          </w:tcPr>
          <w:p w14:paraId="609C6D4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24,64</w:t>
            </w:r>
          </w:p>
        </w:tc>
        <w:tc>
          <w:tcPr>
            <w:tcW w:w="2073" w:type="dxa"/>
            <w:tcBorders>
              <w:top w:val="nil"/>
              <w:left w:val="nil"/>
              <w:bottom w:val="double" w:sz="6" w:space="0" w:color="auto"/>
              <w:right w:val="nil"/>
            </w:tcBorders>
            <w:shd w:val="clear" w:color="auto" w:fill="auto"/>
            <w:noWrap/>
            <w:vAlign w:val="center"/>
            <w:hideMark/>
          </w:tcPr>
          <w:p w14:paraId="6C1997BB"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+0,0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7C059DC1" w14:textId="0D799C5F" w:rsidR="008430BD" w:rsidRPr="001C3EC8" w:rsidRDefault="008430BD" w:rsidP="008430BD">
      <w:pPr>
        <w:pStyle w:val="Podnadpis"/>
        <w:rPr>
          <w:color w:val="000000" w:themeColor="text1"/>
        </w:rPr>
      </w:pPr>
      <w:bookmarkStart w:id="262" w:name="_Toc515871361"/>
      <w:bookmarkStart w:id="263" w:name="_Toc11135095"/>
      <w:bookmarkStart w:id="264" w:name="_Toc43841409"/>
      <w:bookmarkStart w:id="265" w:name="_Toc75952212"/>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32</w:t>
      </w:r>
      <w:r w:rsidRPr="001C3EC8">
        <w:rPr>
          <w:noProof/>
          <w:color w:val="000000" w:themeColor="text1"/>
        </w:rPr>
        <w:fldChar w:fldCharType="end"/>
      </w:r>
      <w:r w:rsidRPr="001C3EC8">
        <w:rPr>
          <w:color w:val="000000" w:themeColor="text1"/>
        </w:rPr>
        <w:t>: OS – míra odvolání u jednotlivých soudů v trestním řízení</w:t>
      </w:r>
      <w:bookmarkEnd w:id="262"/>
      <w:bookmarkEnd w:id="263"/>
      <w:bookmarkEnd w:id="264"/>
      <w:bookmarkEnd w:id="265"/>
    </w:p>
    <w:p w14:paraId="7E81E9FF"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anchor distT="0" distB="0" distL="114300" distR="114300" simplePos="0" relativeHeight="251671552" behindDoc="0" locked="0" layoutInCell="1" allowOverlap="1" wp14:anchorId="1F84B4C9" wp14:editId="41184315">
            <wp:simplePos x="0" y="0"/>
            <wp:positionH relativeFrom="margin">
              <wp:align>right</wp:align>
            </wp:positionH>
            <wp:positionV relativeFrom="paragraph">
              <wp:posOffset>13970</wp:posOffset>
            </wp:positionV>
            <wp:extent cx="1259840" cy="917575"/>
            <wp:effectExtent l="0" t="0" r="0" b="0"/>
            <wp:wrapNone/>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59840" cy="917575"/>
                    </a:xfrm>
                    <a:prstGeom prst="rect">
                      <a:avLst/>
                    </a:prstGeom>
                    <a:noFill/>
                    <a:ln>
                      <a:noFill/>
                    </a:ln>
                  </pic:spPr>
                </pic:pic>
              </a:graphicData>
            </a:graphic>
          </wp:anchor>
        </w:drawing>
      </w:r>
      <w:r w:rsidRPr="001C3EC8">
        <w:rPr>
          <w:noProof/>
          <w:color w:val="000000" w:themeColor="text1"/>
          <w:highlight w:val="yellow"/>
          <w:lang w:eastAsia="cs-CZ"/>
        </w:rPr>
        <w:drawing>
          <wp:inline distT="0" distB="0" distL="0" distR="0" wp14:anchorId="5AD26215" wp14:editId="54099738">
            <wp:extent cx="5759450" cy="3296019"/>
            <wp:effectExtent l="0" t="0" r="0" b="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p>
    <w:p w14:paraId="58FAE9A0" w14:textId="77777777" w:rsidR="008430BD" w:rsidRPr="001C3EC8" w:rsidRDefault="008430BD" w:rsidP="008430BD">
      <w:pPr>
        <w:pStyle w:val="OdstavecASR"/>
        <w:keepNext/>
        <w:rPr>
          <w:color w:val="000000" w:themeColor="text1"/>
        </w:rPr>
      </w:pPr>
      <w:r w:rsidRPr="001C3EC8">
        <w:rPr>
          <w:color w:val="000000" w:themeColor="text1"/>
        </w:rPr>
        <w:t>Při pohledu na data o míře odvolání je třeba poukázat na několik věcí:</w:t>
      </w:r>
    </w:p>
    <w:p w14:paraId="2CE1810F" w14:textId="77777777" w:rsidR="008430BD" w:rsidRPr="001C3EC8" w:rsidRDefault="008430BD" w:rsidP="008430BD">
      <w:pPr>
        <w:pStyle w:val="OdstavecASR"/>
        <w:numPr>
          <w:ilvl w:val="0"/>
          <w:numId w:val="11"/>
        </w:numPr>
        <w:rPr>
          <w:color w:val="000000" w:themeColor="text1"/>
        </w:rPr>
      </w:pPr>
      <w:r w:rsidRPr="001C3EC8">
        <w:rPr>
          <w:color w:val="000000" w:themeColor="text1"/>
        </w:rPr>
        <w:t>Míra odvolání v trestním řízení je vysoká – asi třikrát vyšší než v řízení občanskoprávním. Odvolání je podáno přibližně v každém čtvrtém trestním řízení u okresního soudu.</w:t>
      </w:r>
    </w:p>
    <w:p w14:paraId="6220DF6F" w14:textId="77777777" w:rsidR="008430BD" w:rsidRPr="001C3EC8" w:rsidRDefault="008430BD" w:rsidP="008430BD">
      <w:pPr>
        <w:pStyle w:val="OdstavecASR"/>
        <w:numPr>
          <w:ilvl w:val="0"/>
          <w:numId w:val="11"/>
        </w:numPr>
        <w:rPr>
          <w:color w:val="000000" w:themeColor="text1"/>
        </w:rPr>
      </w:pPr>
      <w:r w:rsidRPr="001C3EC8">
        <w:rPr>
          <w:color w:val="000000" w:themeColor="text1"/>
        </w:rPr>
        <w:t>Na celorepublikové úrovni je stabilní, na úrovni krajů celkem také, u jednotlivých soudů se ale může mezi roky lišit.</w:t>
      </w:r>
    </w:p>
    <w:p w14:paraId="22288E00" w14:textId="73B3D627" w:rsidR="008430BD" w:rsidRPr="001C3EC8" w:rsidRDefault="008430BD" w:rsidP="008430BD">
      <w:pPr>
        <w:pStyle w:val="OdstavecASR"/>
        <w:numPr>
          <w:ilvl w:val="0"/>
          <w:numId w:val="11"/>
        </w:numPr>
        <w:rPr>
          <w:color w:val="000000" w:themeColor="text1"/>
        </w:rPr>
      </w:pPr>
      <w:r w:rsidRPr="001C3EC8">
        <w:rPr>
          <w:color w:val="000000" w:themeColor="text1"/>
        </w:rPr>
        <w:t>V míře odvolání jsou mezi jednotlivými soudy velké rozdíly – až šestinásobek u soudů s nejvyšší mírou odvolání oproti soudům s nejnižší mírou odvolání.</w:t>
      </w:r>
    </w:p>
    <w:p w14:paraId="08DC6654" w14:textId="7C3E4241" w:rsidR="008430BD" w:rsidRPr="001C3EC8" w:rsidRDefault="008430BD" w:rsidP="008430BD">
      <w:pPr>
        <w:pStyle w:val="OdstavecASR"/>
        <w:numPr>
          <w:ilvl w:val="0"/>
          <w:numId w:val="11"/>
        </w:numPr>
        <w:rPr>
          <w:color w:val="000000" w:themeColor="text1"/>
        </w:rPr>
      </w:pPr>
      <w:r w:rsidRPr="001C3EC8">
        <w:rPr>
          <w:color w:val="000000" w:themeColor="text1"/>
        </w:rPr>
        <w:t xml:space="preserve">Nejvyšší míra odvolání zůstává v Praze </w:t>
      </w:r>
      <w:r w:rsidR="00120A38" w:rsidRPr="001C3EC8">
        <w:rPr>
          <w:color w:val="000000" w:themeColor="text1"/>
        </w:rPr>
        <w:t>a</w:t>
      </w:r>
      <w:r w:rsidR="00120A38">
        <w:rPr>
          <w:color w:val="000000" w:themeColor="text1"/>
        </w:rPr>
        <w:t> </w:t>
      </w:r>
      <w:r w:rsidRPr="001C3EC8">
        <w:rPr>
          <w:color w:val="000000" w:themeColor="text1"/>
        </w:rPr>
        <w:t>suverénně nejnižší v Severočeském kraji. Částečně to zřejmě souvisí s rozdílnou agendou a s rozdíly v socioekonomických ukazatelích, uspokojivé vysvětlení pro takto markantní rozdíl to však není. Rozdíly jsou totiž někdy značné i v rámci jednoho kraje.</w:t>
      </w:r>
    </w:p>
    <w:p w14:paraId="5934990C" w14:textId="70A87995" w:rsidR="008430BD" w:rsidRPr="001C3EC8" w:rsidRDefault="008430BD" w:rsidP="008430BD">
      <w:pPr>
        <w:pStyle w:val="OdstavecASR"/>
        <w:rPr>
          <w:color w:val="000000" w:themeColor="text1"/>
        </w:rPr>
      </w:pPr>
      <w:r w:rsidRPr="001C3EC8">
        <w:rPr>
          <w:color w:val="000000" w:themeColor="text1"/>
        </w:rPr>
        <w:t xml:space="preserve">Soudy s nejnižší mírou odvolání v roce 2020 jsou OS Most (7,05 %), OS Jičín (7,46 %) a OS Děčín (12,91 %). Nejvyšší míra odvolání naopak je </w:t>
      </w:r>
      <w:r w:rsidR="00120A38" w:rsidRPr="001C3EC8">
        <w:rPr>
          <w:color w:val="000000" w:themeColor="text1"/>
        </w:rPr>
        <w:t>u</w:t>
      </w:r>
      <w:r w:rsidR="00120A38">
        <w:rPr>
          <w:color w:val="000000" w:themeColor="text1"/>
        </w:rPr>
        <w:t> </w:t>
      </w:r>
      <w:r w:rsidRPr="001C3EC8">
        <w:rPr>
          <w:color w:val="000000" w:themeColor="text1"/>
        </w:rPr>
        <w:t>OS </w:t>
      </w:r>
      <w:r w:rsidR="0053190F">
        <w:rPr>
          <w:color w:val="000000" w:themeColor="text1"/>
        </w:rPr>
        <w:t>Plzeň</w:t>
      </w:r>
      <w:r w:rsidR="0053190F">
        <w:rPr>
          <w:color w:val="000000" w:themeColor="text1"/>
        </w:rPr>
        <w:noBreakHyphen/>
      </w:r>
      <w:r w:rsidRPr="001C3EC8">
        <w:rPr>
          <w:color w:val="000000" w:themeColor="text1"/>
        </w:rPr>
        <w:t>jih, (43,45 %), OS pro Prahu 1</w:t>
      </w:r>
      <w:r w:rsidRPr="001C3EC8" w:rsidDel="00D42872">
        <w:rPr>
          <w:color w:val="000000" w:themeColor="text1"/>
        </w:rPr>
        <w:t xml:space="preserve"> </w:t>
      </w:r>
      <w:r w:rsidRPr="001C3EC8">
        <w:rPr>
          <w:color w:val="000000" w:themeColor="text1"/>
        </w:rPr>
        <w:t xml:space="preserve">(42,43 %) </w:t>
      </w:r>
      <w:r w:rsidR="00120A38" w:rsidRPr="001C3EC8">
        <w:rPr>
          <w:color w:val="000000" w:themeColor="text1"/>
        </w:rPr>
        <w:t>a</w:t>
      </w:r>
      <w:r w:rsidR="00120A38">
        <w:rPr>
          <w:color w:val="000000" w:themeColor="text1"/>
        </w:rPr>
        <w:t> </w:t>
      </w:r>
      <w:r w:rsidRPr="001C3EC8">
        <w:rPr>
          <w:color w:val="000000" w:themeColor="text1"/>
        </w:rPr>
        <w:t>OS </w:t>
      </w:r>
      <w:r w:rsidR="0053190F">
        <w:rPr>
          <w:color w:val="000000" w:themeColor="text1"/>
        </w:rPr>
        <w:t>Praha</w:t>
      </w:r>
      <w:r w:rsidR="0053190F">
        <w:rPr>
          <w:color w:val="000000" w:themeColor="text1"/>
        </w:rPr>
        <w:noBreakHyphen/>
      </w:r>
      <w:r w:rsidRPr="001C3EC8">
        <w:rPr>
          <w:color w:val="000000" w:themeColor="text1"/>
        </w:rPr>
        <w:t>západ (42,29 %).</w:t>
      </w:r>
    </w:p>
    <w:p w14:paraId="62C10B54" w14:textId="447BE76D" w:rsidR="00F663D9" w:rsidRPr="001C3EC8" w:rsidRDefault="00F663D9" w:rsidP="008430BD">
      <w:pPr>
        <w:pStyle w:val="OdstavecASR"/>
        <w:rPr>
          <w:b/>
          <w:bCs/>
          <w:color w:val="000000" w:themeColor="text1"/>
        </w:rPr>
      </w:pPr>
      <w:r w:rsidRPr="001C3EC8">
        <w:rPr>
          <w:b/>
          <w:bCs/>
          <w:color w:val="000000" w:themeColor="text1"/>
        </w:rPr>
        <w:t>Míra změny rozsudku</w:t>
      </w:r>
    </w:p>
    <w:p w14:paraId="51E04670" w14:textId="170A2CB3" w:rsidR="008430BD" w:rsidRPr="001C3EC8" w:rsidRDefault="008430BD" w:rsidP="008430BD">
      <w:pPr>
        <w:pStyle w:val="OdstavecASR"/>
        <w:rPr>
          <w:color w:val="000000" w:themeColor="text1"/>
        </w:rPr>
      </w:pPr>
      <w:r w:rsidRPr="001C3EC8">
        <w:rPr>
          <w:color w:val="000000" w:themeColor="text1"/>
        </w:rPr>
        <w:t xml:space="preserve">Dalším sledovaným ukazatelem je míra změny rozsudku. Jedná se o podíl věcí v procentech, ve kterých odvolací soud na základě odvolání změnil rozhodnutí soudu </w:t>
      </w:r>
      <w:r w:rsidR="000C3B1E">
        <w:rPr>
          <w:color w:val="000000" w:themeColor="text1"/>
        </w:rPr>
        <w:t>I. stupně</w:t>
      </w:r>
      <w:r w:rsidRPr="001C3EC8">
        <w:rPr>
          <w:color w:val="000000" w:themeColor="text1"/>
        </w:rPr>
        <w:t xml:space="preserve">. </w:t>
      </w:r>
      <w:r w:rsidR="004A27AD" w:rsidRPr="001C3EC8">
        <w:rPr>
          <w:color w:val="000000" w:themeColor="text1"/>
        </w:rPr>
        <w:t>Jako změna rozsudku jsou započítány věci, v nichž bylo o</w:t>
      </w:r>
      <w:r w:rsidR="004A0CF5" w:rsidRPr="001C3EC8">
        <w:rPr>
          <w:color w:val="000000" w:themeColor="text1"/>
        </w:rPr>
        <w:t>d</w:t>
      </w:r>
      <w:r w:rsidR="004A27AD" w:rsidRPr="001C3EC8">
        <w:rPr>
          <w:color w:val="000000" w:themeColor="text1"/>
        </w:rPr>
        <w:t>volání</w:t>
      </w:r>
      <w:r w:rsidR="00E54E54" w:rsidRPr="001C3EC8">
        <w:rPr>
          <w:color w:val="000000" w:themeColor="text1"/>
        </w:rPr>
        <w:t xml:space="preserve"> </w:t>
      </w:r>
      <w:r w:rsidR="004A27AD" w:rsidRPr="001C3EC8">
        <w:rPr>
          <w:color w:val="000000" w:themeColor="text1"/>
        </w:rPr>
        <w:t xml:space="preserve">vyhověno, ale i případy, kdy bylo rozhodnutí soudu </w:t>
      </w:r>
      <w:r w:rsidR="000C3B1E">
        <w:rPr>
          <w:color w:val="000000" w:themeColor="text1"/>
        </w:rPr>
        <w:t>I. stupně</w:t>
      </w:r>
      <w:r w:rsidR="004A27AD" w:rsidRPr="001C3EC8">
        <w:rPr>
          <w:color w:val="000000" w:themeColor="text1"/>
        </w:rPr>
        <w:t xml:space="preserve"> odvolacím soudem zrušeno </w:t>
      </w:r>
      <w:r w:rsidR="00120A38" w:rsidRPr="001C3EC8">
        <w:rPr>
          <w:color w:val="000000" w:themeColor="text1"/>
        </w:rPr>
        <w:t>a</w:t>
      </w:r>
      <w:r w:rsidR="00120A38">
        <w:rPr>
          <w:color w:val="000000" w:themeColor="text1"/>
        </w:rPr>
        <w:t> </w:t>
      </w:r>
      <w:r w:rsidR="004A27AD" w:rsidRPr="001C3EC8">
        <w:rPr>
          <w:color w:val="000000" w:themeColor="text1"/>
        </w:rPr>
        <w:t xml:space="preserve">vráceno soudu </w:t>
      </w:r>
      <w:r w:rsidR="000C3B1E">
        <w:rPr>
          <w:color w:val="000000" w:themeColor="text1"/>
        </w:rPr>
        <w:t>I. stupně</w:t>
      </w:r>
      <w:r w:rsidR="004A27AD" w:rsidRPr="001C3EC8">
        <w:rPr>
          <w:color w:val="000000" w:themeColor="text1"/>
        </w:rPr>
        <w:t>.</w:t>
      </w:r>
    </w:p>
    <w:p w14:paraId="23FB11CD" w14:textId="77777777" w:rsidR="008430BD" w:rsidRPr="001C3EC8" w:rsidRDefault="008430BD" w:rsidP="008430BD">
      <w:pPr>
        <w:spacing w:line="240" w:lineRule="auto"/>
        <w:jc w:val="left"/>
        <w:rPr>
          <w:rFonts w:eastAsia="Times New Roman"/>
          <w:b/>
          <w:iCs/>
          <w:color w:val="000000" w:themeColor="text1"/>
          <w:spacing w:val="15"/>
          <w:szCs w:val="24"/>
        </w:rPr>
      </w:pPr>
      <w:bookmarkStart w:id="266" w:name="_Toc11133225"/>
      <w:bookmarkStart w:id="267" w:name="_Toc43931198"/>
      <w:r w:rsidRPr="001C3EC8">
        <w:rPr>
          <w:color w:val="000000" w:themeColor="text1"/>
        </w:rPr>
        <w:br w:type="page"/>
      </w:r>
    </w:p>
    <w:p w14:paraId="71E6BA83" w14:textId="2C7072C0" w:rsidR="008430BD" w:rsidRPr="001C3EC8" w:rsidRDefault="008430BD" w:rsidP="008430BD">
      <w:pPr>
        <w:pStyle w:val="Podnadpis"/>
        <w:rPr>
          <w:color w:val="000000" w:themeColor="text1"/>
        </w:rPr>
      </w:pPr>
      <w:bookmarkStart w:id="268" w:name="_Toc75952328"/>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25</w:t>
      </w:r>
      <w:r w:rsidRPr="001C3EC8">
        <w:rPr>
          <w:noProof/>
          <w:color w:val="000000" w:themeColor="text1"/>
        </w:rPr>
        <w:fldChar w:fldCharType="end"/>
      </w:r>
      <w:r w:rsidRPr="001C3EC8">
        <w:rPr>
          <w:color w:val="000000" w:themeColor="text1"/>
        </w:rPr>
        <w:t>: OS – míra změny rozsudku dle krajů v trestním řízení</w:t>
      </w:r>
      <w:bookmarkEnd w:id="266"/>
      <w:bookmarkEnd w:id="267"/>
      <w:bookmarkEnd w:id="268"/>
    </w:p>
    <w:tbl>
      <w:tblPr>
        <w:tblW w:w="6980" w:type="dxa"/>
        <w:tblCellMar>
          <w:left w:w="70" w:type="dxa"/>
          <w:right w:w="70" w:type="dxa"/>
        </w:tblCellMar>
        <w:tblLook w:val="04A0" w:firstRow="1" w:lastRow="0" w:firstColumn="1" w:lastColumn="0" w:noHBand="0" w:noVBand="1"/>
      </w:tblPr>
      <w:tblGrid>
        <w:gridCol w:w="2780"/>
        <w:gridCol w:w="1726"/>
        <w:gridCol w:w="2474"/>
      </w:tblGrid>
      <w:tr w:rsidR="008430BD" w:rsidRPr="001C3EC8" w14:paraId="71072AED"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B8E3A0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5A5459D5" w14:textId="1A46D699"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změny rozsudku (</w:t>
            </w:r>
            <w:r w:rsidR="00120A38" w:rsidRPr="001C3EC8">
              <w:rPr>
                <w:rFonts w:eastAsia="Times New Roman"/>
                <w:b/>
                <w:bCs/>
                <w:color w:val="000000" w:themeColor="text1"/>
                <w:szCs w:val="24"/>
                <w:lang w:eastAsia="cs-CZ"/>
              </w:rPr>
              <w:t>v</w:t>
            </w:r>
            <w:r w:rsidR="00120A38">
              <w:rPr>
                <w:rFonts w:eastAsia="Times New Roman"/>
                <w:b/>
                <w:bCs/>
                <w:color w:val="000000" w:themeColor="text1"/>
                <w:szCs w:val="24"/>
                <w:lang w:eastAsia="cs-CZ"/>
              </w:rPr>
              <w:t> </w:t>
            </w:r>
            <w:r w:rsidRPr="001C3EC8">
              <w:rPr>
                <w:rFonts w:eastAsia="Times New Roman"/>
                <w:b/>
                <w:bCs/>
                <w:color w:val="000000" w:themeColor="text1"/>
                <w:szCs w:val="24"/>
                <w:lang w:eastAsia="cs-CZ"/>
              </w:rPr>
              <w:t xml:space="preserve">%) </w:t>
            </w:r>
          </w:p>
        </w:tc>
      </w:tr>
      <w:tr w:rsidR="008430BD" w:rsidRPr="001C3EC8" w14:paraId="1A0F4399"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3B06AB2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726" w:type="dxa"/>
            <w:tcBorders>
              <w:top w:val="nil"/>
              <w:left w:val="nil"/>
              <w:bottom w:val="single" w:sz="4" w:space="0" w:color="auto"/>
              <w:right w:val="nil"/>
            </w:tcBorders>
            <w:shd w:val="clear" w:color="auto" w:fill="auto"/>
            <w:noWrap/>
            <w:vAlign w:val="bottom"/>
            <w:hideMark/>
          </w:tcPr>
          <w:p w14:paraId="09E1B8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45,01</w:t>
            </w:r>
          </w:p>
        </w:tc>
        <w:tc>
          <w:tcPr>
            <w:tcW w:w="2474" w:type="dxa"/>
            <w:tcBorders>
              <w:top w:val="nil"/>
              <w:left w:val="nil"/>
              <w:bottom w:val="single" w:sz="4" w:space="0" w:color="auto"/>
              <w:right w:val="nil"/>
            </w:tcBorders>
            <w:shd w:val="clear" w:color="auto" w:fill="auto"/>
            <w:noWrap/>
            <w:vAlign w:val="center"/>
            <w:hideMark/>
          </w:tcPr>
          <w:p w14:paraId="33713BC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-0,6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B1A6EB7"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6A0F33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726" w:type="dxa"/>
            <w:tcBorders>
              <w:top w:val="nil"/>
              <w:left w:val="nil"/>
              <w:bottom w:val="single" w:sz="4" w:space="0" w:color="auto"/>
              <w:right w:val="nil"/>
            </w:tcBorders>
            <w:shd w:val="clear" w:color="auto" w:fill="auto"/>
            <w:noWrap/>
            <w:vAlign w:val="bottom"/>
            <w:hideMark/>
          </w:tcPr>
          <w:p w14:paraId="779E51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40,03</w:t>
            </w:r>
          </w:p>
        </w:tc>
        <w:tc>
          <w:tcPr>
            <w:tcW w:w="2474" w:type="dxa"/>
            <w:tcBorders>
              <w:top w:val="nil"/>
              <w:left w:val="nil"/>
              <w:bottom w:val="single" w:sz="4" w:space="0" w:color="auto"/>
              <w:right w:val="nil"/>
            </w:tcBorders>
            <w:shd w:val="clear" w:color="auto" w:fill="auto"/>
            <w:noWrap/>
            <w:vAlign w:val="center"/>
            <w:hideMark/>
          </w:tcPr>
          <w:p w14:paraId="0FAA80C3"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01363FA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0162CF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726" w:type="dxa"/>
            <w:tcBorders>
              <w:top w:val="nil"/>
              <w:left w:val="nil"/>
              <w:bottom w:val="single" w:sz="4" w:space="0" w:color="auto"/>
              <w:right w:val="nil"/>
            </w:tcBorders>
            <w:shd w:val="clear" w:color="auto" w:fill="auto"/>
            <w:noWrap/>
            <w:vAlign w:val="bottom"/>
            <w:hideMark/>
          </w:tcPr>
          <w:p w14:paraId="4DC7A1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32,93</w:t>
            </w:r>
          </w:p>
        </w:tc>
        <w:tc>
          <w:tcPr>
            <w:tcW w:w="2474" w:type="dxa"/>
            <w:tcBorders>
              <w:top w:val="nil"/>
              <w:left w:val="nil"/>
              <w:bottom w:val="single" w:sz="4" w:space="0" w:color="auto"/>
              <w:right w:val="nil"/>
            </w:tcBorders>
            <w:shd w:val="clear" w:color="auto" w:fill="auto"/>
            <w:noWrap/>
            <w:vAlign w:val="center"/>
            <w:hideMark/>
          </w:tcPr>
          <w:p w14:paraId="7E9DA7A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+4,9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4CD8815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934151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726" w:type="dxa"/>
            <w:tcBorders>
              <w:top w:val="nil"/>
              <w:left w:val="nil"/>
              <w:bottom w:val="single" w:sz="4" w:space="0" w:color="auto"/>
              <w:right w:val="nil"/>
            </w:tcBorders>
            <w:shd w:val="clear" w:color="auto" w:fill="auto"/>
            <w:noWrap/>
            <w:vAlign w:val="bottom"/>
            <w:hideMark/>
          </w:tcPr>
          <w:p w14:paraId="7E1950F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50,36</w:t>
            </w:r>
          </w:p>
        </w:tc>
        <w:tc>
          <w:tcPr>
            <w:tcW w:w="2474" w:type="dxa"/>
            <w:tcBorders>
              <w:top w:val="nil"/>
              <w:left w:val="nil"/>
              <w:bottom w:val="single" w:sz="4" w:space="0" w:color="auto"/>
              <w:right w:val="nil"/>
            </w:tcBorders>
            <w:shd w:val="clear" w:color="auto" w:fill="auto"/>
            <w:noWrap/>
            <w:vAlign w:val="center"/>
            <w:hideMark/>
          </w:tcPr>
          <w:p w14:paraId="2C4421FC"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-0,8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234F3148"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8E784D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726" w:type="dxa"/>
            <w:tcBorders>
              <w:top w:val="nil"/>
              <w:left w:val="nil"/>
              <w:bottom w:val="single" w:sz="4" w:space="0" w:color="auto"/>
              <w:right w:val="nil"/>
            </w:tcBorders>
            <w:shd w:val="clear" w:color="auto" w:fill="auto"/>
            <w:noWrap/>
            <w:vAlign w:val="bottom"/>
            <w:hideMark/>
          </w:tcPr>
          <w:p w14:paraId="54DFB41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49,70</w:t>
            </w:r>
          </w:p>
        </w:tc>
        <w:tc>
          <w:tcPr>
            <w:tcW w:w="2474" w:type="dxa"/>
            <w:tcBorders>
              <w:top w:val="nil"/>
              <w:left w:val="nil"/>
              <w:bottom w:val="single" w:sz="4" w:space="0" w:color="auto"/>
              <w:right w:val="nil"/>
            </w:tcBorders>
            <w:shd w:val="clear" w:color="auto" w:fill="auto"/>
            <w:noWrap/>
            <w:vAlign w:val="center"/>
            <w:hideMark/>
          </w:tcPr>
          <w:p w14:paraId="250DF3D0"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-3,0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4BE9436"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0224BE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726" w:type="dxa"/>
            <w:tcBorders>
              <w:top w:val="nil"/>
              <w:left w:val="nil"/>
              <w:bottom w:val="single" w:sz="4" w:space="0" w:color="auto"/>
              <w:right w:val="nil"/>
            </w:tcBorders>
            <w:shd w:val="clear" w:color="auto" w:fill="auto"/>
            <w:noWrap/>
            <w:vAlign w:val="bottom"/>
            <w:hideMark/>
          </w:tcPr>
          <w:p w14:paraId="2EC6D8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28,19</w:t>
            </w:r>
          </w:p>
        </w:tc>
        <w:tc>
          <w:tcPr>
            <w:tcW w:w="2474" w:type="dxa"/>
            <w:tcBorders>
              <w:top w:val="nil"/>
              <w:left w:val="nil"/>
              <w:bottom w:val="single" w:sz="4" w:space="0" w:color="auto"/>
              <w:right w:val="nil"/>
            </w:tcBorders>
            <w:shd w:val="clear" w:color="auto" w:fill="auto"/>
            <w:noWrap/>
            <w:vAlign w:val="center"/>
            <w:hideMark/>
          </w:tcPr>
          <w:p w14:paraId="1D65C836"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-0,4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20D5A64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E48B83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726" w:type="dxa"/>
            <w:tcBorders>
              <w:top w:val="nil"/>
              <w:left w:val="nil"/>
              <w:bottom w:val="single" w:sz="4" w:space="0" w:color="auto"/>
              <w:right w:val="nil"/>
            </w:tcBorders>
            <w:shd w:val="clear" w:color="auto" w:fill="auto"/>
            <w:noWrap/>
            <w:vAlign w:val="bottom"/>
            <w:hideMark/>
          </w:tcPr>
          <w:p w14:paraId="46D076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27,39</w:t>
            </w:r>
          </w:p>
        </w:tc>
        <w:tc>
          <w:tcPr>
            <w:tcW w:w="2474" w:type="dxa"/>
            <w:tcBorders>
              <w:top w:val="nil"/>
              <w:left w:val="nil"/>
              <w:bottom w:val="single" w:sz="4" w:space="0" w:color="auto"/>
              <w:right w:val="nil"/>
            </w:tcBorders>
            <w:shd w:val="clear" w:color="auto" w:fill="auto"/>
            <w:noWrap/>
            <w:vAlign w:val="center"/>
            <w:hideMark/>
          </w:tcPr>
          <w:p w14:paraId="465AB4C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3F106C11"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3F5810C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726" w:type="dxa"/>
            <w:tcBorders>
              <w:top w:val="nil"/>
              <w:left w:val="nil"/>
              <w:bottom w:val="double" w:sz="6" w:space="0" w:color="auto"/>
              <w:right w:val="nil"/>
            </w:tcBorders>
            <w:shd w:val="clear" w:color="auto" w:fill="auto"/>
            <w:noWrap/>
            <w:vAlign w:val="bottom"/>
            <w:hideMark/>
          </w:tcPr>
          <w:p w14:paraId="3087DA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45,18</w:t>
            </w:r>
          </w:p>
        </w:tc>
        <w:tc>
          <w:tcPr>
            <w:tcW w:w="2474" w:type="dxa"/>
            <w:tcBorders>
              <w:top w:val="nil"/>
              <w:left w:val="nil"/>
              <w:bottom w:val="double" w:sz="6" w:space="0" w:color="auto"/>
              <w:right w:val="nil"/>
            </w:tcBorders>
            <w:shd w:val="clear" w:color="auto" w:fill="auto"/>
            <w:noWrap/>
            <w:vAlign w:val="center"/>
            <w:hideMark/>
          </w:tcPr>
          <w:p w14:paraId="66C56DC1"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+4,2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359398C"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740E91A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726" w:type="dxa"/>
            <w:tcBorders>
              <w:top w:val="nil"/>
              <w:left w:val="nil"/>
              <w:bottom w:val="double" w:sz="6" w:space="0" w:color="auto"/>
              <w:right w:val="nil"/>
            </w:tcBorders>
            <w:shd w:val="clear" w:color="auto" w:fill="auto"/>
            <w:noWrap/>
            <w:vAlign w:val="bottom"/>
            <w:hideMark/>
          </w:tcPr>
          <w:p w14:paraId="6DF7A15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40,67</w:t>
            </w:r>
          </w:p>
        </w:tc>
        <w:tc>
          <w:tcPr>
            <w:tcW w:w="2474" w:type="dxa"/>
            <w:tcBorders>
              <w:top w:val="nil"/>
              <w:left w:val="nil"/>
              <w:bottom w:val="double" w:sz="6" w:space="0" w:color="auto"/>
              <w:right w:val="nil"/>
            </w:tcBorders>
            <w:shd w:val="clear" w:color="auto" w:fill="auto"/>
            <w:noWrap/>
            <w:vAlign w:val="center"/>
            <w:hideMark/>
          </w:tcPr>
          <w:p w14:paraId="4FF489D9"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+0,2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4101A965" w14:textId="77777777" w:rsidR="008430BD" w:rsidRPr="001C3EC8" w:rsidRDefault="008430BD" w:rsidP="008430BD">
      <w:pPr>
        <w:pStyle w:val="OdstavecASR"/>
        <w:rPr>
          <w:color w:val="000000" w:themeColor="text1"/>
        </w:rPr>
      </w:pPr>
    </w:p>
    <w:p w14:paraId="77CC5324" w14:textId="77777777" w:rsidR="008430BD" w:rsidRPr="001C3EC8" w:rsidRDefault="008430BD" w:rsidP="008430BD">
      <w:pPr>
        <w:pStyle w:val="OdstavecASR"/>
        <w:rPr>
          <w:color w:val="000000" w:themeColor="text1"/>
        </w:rPr>
      </w:pPr>
      <w:r w:rsidRPr="001C3EC8">
        <w:rPr>
          <w:color w:val="000000" w:themeColor="text1"/>
        </w:rPr>
        <w:t>Míra změny rozsudku v trestním řízení zůstává na velmi nízké úrovni v Jihomoravském kraji a Východočeském kraji. Nejvyšší zůstává v Severočeském a Západočeském kraji. Z okresních soudů mají nejnižší míru změny rozsudku OS Jičín (10,25 %), OS Břeclav (12,50 %) a OS Blansko (14,29 %). Na druhém konci se nacházejí OS Kutná Hora (70,27 %), OS Domažlice (66,66 %) a OS Jeseník (65,38 %).</w:t>
      </w:r>
    </w:p>
    <w:p w14:paraId="749E88E8" w14:textId="151E2115" w:rsidR="008430BD" w:rsidRPr="001C3EC8" w:rsidRDefault="008430BD" w:rsidP="008430BD">
      <w:pPr>
        <w:pStyle w:val="Podnadpis"/>
        <w:rPr>
          <w:color w:val="000000" w:themeColor="text1"/>
        </w:rPr>
      </w:pPr>
      <w:bookmarkStart w:id="269" w:name="_Toc515871362"/>
      <w:bookmarkStart w:id="270" w:name="_Toc11135096"/>
      <w:bookmarkStart w:id="271" w:name="_Toc43841410"/>
      <w:bookmarkStart w:id="272" w:name="_Toc7595221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33</w:t>
      </w:r>
      <w:r w:rsidRPr="001C3EC8">
        <w:rPr>
          <w:noProof/>
          <w:color w:val="000000" w:themeColor="text1"/>
        </w:rPr>
        <w:fldChar w:fldCharType="end"/>
      </w:r>
      <w:r w:rsidRPr="001C3EC8">
        <w:rPr>
          <w:color w:val="000000" w:themeColor="text1"/>
        </w:rPr>
        <w:t>: OS – míra změny rozsudku u jednotlivých soudů v trestním řízení</w:t>
      </w:r>
      <w:bookmarkEnd w:id="269"/>
      <w:bookmarkEnd w:id="270"/>
      <w:bookmarkEnd w:id="271"/>
      <w:bookmarkEnd w:id="272"/>
    </w:p>
    <w:p w14:paraId="56933E04" w14:textId="77777777" w:rsidR="00B07E76" w:rsidRDefault="008430BD" w:rsidP="008430BD">
      <w:pPr>
        <w:pStyle w:val="OdstavecASR"/>
        <w:rPr>
          <w:color w:val="000000" w:themeColor="text1"/>
        </w:rPr>
      </w:pPr>
      <w:r w:rsidRPr="001C3EC8">
        <w:rPr>
          <w:noProof/>
          <w:color w:val="000000" w:themeColor="text1"/>
          <w:lang w:eastAsia="cs-CZ"/>
        </w:rPr>
        <w:drawing>
          <wp:anchor distT="0" distB="0" distL="114300" distR="114300" simplePos="0" relativeHeight="251672576" behindDoc="0" locked="0" layoutInCell="1" allowOverlap="1" wp14:anchorId="0EFB2626" wp14:editId="53F33B5F">
            <wp:simplePos x="0" y="0"/>
            <wp:positionH relativeFrom="margin">
              <wp:align>right</wp:align>
            </wp:positionH>
            <wp:positionV relativeFrom="paragraph">
              <wp:posOffset>24765</wp:posOffset>
            </wp:positionV>
            <wp:extent cx="1259840" cy="917575"/>
            <wp:effectExtent l="0" t="0" r="0" b="0"/>
            <wp:wrapNone/>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5984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353994DD" wp14:editId="7D10A498">
            <wp:extent cx="5759450" cy="3296019"/>
            <wp:effectExtent l="0" t="0" r="0" b="0"/>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Pr="001C3EC8">
        <w:rPr>
          <w:color w:val="000000" w:themeColor="text1"/>
        </w:rPr>
        <w:t>Nakonec ještě krátce porovnáme rok 2020 s roky předešlými pomocí ukazatele Míra celkové změny rozsudku (nezaměňovat s ukazatelem Míra změny rozsudku, viz definice).</w:t>
      </w:r>
    </w:p>
    <w:p w14:paraId="233EFC25" w14:textId="2B3620C0" w:rsidR="008430BD" w:rsidRPr="001C3EC8" w:rsidRDefault="008430BD" w:rsidP="00F663D9">
      <w:pPr>
        <w:pStyle w:val="OdstavecASR"/>
        <w:spacing w:after="0"/>
        <w:rPr>
          <w:color w:val="000000" w:themeColor="text1"/>
        </w:rPr>
      </w:pPr>
      <w:r w:rsidRPr="001C3EC8">
        <w:rPr>
          <w:color w:val="000000" w:themeColor="text1"/>
        </w:rPr>
        <w:t>2016 = 10,15</w:t>
      </w:r>
      <w:r w:rsidR="008C19A5" w:rsidRPr="001C3EC8">
        <w:rPr>
          <w:color w:val="000000" w:themeColor="text1"/>
        </w:rPr>
        <w:t xml:space="preserve"> </w:t>
      </w:r>
      <w:r w:rsidRPr="001C3EC8">
        <w:rPr>
          <w:color w:val="000000" w:themeColor="text1"/>
        </w:rPr>
        <w:t>%</w:t>
      </w:r>
      <w:r w:rsidRPr="001C3EC8">
        <w:rPr>
          <w:color w:val="000000" w:themeColor="text1"/>
        </w:rPr>
        <w:tab/>
      </w:r>
      <w:r w:rsidRPr="001C3EC8">
        <w:rPr>
          <w:color w:val="000000" w:themeColor="text1"/>
        </w:rPr>
        <w:tab/>
        <w:t>(25,76 % × 39,40 %)</w:t>
      </w:r>
    </w:p>
    <w:p w14:paraId="425BD389" w14:textId="77777777" w:rsidR="008430BD" w:rsidRPr="001C3EC8" w:rsidRDefault="008430BD" w:rsidP="00F663D9">
      <w:pPr>
        <w:pStyle w:val="OdstavecASR"/>
        <w:spacing w:after="0"/>
        <w:rPr>
          <w:color w:val="000000" w:themeColor="text1"/>
        </w:rPr>
      </w:pPr>
      <w:r w:rsidRPr="001C3EC8">
        <w:rPr>
          <w:color w:val="000000" w:themeColor="text1"/>
        </w:rPr>
        <w:t>2017 = 10,29</w:t>
      </w:r>
      <w:r w:rsidR="008C19A5" w:rsidRPr="001C3EC8">
        <w:rPr>
          <w:color w:val="000000" w:themeColor="text1"/>
        </w:rPr>
        <w:t xml:space="preserve"> </w:t>
      </w:r>
      <w:r w:rsidRPr="001C3EC8">
        <w:rPr>
          <w:color w:val="000000" w:themeColor="text1"/>
        </w:rPr>
        <w:t>%</w:t>
      </w:r>
      <w:r w:rsidRPr="001C3EC8">
        <w:rPr>
          <w:color w:val="000000" w:themeColor="text1"/>
        </w:rPr>
        <w:tab/>
      </w:r>
      <w:r w:rsidRPr="001C3EC8">
        <w:rPr>
          <w:color w:val="000000" w:themeColor="text1"/>
        </w:rPr>
        <w:tab/>
        <w:t>(24,39 % × 42,18 %)</w:t>
      </w:r>
    </w:p>
    <w:p w14:paraId="57CF07AC" w14:textId="77777777" w:rsidR="008430BD" w:rsidRPr="001C3EC8" w:rsidRDefault="008430BD" w:rsidP="00F663D9">
      <w:pPr>
        <w:pStyle w:val="OdstavecASR"/>
        <w:spacing w:after="0"/>
        <w:rPr>
          <w:color w:val="000000" w:themeColor="text1"/>
        </w:rPr>
      </w:pPr>
      <w:r w:rsidRPr="001C3EC8">
        <w:rPr>
          <w:color w:val="000000" w:themeColor="text1"/>
        </w:rPr>
        <w:t>2018 = 10,61</w:t>
      </w:r>
      <w:r w:rsidR="008C19A5" w:rsidRPr="001C3EC8">
        <w:rPr>
          <w:color w:val="000000" w:themeColor="text1"/>
        </w:rPr>
        <w:t xml:space="preserve"> </w:t>
      </w:r>
      <w:r w:rsidRPr="001C3EC8">
        <w:rPr>
          <w:color w:val="000000" w:themeColor="text1"/>
        </w:rPr>
        <w:t>%</w:t>
      </w:r>
      <w:r w:rsidRPr="001C3EC8">
        <w:rPr>
          <w:color w:val="000000" w:themeColor="text1"/>
        </w:rPr>
        <w:tab/>
      </w:r>
      <w:r w:rsidRPr="001C3EC8">
        <w:rPr>
          <w:color w:val="000000" w:themeColor="text1"/>
        </w:rPr>
        <w:tab/>
        <w:t>(25,13 % × 42,22 %)</w:t>
      </w:r>
    </w:p>
    <w:p w14:paraId="3C662C00" w14:textId="77777777" w:rsidR="008430BD" w:rsidRPr="001C3EC8" w:rsidRDefault="008430BD" w:rsidP="00F663D9">
      <w:pPr>
        <w:pStyle w:val="OdstavecASR"/>
        <w:spacing w:after="0"/>
        <w:rPr>
          <w:color w:val="000000" w:themeColor="text1"/>
        </w:rPr>
      </w:pPr>
      <w:r w:rsidRPr="001C3EC8">
        <w:rPr>
          <w:color w:val="000000" w:themeColor="text1"/>
        </w:rPr>
        <w:t>2019 = 9,97</w:t>
      </w:r>
      <w:r w:rsidR="008C19A5" w:rsidRPr="001C3EC8">
        <w:rPr>
          <w:color w:val="000000" w:themeColor="text1"/>
        </w:rPr>
        <w:t xml:space="preserve"> </w:t>
      </w:r>
      <w:r w:rsidRPr="001C3EC8">
        <w:rPr>
          <w:color w:val="000000" w:themeColor="text1"/>
        </w:rPr>
        <w:t>%</w:t>
      </w:r>
      <w:r w:rsidRPr="001C3EC8">
        <w:rPr>
          <w:color w:val="000000" w:themeColor="text1"/>
        </w:rPr>
        <w:tab/>
      </w:r>
      <w:r w:rsidRPr="001C3EC8">
        <w:rPr>
          <w:color w:val="000000" w:themeColor="text1"/>
        </w:rPr>
        <w:tab/>
      </w:r>
      <w:r w:rsidRPr="001C3EC8">
        <w:rPr>
          <w:color w:val="000000" w:themeColor="text1"/>
        </w:rPr>
        <w:tab/>
        <w:t>(24,62 % × 40,48</w:t>
      </w:r>
      <w:r w:rsidR="008C19A5" w:rsidRPr="001C3EC8">
        <w:rPr>
          <w:color w:val="000000" w:themeColor="text1"/>
        </w:rPr>
        <w:t xml:space="preserve"> </w:t>
      </w:r>
      <w:r w:rsidRPr="001C3EC8">
        <w:rPr>
          <w:color w:val="000000" w:themeColor="text1"/>
        </w:rPr>
        <w:t>%)</w:t>
      </w:r>
    </w:p>
    <w:p w14:paraId="36B2BFA9" w14:textId="77777777" w:rsidR="008430BD" w:rsidRPr="001C3EC8" w:rsidRDefault="008430BD" w:rsidP="00F663D9">
      <w:pPr>
        <w:pStyle w:val="OdstavecASR"/>
        <w:spacing w:after="0"/>
        <w:rPr>
          <w:color w:val="000000" w:themeColor="text1"/>
        </w:rPr>
      </w:pPr>
      <w:r w:rsidRPr="001C3EC8">
        <w:rPr>
          <w:color w:val="000000" w:themeColor="text1"/>
        </w:rPr>
        <w:t>2020 = 10,02</w:t>
      </w:r>
      <w:r w:rsidR="008C19A5" w:rsidRPr="001C3EC8">
        <w:rPr>
          <w:color w:val="000000" w:themeColor="text1"/>
        </w:rPr>
        <w:t xml:space="preserve"> </w:t>
      </w:r>
      <w:r w:rsidRPr="001C3EC8">
        <w:rPr>
          <w:color w:val="000000" w:themeColor="text1"/>
        </w:rPr>
        <w:t>%</w:t>
      </w:r>
      <w:r w:rsidRPr="001C3EC8">
        <w:rPr>
          <w:color w:val="000000" w:themeColor="text1"/>
        </w:rPr>
        <w:tab/>
      </w:r>
      <w:r w:rsidRPr="001C3EC8">
        <w:rPr>
          <w:color w:val="000000" w:themeColor="text1"/>
        </w:rPr>
        <w:tab/>
        <w:t>(24,64</w:t>
      </w:r>
      <w:r w:rsidR="008C19A5" w:rsidRPr="001C3EC8">
        <w:rPr>
          <w:color w:val="000000" w:themeColor="text1"/>
        </w:rPr>
        <w:t xml:space="preserve"> </w:t>
      </w:r>
      <w:r w:rsidRPr="001C3EC8">
        <w:rPr>
          <w:color w:val="000000" w:themeColor="text1"/>
        </w:rPr>
        <w:t>% × 40,67</w:t>
      </w:r>
      <w:r w:rsidR="008C19A5" w:rsidRPr="001C3EC8">
        <w:rPr>
          <w:color w:val="000000" w:themeColor="text1"/>
        </w:rPr>
        <w:t xml:space="preserve"> </w:t>
      </w:r>
      <w:r w:rsidRPr="001C3EC8">
        <w:rPr>
          <w:color w:val="000000" w:themeColor="text1"/>
        </w:rPr>
        <w:t>%)</w:t>
      </w:r>
    </w:p>
    <w:p w14:paraId="5E4645BA" w14:textId="77777777" w:rsidR="00B07E76" w:rsidRDefault="008430BD" w:rsidP="008430BD">
      <w:pPr>
        <w:pStyle w:val="OdstavecASR"/>
        <w:rPr>
          <w:color w:val="000000" w:themeColor="text1"/>
        </w:rPr>
      </w:pPr>
      <w:r w:rsidRPr="001C3EC8">
        <w:rPr>
          <w:color w:val="000000" w:themeColor="text1"/>
        </w:rPr>
        <w:lastRenderedPageBreak/>
        <w:t>Vidíme tedy, že celková míra změny rozsudku je dlouhodobě konstantní.</w:t>
      </w:r>
    </w:p>
    <w:p w14:paraId="7FD48BFA" w14:textId="69BEF83E" w:rsidR="00F663D9" w:rsidRPr="001C3EC8" w:rsidRDefault="00F663D9" w:rsidP="008430BD">
      <w:pPr>
        <w:pStyle w:val="OdstavecASR"/>
        <w:rPr>
          <w:b/>
          <w:bCs/>
          <w:color w:val="000000" w:themeColor="text1"/>
        </w:rPr>
      </w:pPr>
      <w:r w:rsidRPr="001C3EC8">
        <w:rPr>
          <w:b/>
          <w:bCs/>
          <w:color w:val="000000" w:themeColor="text1"/>
        </w:rPr>
        <w:t>Podíl věcí skončených trestním příkazem</w:t>
      </w:r>
    </w:p>
    <w:p w14:paraId="29E94F3D" w14:textId="1448B3E5" w:rsidR="00F663D9" w:rsidRPr="001C3EC8" w:rsidRDefault="008430BD" w:rsidP="008430BD">
      <w:pPr>
        <w:pStyle w:val="OdstavecASR"/>
        <w:rPr>
          <w:color w:val="000000" w:themeColor="text1"/>
        </w:rPr>
      </w:pPr>
      <w:r w:rsidRPr="001C3EC8">
        <w:rPr>
          <w:color w:val="000000" w:themeColor="text1"/>
        </w:rPr>
        <w:t>Výše uvedená data jsou očištěna o věci skončené trestním příkazem, nicméně údaj o využívání tohoto nástroje je významný. Proto je v následujícím grafu uveden podíl věcí, které byly pravomocně skončeny trestním příkazem.</w:t>
      </w:r>
    </w:p>
    <w:p w14:paraId="684F4F39" w14:textId="07AA204F" w:rsidR="00B07E76" w:rsidRDefault="008430BD" w:rsidP="008430BD">
      <w:pPr>
        <w:pStyle w:val="OdstavecASR"/>
        <w:rPr>
          <w:color w:val="000000" w:themeColor="text1"/>
        </w:rPr>
      </w:pPr>
      <w:r w:rsidRPr="001C3EC8">
        <w:rPr>
          <w:color w:val="000000" w:themeColor="text1"/>
        </w:rPr>
        <w:t xml:space="preserve">Nárůst podílu v roce 2013 je dán tím, že s účinností od 1. 1. 2012 byla posunuta nejvyšší zákonná trestní sazba pro věci, které lze řešit ve zkráceném přípravném řízení, ze tří na pět let. Tyto věci lze rovněž u soudů vyřídit trestním příkazem. Došlo tedy k nárůstu počtu věcí řešených ve zkráceném přípravném řízení, a rozšířil se tak okruh věcí, které lze trestním příkazem vyřídit. K nárůstu ve statistikách došlo až v roce 2013 kvůli časovému posunu (četnost využití se zvyšovala postupně, roli hraje také délka řízení u soudů). Po roce 2013 je v řadě vidět klesající tendenci až do roku 2016. To zřejmě ukazuje, že pozorovaný pokles celkové kriminality se týká zejména méně závažných věcí, ze kterých se věci řešené trestním příkazem rekrutují, závažnější kriminalita zřejmě klesá méně či vůbec. Tento trend se otočil v roce 2017 </w:t>
      </w:r>
      <w:r w:rsidR="00120A38" w:rsidRPr="001C3EC8">
        <w:rPr>
          <w:color w:val="000000" w:themeColor="text1"/>
        </w:rPr>
        <w:t>a</w:t>
      </w:r>
      <w:r w:rsidR="00120A38">
        <w:rPr>
          <w:color w:val="000000" w:themeColor="text1"/>
        </w:rPr>
        <w:t> </w:t>
      </w:r>
      <w:r w:rsidRPr="001C3EC8">
        <w:rPr>
          <w:color w:val="000000" w:themeColor="text1"/>
        </w:rPr>
        <w:t xml:space="preserve">podíl věcí vyřízených trestním příkazem opět začal růst. V roce 2020 vzrost podíl těchto věcí velmi mírně – </w:t>
      </w:r>
      <w:r w:rsidR="00120A38" w:rsidRPr="001C3EC8">
        <w:rPr>
          <w:color w:val="000000" w:themeColor="text1"/>
        </w:rPr>
        <w:t>o</w:t>
      </w:r>
      <w:r w:rsidR="00120A38">
        <w:rPr>
          <w:color w:val="000000" w:themeColor="text1"/>
        </w:rPr>
        <w:t> </w:t>
      </w:r>
      <w:proofErr w:type="gramStart"/>
      <w:r w:rsidRPr="001C3EC8">
        <w:rPr>
          <w:color w:val="000000" w:themeColor="text1"/>
        </w:rPr>
        <w:t>0,29 procentního</w:t>
      </w:r>
      <w:proofErr w:type="gramEnd"/>
      <w:r w:rsidRPr="001C3EC8">
        <w:rPr>
          <w:color w:val="000000" w:themeColor="text1"/>
        </w:rPr>
        <w:t xml:space="preserve"> bodu. To naznačuje, že v roce 2020 klesl </w:t>
      </w:r>
      <w:r w:rsidR="004A0CF5" w:rsidRPr="001C3EC8">
        <w:rPr>
          <w:color w:val="000000" w:themeColor="text1"/>
        </w:rPr>
        <w:t>jak</w:t>
      </w:r>
      <w:r w:rsidRPr="001C3EC8">
        <w:rPr>
          <w:color w:val="000000" w:themeColor="text1"/>
        </w:rPr>
        <w:t xml:space="preserve"> nápad věcí vyřízených trestním příkazem, tak počet věcí vyřízených rozsudkem.</w:t>
      </w:r>
    </w:p>
    <w:p w14:paraId="60C575FF" w14:textId="7C673AA3" w:rsidR="008430BD" w:rsidRPr="001C3EC8" w:rsidRDefault="008430BD" w:rsidP="008430BD">
      <w:pPr>
        <w:pStyle w:val="Podnadpis"/>
        <w:rPr>
          <w:color w:val="000000" w:themeColor="text1"/>
        </w:rPr>
      </w:pPr>
      <w:bookmarkStart w:id="273" w:name="_Toc43841411"/>
      <w:bookmarkStart w:id="274" w:name="_Toc7595221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34</w:t>
      </w:r>
      <w:r w:rsidRPr="001C3EC8">
        <w:rPr>
          <w:noProof/>
          <w:color w:val="000000" w:themeColor="text1"/>
        </w:rPr>
        <w:fldChar w:fldCharType="end"/>
      </w:r>
      <w:r w:rsidRPr="001C3EC8">
        <w:rPr>
          <w:color w:val="000000" w:themeColor="text1"/>
        </w:rPr>
        <w:t xml:space="preserve">: OS – podíl věcí skončených trestním příkazem </w:t>
      </w:r>
      <w:r w:rsidR="00120A38" w:rsidRPr="001C3EC8">
        <w:rPr>
          <w:color w:val="000000" w:themeColor="text1"/>
        </w:rPr>
        <w:t>v</w:t>
      </w:r>
      <w:r w:rsidR="00120A38">
        <w:rPr>
          <w:color w:val="000000" w:themeColor="text1"/>
        </w:rPr>
        <w:t> </w:t>
      </w:r>
      <w:r w:rsidRPr="001C3EC8">
        <w:rPr>
          <w:color w:val="000000" w:themeColor="text1"/>
        </w:rPr>
        <w:t>letech 2008–20</w:t>
      </w:r>
      <w:bookmarkEnd w:id="273"/>
      <w:r w:rsidRPr="001C3EC8">
        <w:rPr>
          <w:color w:val="000000" w:themeColor="text1"/>
        </w:rPr>
        <w:t>20</w:t>
      </w:r>
      <w:bookmarkEnd w:id="274"/>
    </w:p>
    <w:p w14:paraId="124C9111"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028751E9" wp14:editId="1C5E0055">
            <wp:extent cx="5115560" cy="3743960"/>
            <wp:effectExtent l="0" t="0" r="0" b="889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1E65F7AB" w14:textId="77777777" w:rsidR="008430BD" w:rsidRPr="001C3EC8" w:rsidRDefault="008430BD" w:rsidP="008430BD">
      <w:pPr>
        <w:pStyle w:val="Podnadpis"/>
        <w:rPr>
          <w:color w:val="000000" w:themeColor="text1"/>
        </w:rPr>
      </w:pPr>
    </w:p>
    <w:p w14:paraId="48DB2154" w14:textId="77777777" w:rsidR="008430BD" w:rsidRPr="001C3EC8" w:rsidRDefault="008430BD" w:rsidP="008430BD">
      <w:pPr>
        <w:spacing w:line="240" w:lineRule="auto"/>
        <w:jc w:val="left"/>
        <w:rPr>
          <w:rFonts w:eastAsia="Times New Roman"/>
          <w:b/>
          <w:iCs/>
          <w:color w:val="000000" w:themeColor="text1"/>
          <w:spacing w:val="15"/>
          <w:szCs w:val="24"/>
        </w:rPr>
      </w:pPr>
      <w:r w:rsidRPr="001C3EC8">
        <w:rPr>
          <w:color w:val="000000" w:themeColor="text1"/>
        </w:rPr>
        <w:br w:type="page"/>
      </w:r>
    </w:p>
    <w:p w14:paraId="2E617BB7" w14:textId="223AC0B6" w:rsidR="00C11095" w:rsidRPr="001C3EC8" w:rsidRDefault="00C11095" w:rsidP="00DB2668">
      <w:pPr>
        <w:pStyle w:val="OdstavecASR"/>
        <w:rPr>
          <w:b/>
          <w:bCs/>
          <w:color w:val="000000" w:themeColor="text1"/>
        </w:rPr>
      </w:pPr>
      <w:r w:rsidRPr="001C3EC8">
        <w:rPr>
          <w:b/>
          <w:bCs/>
          <w:color w:val="000000" w:themeColor="text1"/>
        </w:rPr>
        <w:lastRenderedPageBreak/>
        <w:t>Počet odsouzených na obyvatele</w:t>
      </w:r>
    </w:p>
    <w:p w14:paraId="199A74ED" w14:textId="4F981BA5" w:rsidR="008430BD" w:rsidRPr="001C3EC8" w:rsidRDefault="008430BD" w:rsidP="008430BD">
      <w:pPr>
        <w:pStyle w:val="Podnadpis"/>
        <w:rPr>
          <w:color w:val="000000" w:themeColor="text1"/>
        </w:rPr>
      </w:pPr>
      <w:bookmarkStart w:id="275" w:name="_Toc7595232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26</w:t>
      </w:r>
      <w:r w:rsidRPr="001C3EC8">
        <w:rPr>
          <w:noProof/>
          <w:color w:val="000000" w:themeColor="text1"/>
        </w:rPr>
        <w:fldChar w:fldCharType="end"/>
      </w:r>
      <w:r w:rsidRPr="001C3EC8">
        <w:rPr>
          <w:color w:val="000000" w:themeColor="text1"/>
        </w:rPr>
        <w:t>: OS – počet odsouzených na 1 000 obyvatel dle krajů</w:t>
      </w:r>
      <w:bookmarkEnd w:id="275"/>
    </w:p>
    <w:tbl>
      <w:tblPr>
        <w:tblW w:w="7880" w:type="dxa"/>
        <w:tblCellMar>
          <w:left w:w="70" w:type="dxa"/>
          <w:right w:w="70" w:type="dxa"/>
        </w:tblCellMar>
        <w:tblLook w:val="04A0" w:firstRow="1" w:lastRow="0" w:firstColumn="1" w:lastColumn="0" w:noHBand="0" w:noVBand="1"/>
      </w:tblPr>
      <w:tblGrid>
        <w:gridCol w:w="1820"/>
        <w:gridCol w:w="2020"/>
        <w:gridCol w:w="2020"/>
        <w:gridCol w:w="2020"/>
      </w:tblGrid>
      <w:tr w:rsidR="008430BD" w:rsidRPr="001C3EC8" w14:paraId="78D46BCC" w14:textId="77777777" w:rsidTr="00E077F3">
        <w:trPr>
          <w:trHeight w:val="660"/>
        </w:trPr>
        <w:tc>
          <w:tcPr>
            <w:tcW w:w="1820" w:type="dxa"/>
            <w:tcBorders>
              <w:top w:val="double" w:sz="6" w:space="0" w:color="auto"/>
              <w:left w:val="nil"/>
              <w:bottom w:val="double" w:sz="6" w:space="0" w:color="auto"/>
              <w:right w:val="nil"/>
            </w:tcBorders>
            <w:shd w:val="clear" w:color="auto" w:fill="auto"/>
            <w:noWrap/>
            <w:vAlign w:val="center"/>
            <w:hideMark/>
          </w:tcPr>
          <w:p w14:paraId="558460A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020" w:type="dxa"/>
            <w:tcBorders>
              <w:top w:val="double" w:sz="6" w:space="0" w:color="auto"/>
              <w:left w:val="nil"/>
              <w:bottom w:val="double" w:sz="6" w:space="0" w:color="auto"/>
              <w:right w:val="nil"/>
            </w:tcBorders>
            <w:shd w:val="clear" w:color="auto" w:fill="auto"/>
            <w:noWrap/>
            <w:vAlign w:val="center"/>
            <w:hideMark/>
          </w:tcPr>
          <w:p w14:paraId="527D5F4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obyvatel</w:t>
            </w:r>
          </w:p>
        </w:tc>
        <w:tc>
          <w:tcPr>
            <w:tcW w:w="2020" w:type="dxa"/>
            <w:tcBorders>
              <w:top w:val="double" w:sz="6" w:space="0" w:color="auto"/>
              <w:left w:val="nil"/>
              <w:bottom w:val="double" w:sz="6" w:space="0" w:color="auto"/>
              <w:right w:val="nil"/>
            </w:tcBorders>
            <w:shd w:val="clear" w:color="auto" w:fill="auto"/>
            <w:noWrap/>
            <w:vAlign w:val="center"/>
            <w:hideMark/>
          </w:tcPr>
          <w:p w14:paraId="2EBD1AD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Odsouzené osoby</w:t>
            </w:r>
          </w:p>
        </w:tc>
        <w:tc>
          <w:tcPr>
            <w:tcW w:w="2020" w:type="dxa"/>
            <w:tcBorders>
              <w:top w:val="double" w:sz="6" w:space="0" w:color="auto"/>
              <w:left w:val="nil"/>
              <w:bottom w:val="double" w:sz="6" w:space="0" w:color="auto"/>
              <w:right w:val="nil"/>
            </w:tcBorders>
            <w:shd w:val="clear" w:color="auto" w:fill="auto"/>
            <w:vAlign w:val="center"/>
            <w:hideMark/>
          </w:tcPr>
          <w:p w14:paraId="27BC2B43" w14:textId="3B55664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Odsouzení/1</w:t>
            </w:r>
            <w:r w:rsidR="00FA2F47">
              <w:rPr>
                <w:rFonts w:eastAsia="Times New Roman"/>
                <w:b/>
                <w:bCs/>
                <w:color w:val="000000" w:themeColor="text1"/>
                <w:szCs w:val="24"/>
                <w:lang w:eastAsia="cs-CZ"/>
              </w:rPr>
              <w:t> </w:t>
            </w:r>
            <w:r w:rsidRPr="001C3EC8">
              <w:rPr>
                <w:rFonts w:eastAsia="Times New Roman"/>
                <w:b/>
                <w:bCs/>
                <w:color w:val="000000" w:themeColor="text1"/>
                <w:szCs w:val="24"/>
                <w:lang w:eastAsia="cs-CZ"/>
              </w:rPr>
              <w:t>000 obyvatel</w:t>
            </w:r>
          </w:p>
        </w:tc>
      </w:tr>
      <w:tr w:rsidR="008430BD" w:rsidRPr="001C3EC8" w14:paraId="6BB00400" w14:textId="77777777" w:rsidTr="00E077F3">
        <w:trPr>
          <w:trHeight w:val="330"/>
        </w:trPr>
        <w:tc>
          <w:tcPr>
            <w:tcW w:w="1820" w:type="dxa"/>
            <w:tcBorders>
              <w:top w:val="nil"/>
              <w:left w:val="nil"/>
              <w:bottom w:val="single" w:sz="4" w:space="0" w:color="auto"/>
              <w:right w:val="nil"/>
            </w:tcBorders>
            <w:shd w:val="clear" w:color="auto" w:fill="auto"/>
            <w:noWrap/>
            <w:vAlign w:val="bottom"/>
            <w:hideMark/>
          </w:tcPr>
          <w:p w14:paraId="083875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2020" w:type="dxa"/>
            <w:tcBorders>
              <w:top w:val="nil"/>
              <w:left w:val="nil"/>
              <w:bottom w:val="single" w:sz="4" w:space="0" w:color="auto"/>
              <w:right w:val="nil"/>
            </w:tcBorders>
            <w:shd w:val="clear" w:color="auto" w:fill="auto"/>
            <w:noWrap/>
            <w:vAlign w:val="bottom"/>
            <w:hideMark/>
          </w:tcPr>
          <w:p w14:paraId="790974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1 324 277</w:t>
            </w:r>
          </w:p>
        </w:tc>
        <w:tc>
          <w:tcPr>
            <w:tcW w:w="2020" w:type="dxa"/>
            <w:tcBorders>
              <w:top w:val="single" w:sz="4" w:space="0" w:color="auto"/>
              <w:left w:val="nil"/>
              <w:bottom w:val="single" w:sz="4" w:space="0" w:color="auto"/>
              <w:right w:val="nil"/>
            </w:tcBorders>
            <w:shd w:val="clear" w:color="auto" w:fill="auto"/>
            <w:noWrap/>
            <w:vAlign w:val="bottom"/>
            <w:hideMark/>
          </w:tcPr>
          <w:p w14:paraId="7ABDBB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5 771</w:t>
            </w:r>
          </w:p>
        </w:tc>
        <w:tc>
          <w:tcPr>
            <w:tcW w:w="2020" w:type="dxa"/>
            <w:tcBorders>
              <w:top w:val="nil"/>
              <w:left w:val="nil"/>
              <w:bottom w:val="single" w:sz="4" w:space="0" w:color="auto"/>
              <w:right w:val="nil"/>
            </w:tcBorders>
            <w:shd w:val="clear" w:color="auto" w:fill="auto"/>
            <w:noWrap/>
            <w:vAlign w:val="bottom"/>
            <w:hideMark/>
          </w:tcPr>
          <w:p w14:paraId="5BE1420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r>
      <w:tr w:rsidR="008430BD" w:rsidRPr="001C3EC8" w14:paraId="18EF7802"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5A9669F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2020" w:type="dxa"/>
            <w:tcBorders>
              <w:top w:val="nil"/>
              <w:left w:val="nil"/>
              <w:bottom w:val="single" w:sz="4" w:space="0" w:color="auto"/>
              <w:right w:val="nil"/>
            </w:tcBorders>
            <w:shd w:val="clear" w:color="auto" w:fill="auto"/>
            <w:noWrap/>
            <w:vAlign w:val="bottom"/>
            <w:hideMark/>
          </w:tcPr>
          <w:p w14:paraId="576AF2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1 385 141</w:t>
            </w:r>
          </w:p>
        </w:tc>
        <w:tc>
          <w:tcPr>
            <w:tcW w:w="2020" w:type="dxa"/>
            <w:tcBorders>
              <w:top w:val="nil"/>
              <w:left w:val="nil"/>
              <w:bottom w:val="single" w:sz="4" w:space="0" w:color="auto"/>
              <w:right w:val="nil"/>
            </w:tcBorders>
            <w:shd w:val="clear" w:color="auto" w:fill="auto"/>
            <w:noWrap/>
            <w:vAlign w:val="bottom"/>
            <w:hideMark/>
          </w:tcPr>
          <w:p w14:paraId="3CE3426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5 382</w:t>
            </w:r>
          </w:p>
        </w:tc>
        <w:tc>
          <w:tcPr>
            <w:tcW w:w="2020" w:type="dxa"/>
            <w:tcBorders>
              <w:top w:val="nil"/>
              <w:left w:val="nil"/>
              <w:bottom w:val="single" w:sz="4" w:space="0" w:color="auto"/>
              <w:right w:val="nil"/>
            </w:tcBorders>
            <w:shd w:val="clear" w:color="auto" w:fill="auto"/>
            <w:noWrap/>
            <w:vAlign w:val="bottom"/>
            <w:hideMark/>
          </w:tcPr>
          <w:p w14:paraId="757808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r>
      <w:tr w:rsidR="008430BD" w:rsidRPr="001C3EC8" w14:paraId="77E95087"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35DB99B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2020" w:type="dxa"/>
            <w:tcBorders>
              <w:top w:val="nil"/>
              <w:left w:val="nil"/>
              <w:bottom w:val="single" w:sz="4" w:space="0" w:color="auto"/>
              <w:right w:val="nil"/>
            </w:tcBorders>
            <w:shd w:val="clear" w:color="auto" w:fill="auto"/>
            <w:noWrap/>
            <w:vAlign w:val="bottom"/>
            <w:hideMark/>
          </w:tcPr>
          <w:p w14:paraId="44A451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716 385</w:t>
            </w:r>
          </w:p>
        </w:tc>
        <w:tc>
          <w:tcPr>
            <w:tcW w:w="2020" w:type="dxa"/>
            <w:tcBorders>
              <w:top w:val="nil"/>
              <w:left w:val="nil"/>
              <w:bottom w:val="single" w:sz="4" w:space="0" w:color="auto"/>
              <w:right w:val="nil"/>
            </w:tcBorders>
            <w:shd w:val="clear" w:color="auto" w:fill="auto"/>
            <w:noWrap/>
            <w:vAlign w:val="bottom"/>
            <w:hideMark/>
          </w:tcPr>
          <w:p w14:paraId="6EE9B7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3 141</w:t>
            </w:r>
          </w:p>
        </w:tc>
        <w:tc>
          <w:tcPr>
            <w:tcW w:w="2020" w:type="dxa"/>
            <w:tcBorders>
              <w:top w:val="nil"/>
              <w:left w:val="nil"/>
              <w:bottom w:val="single" w:sz="4" w:space="0" w:color="auto"/>
              <w:right w:val="nil"/>
            </w:tcBorders>
            <w:shd w:val="clear" w:color="auto" w:fill="auto"/>
            <w:noWrap/>
            <w:vAlign w:val="bottom"/>
            <w:hideMark/>
          </w:tcPr>
          <w:p w14:paraId="173218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r>
      <w:tr w:rsidR="008430BD" w:rsidRPr="001C3EC8" w14:paraId="75BCDFB8"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4CC3474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2020" w:type="dxa"/>
            <w:tcBorders>
              <w:top w:val="nil"/>
              <w:left w:val="nil"/>
              <w:bottom w:val="single" w:sz="4" w:space="0" w:color="auto"/>
              <w:right w:val="nil"/>
            </w:tcBorders>
            <w:shd w:val="clear" w:color="auto" w:fill="auto"/>
            <w:noWrap/>
            <w:vAlign w:val="bottom"/>
            <w:hideMark/>
          </w:tcPr>
          <w:p w14:paraId="7A9228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884 563</w:t>
            </w:r>
          </w:p>
        </w:tc>
        <w:tc>
          <w:tcPr>
            <w:tcW w:w="2020" w:type="dxa"/>
            <w:tcBorders>
              <w:top w:val="nil"/>
              <w:left w:val="nil"/>
              <w:bottom w:val="single" w:sz="4" w:space="0" w:color="auto"/>
              <w:right w:val="nil"/>
            </w:tcBorders>
            <w:shd w:val="clear" w:color="auto" w:fill="auto"/>
            <w:noWrap/>
            <w:vAlign w:val="bottom"/>
            <w:hideMark/>
          </w:tcPr>
          <w:p w14:paraId="542AF7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4 320</w:t>
            </w:r>
          </w:p>
        </w:tc>
        <w:tc>
          <w:tcPr>
            <w:tcW w:w="2020" w:type="dxa"/>
            <w:tcBorders>
              <w:top w:val="nil"/>
              <w:left w:val="nil"/>
              <w:bottom w:val="single" w:sz="4" w:space="0" w:color="auto"/>
              <w:right w:val="nil"/>
            </w:tcBorders>
            <w:shd w:val="clear" w:color="auto" w:fill="auto"/>
            <w:noWrap/>
            <w:vAlign w:val="bottom"/>
            <w:hideMark/>
          </w:tcPr>
          <w:p w14:paraId="0F74250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r>
      <w:tr w:rsidR="008430BD" w:rsidRPr="001C3EC8" w14:paraId="0DCAC15A"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69DF8AC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2020" w:type="dxa"/>
            <w:tcBorders>
              <w:top w:val="nil"/>
              <w:left w:val="nil"/>
              <w:bottom w:val="single" w:sz="4" w:space="0" w:color="auto"/>
              <w:right w:val="nil"/>
            </w:tcBorders>
            <w:shd w:val="clear" w:color="auto" w:fill="auto"/>
            <w:noWrap/>
            <w:vAlign w:val="bottom"/>
            <w:hideMark/>
          </w:tcPr>
          <w:p w14:paraId="3FDCEF8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1 190 558</w:t>
            </w:r>
          </w:p>
        </w:tc>
        <w:tc>
          <w:tcPr>
            <w:tcW w:w="2020" w:type="dxa"/>
            <w:tcBorders>
              <w:top w:val="nil"/>
              <w:left w:val="nil"/>
              <w:bottom w:val="single" w:sz="4" w:space="0" w:color="auto"/>
              <w:right w:val="nil"/>
            </w:tcBorders>
            <w:shd w:val="clear" w:color="auto" w:fill="auto"/>
            <w:noWrap/>
            <w:vAlign w:val="bottom"/>
            <w:hideMark/>
          </w:tcPr>
          <w:p w14:paraId="19DD0C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7 700</w:t>
            </w:r>
          </w:p>
        </w:tc>
        <w:tc>
          <w:tcPr>
            <w:tcW w:w="2020" w:type="dxa"/>
            <w:tcBorders>
              <w:top w:val="nil"/>
              <w:left w:val="nil"/>
              <w:bottom w:val="single" w:sz="4" w:space="0" w:color="auto"/>
              <w:right w:val="nil"/>
            </w:tcBorders>
            <w:shd w:val="clear" w:color="auto" w:fill="auto"/>
            <w:noWrap/>
            <w:vAlign w:val="bottom"/>
            <w:hideMark/>
          </w:tcPr>
          <w:p w14:paraId="5037F54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w:t>
            </w:r>
          </w:p>
        </w:tc>
      </w:tr>
      <w:tr w:rsidR="008430BD" w:rsidRPr="001C3EC8" w14:paraId="5E78CF2B"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3668518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2020" w:type="dxa"/>
            <w:tcBorders>
              <w:top w:val="nil"/>
              <w:left w:val="nil"/>
              <w:bottom w:val="single" w:sz="4" w:space="0" w:color="auto"/>
              <w:right w:val="nil"/>
            </w:tcBorders>
            <w:shd w:val="clear" w:color="auto" w:fill="auto"/>
            <w:noWrap/>
            <w:vAlign w:val="bottom"/>
            <w:hideMark/>
          </w:tcPr>
          <w:p w14:paraId="5B0C1B2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1 243 321</w:t>
            </w:r>
          </w:p>
        </w:tc>
        <w:tc>
          <w:tcPr>
            <w:tcW w:w="2020" w:type="dxa"/>
            <w:tcBorders>
              <w:top w:val="nil"/>
              <w:left w:val="nil"/>
              <w:bottom w:val="single" w:sz="4" w:space="0" w:color="auto"/>
              <w:right w:val="nil"/>
            </w:tcBorders>
            <w:shd w:val="clear" w:color="auto" w:fill="auto"/>
            <w:noWrap/>
            <w:vAlign w:val="bottom"/>
            <w:hideMark/>
          </w:tcPr>
          <w:p w14:paraId="7A7A9E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4 787</w:t>
            </w:r>
          </w:p>
        </w:tc>
        <w:tc>
          <w:tcPr>
            <w:tcW w:w="2020" w:type="dxa"/>
            <w:tcBorders>
              <w:top w:val="nil"/>
              <w:left w:val="nil"/>
              <w:bottom w:val="single" w:sz="4" w:space="0" w:color="auto"/>
              <w:right w:val="nil"/>
            </w:tcBorders>
            <w:shd w:val="clear" w:color="auto" w:fill="auto"/>
            <w:noWrap/>
            <w:vAlign w:val="bottom"/>
            <w:hideMark/>
          </w:tcPr>
          <w:p w14:paraId="4D0F493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r>
      <w:tr w:rsidR="008430BD" w:rsidRPr="001C3EC8" w14:paraId="5B5AFC8C"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5BB09F0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2020" w:type="dxa"/>
            <w:tcBorders>
              <w:top w:val="nil"/>
              <w:left w:val="nil"/>
              <w:bottom w:val="single" w:sz="4" w:space="0" w:color="auto"/>
              <w:right w:val="nil"/>
            </w:tcBorders>
            <w:shd w:val="clear" w:color="auto" w:fill="auto"/>
            <w:noWrap/>
            <w:vAlign w:val="bottom"/>
            <w:hideMark/>
          </w:tcPr>
          <w:p w14:paraId="21D2AE4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2 082 452</w:t>
            </w:r>
          </w:p>
        </w:tc>
        <w:tc>
          <w:tcPr>
            <w:tcW w:w="2020" w:type="dxa"/>
            <w:tcBorders>
              <w:top w:val="nil"/>
              <w:left w:val="nil"/>
              <w:bottom w:val="single" w:sz="4" w:space="0" w:color="auto"/>
              <w:right w:val="nil"/>
            </w:tcBorders>
            <w:shd w:val="clear" w:color="auto" w:fill="auto"/>
            <w:noWrap/>
            <w:vAlign w:val="bottom"/>
            <w:hideMark/>
          </w:tcPr>
          <w:p w14:paraId="2A74E3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7 467</w:t>
            </w:r>
          </w:p>
        </w:tc>
        <w:tc>
          <w:tcPr>
            <w:tcW w:w="2020" w:type="dxa"/>
            <w:tcBorders>
              <w:top w:val="nil"/>
              <w:left w:val="nil"/>
              <w:bottom w:val="single" w:sz="4" w:space="0" w:color="auto"/>
              <w:right w:val="nil"/>
            </w:tcBorders>
            <w:shd w:val="clear" w:color="auto" w:fill="auto"/>
            <w:noWrap/>
            <w:vAlign w:val="bottom"/>
            <w:hideMark/>
          </w:tcPr>
          <w:p w14:paraId="615A2C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w:t>
            </w:r>
          </w:p>
        </w:tc>
      </w:tr>
      <w:tr w:rsidR="008430BD" w:rsidRPr="001C3EC8" w14:paraId="3A709719" w14:textId="77777777" w:rsidTr="00E077F3">
        <w:trPr>
          <w:trHeight w:val="330"/>
        </w:trPr>
        <w:tc>
          <w:tcPr>
            <w:tcW w:w="1820" w:type="dxa"/>
            <w:tcBorders>
              <w:top w:val="nil"/>
              <w:left w:val="nil"/>
              <w:bottom w:val="double" w:sz="6" w:space="0" w:color="auto"/>
              <w:right w:val="nil"/>
            </w:tcBorders>
            <w:shd w:val="clear" w:color="auto" w:fill="auto"/>
            <w:noWrap/>
            <w:vAlign w:val="bottom"/>
            <w:hideMark/>
          </w:tcPr>
          <w:p w14:paraId="4C97608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2020" w:type="dxa"/>
            <w:tcBorders>
              <w:top w:val="nil"/>
              <w:left w:val="nil"/>
              <w:bottom w:val="double" w:sz="6" w:space="0" w:color="auto"/>
              <w:right w:val="nil"/>
            </w:tcBorders>
            <w:shd w:val="clear" w:color="auto" w:fill="auto"/>
            <w:noWrap/>
            <w:vAlign w:val="bottom"/>
            <w:hideMark/>
          </w:tcPr>
          <w:p w14:paraId="665FC4F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1 867 242</w:t>
            </w:r>
          </w:p>
        </w:tc>
        <w:tc>
          <w:tcPr>
            <w:tcW w:w="2020" w:type="dxa"/>
            <w:tcBorders>
              <w:top w:val="nil"/>
              <w:left w:val="nil"/>
              <w:bottom w:val="double" w:sz="6" w:space="0" w:color="auto"/>
              <w:right w:val="nil"/>
            </w:tcBorders>
            <w:shd w:val="clear" w:color="auto" w:fill="auto"/>
            <w:noWrap/>
            <w:vAlign w:val="bottom"/>
            <w:hideMark/>
          </w:tcPr>
          <w:p w14:paraId="0313CCA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8 812</w:t>
            </w:r>
          </w:p>
        </w:tc>
        <w:tc>
          <w:tcPr>
            <w:tcW w:w="2020" w:type="dxa"/>
            <w:tcBorders>
              <w:top w:val="nil"/>
              <w:left w:val="nil"/>
              <w:bottom w:val="double" w:sz="6" w:space="0" w:color="auto"/>
              <w:right w:val="nil"/>
            </w:tcBorders>
            <w:shd w:val="clear" w:color="auto" w:fill="auto"/>
            <w:noWrap/>
            <w:vAlign w:val="bottom"/>
            <w:hideMark/>
          </w:tcPr>
          <w:p w14:paraId="299E56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w:t>
            </w:r>
          </w:p>
        </w:tc>
      </w:tr>
      <w:tr w:rsidR="008430BD" w:rsidRPr="001C3EC8" w14:paraId="298E8169" w14:textId="77777777" w:rsidTr="00E077F3">
        <w:trPr>
          <w:trHeight w:val="345"/>
        </w:trPr>
        <w:tc>
          <w:tcPr>
            <w:tcW w:w="1820" w:type="dxa"/>
            <w:tcBorders>
              <w:top w:val="nil"/>
              <w:left w:val="nil"/>
              <w:bottom w:val="double" w:sz="6" w:space="0" w:color="auto"/>
              <w:right w:val="nil"/>
            </w:tcBorders>
            <w:shd w:val="clear" w:color="auto" w:fill="auto"/>
            <w:noWrap/>
            <w:vAlign w:val="bottom"/>
            <w:hideMark/>
          </w:tcPr>
          <w:p w14:paraId="0C617FE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2020" w:type="dxa"/>
            <w:tcBorders>
              <w:top w:val="nil"/>
              <w:left w:val="nil"/>
              <w:bottom w:val="double" w:sz="6" w:space="0" w:color="auto"/>
              <w:right w:val="nil"/>
            </w:tcBorders>
            <w:shd w:val="clear" w:color="auto" w:fill="auto"/>
            <w:noWrap/>
            <w:vAlign w:val="bottom"/>
            <w:hideMark/>
          </w:tcPr>
          <w:p w14:paraId="1374E1B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10 693 939</w:t>
            </w:r>
          </w:p>
        </w:tc>
        <w:tc>
          <w:tcPr>
            <w:tcW w:w="2020" w:type="dxa"/>
            <w:tcBorders>
              <w:top w:val="nil"/>
              <w:left w:val="nil"/>
              <w:bottom w:val="double" w:sz="6" w:space="0" w:color="auto"/>
              <w:right w:val="nil"/>
            </w:tcBorders>
            <w:shd w:val="clear" w:color="auto" w:fill="auto"/>
            <w:noWrap/>
            <w:vAlign w:val="bottom"/>
            <w:hideMark/>
          </w:tcPr>
          <w:p w14:paraId="0603FBA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47 380</w:t>
            </w:r>
          </w:p>
        </w:tc>
        <w:tc>
          <w:tcPr>
            <w:tcW w:w="2020" w:type="dxa"/>
            <w:tcBorders>
              <w:top w:val="nil"/>
              <w:left w:val="nil"/>
              <w:bottom w:val="double" w:sz="6" w:space="0" w:color="auto"/>
              <w:right w:val="nil"/>
            </w:tcBorders>
            <w:shd w:val="clear" w:color="auto" w:fill="auto"/>
            <w:noWrap/>
            <w:vAlign w:val="bottom"/>
            <w:hideMark/>
          </w:tcPr>
          <w:p w14:paraId="61DAFFA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4,4</w:t>
            </w:r>
          </w:p>
        </w:tc>
      </w:tr>
    </w:tbl>
    <w:p w14:paraId="5B076785" w14:textId="77777777" w:rsidR="008430BD" w:rsidRPr="001C3EC8" w:rsidRDefault="008430BD" w:rsidP="008430BD">
      <w:pPr>
        <w:pStyle w:val="OdstavecASR"/>
        <w:rPr>
          <w:color w:val="000000" w:themeColor="text1"/>
        </w:rPr>
      </w:pPr>
    </w:p>
    <w:p w14:paraId="461B3301" w14:textId="3767ACC4" w:rsidR="008430BD" w:rsidRPr="001C3EC8" w:rsidRDefault="008430BD" w:rsidP="008430BD">
      <w:pPr>
        <w:pStyle w:val="OdstavecASR"/>
        <w:rPr>
          <w:color w:val="000000" w:themeColor="text1"/>
        </w:rPr>
      </w:pPr>
      <w:r w:rsidRPr="001C3EC8">
        <w:rPr>
          <w:color w:val="000000" w:themeColor="text1"/>
        </w:rPr>
        <w:t xml:space="preserve">Jako další statistiku uvádíme počet odsouzených osob na 1 000 obyvatel. Výsledky jsou zde vyrovnanější než </w:t>
      </w:r>
      <w:r w:rsidR="00120A38" w:rsidRPr="001C3EC8">
        <w:rPr>
          <w:color w:val="000000" w:themeColor="text1"/>
        </w:rPr>
        <w:t>u</w:t>
      </w:r>
      <w:r w:rsidR="00120A38">
        <w:rPr>
          <w:color w:val="000000" w:themeColor="text1"/>
        </w:rPr>
        <w:t> </w:t>
      </w:r>
      <w:r w:rsidRPr="001C3EC8">
        <w:rPr>
          <w:color w:val="000000" w:themeColor="text1"/>
        </w:rPr>
        <w:t xml:space="preserve">přepočtu nápadu civilních věcí na 1 000 obyvatel. </w:t>
      </w:r>
      <w:r w:rsidR="004A0CF5" w:rsidRPr="001C3EC8">
        <w:rPr>
          <w:color w:val="000000" w:themeColor="text1"/>
        </w:rPr>
        <w:t>V</w:t>
      </w:r>
      <w:r w:rsidRPr="001C3EC8">
        <w:rPr>
          <w:color w:val="000000" w:themeColor="text1"/>
        </w:rPr>
        <w:t>yčnívá</w:t>
      </w:r>
      <w:r w:rsidR="004A0CF5" w:rsidRPr="001C3EC8">
        <w:rPr>
          <w:color w:val="000000" w:themeColor="text1"/>
        </w:rPr>
        <w:t xml:space="preserve"> však </w:t>
      </w:r>
      <w:r w:rsidRPr="001C3EC8">
        <w:rPr>
          <w:color w:val="000000" w:themeColor="text1"/>
        </w:rPr>
        <w:t>Severočeský kraj s 6,</w:t>
      </w:r>
      <w:r w:rsidR="00120A38" w:rsidRPr="001C3EC8">
        <w:rPr>
          <w:color w:val="000000" w:themeColor="text1"/>
        </w:rPr>
        <w:t>5</w:t>
      </w:r>
      <w:r w:rsidR="00120A38">
        <w:rPr>
          <w:color w:val="000000" w:themeColor="text1"/>
        </w:rPr>
        <w:t> </w:t>
      </w:r>
      <w:r w:rsidRPr="001C3EC8">
        <w:rPr>
          <w:color w:val="000000" w:themeColor="text1"/>
        </w:rPr>
        <w:t>odsouzenými osobami na 1 000 obyvatel. Tento jev je opět možné vysvětlit socioekonomickými faktory. Severočeský kraj je obecně kraj</w:t>
      </w:r>
      <w:r w:rsidR="004A0CF5" w:rsidRPr="001C3EC8">
        <w:rPr>
          <w:color w:val="000000" w:themeColor="text1"/>
        </w:rPr>
        <w:t>em</w:t>
      </w:r>
      <w:r w:rsidRPr="001C3EC8">
        <w:rPr>
          <w:color w:val="000000" w:themeColor="text1"/>
        </w:rPr>
        <w:t xml:space="preserve"> s nižším příjmem na obyvatele, vyšší nezaměstnaností atd. Připomínáme, že počty obyvatel v jednotlivých soudních krajích zahrnují obyvatele, kteří mají v daném kraji trvalé bydliště, </w:t>
      </w:r>
      <w:r w:rsidR="00120A38" w:rsidRPr="001C3EC8">
        <w:rPr>
          <w:color w:val="000000" w:themeColor="text1"/>
        </w:rPr>
        <w:t>a</w:t>
      </w:r>
      <w:r w:rsidR="00120A38">
        <w:rPr>
          <w:color w:val="000000" w:themeColor="text1"/>
        </w:rPr>
        <w:t> </w:t>
      </w:r>
      <w:r w:rsidRPr="001C3EC8">
        <w:rPr>
          <w:color w:val="000000" w:themeColor="text1"/>
        </w:rPr>
        <w:t>to bez ohledu na státní příslušnost.</w:t>
      </w:r>
    </w:p>
    <w:p w14:paraId="72BB53F1" w14:textId="5CBE44B3" w:rsidR="00B07E76" w:rsidRDefault="008430BD" w:rsidP="008430BD">
      <w:pPr>
        <w:pStyle w:val="OdstavecASR"/>
        <w:rPr>
          <w:color w:val="000000" w:themeColor="text1"/>
        </w:rPr>
      </w:pPr>
      <w:r w:rsidRPr="001C3EC8">
        <w:rPr>
          <w:color w:val="000000" w:themeColor="text1"/>
        </w:rPr>
        <w:t xml:space="preserve">Okresní soudy s nejvyšším počtem odsouzených na 1 000 obyvatel nicméně v Severočeském kraji neleží. Nepřekvapivě je vyšší počet odsouzených na 1 000 obyvatel ve velkých městech. Jde </w:t>
      </w:r>
      <w:r w:rsidR="00120A38" w:rsidRPr="001C3EC8">
        <w:rPr>
          <w:color w:val="000000" w:themeColor="text1"/>
        </w:rPr>
        <w:t>o</w:t>
      </w:r>
      <w:r w:rsidR="00120A38">
        <w:rPr>
          <w:color w:val="000000" w:themeColor="text1"/>
        </w:rPr>
        <w:t> </w:t>
      </w:r>
      <w:r w:rsidRPr="001C3EC8">
        <w:rPr>
          <w:color w:val="000000" w:themeColor="text1"/>
        </w:rPr>
        <w:t>OS Ostrava (16,</w:t>
      </w:r>
      <w:r w:rsidR="00120A38" w:rsidRPr="001C3EC8">
        <w:rPr>
          <w:color w:val="000000" w:themeColor="text1"/>
        </w:rPr>
        <w:t>2</w:t>
      </w:r>
      <w:r w:rsidR="00120A38">
        <w:rPr>
          <w:color w:val="000000" w:themeColor="text1"/>
        </w:rPr>
        <w:t> </w:t>
      </w:r>
      <w:r w:rsidRPr="001C3EC8">
        <w:rPr>
          <w:color w:val="000000" w:themeColor="text1"/>
        </w:rPr>
        <w:t xml:space="preserve">odsouzených na 1 000 obyvatel), MS v Brně (14,8) </w:t>
      </w:r>
      <w:r w:rsidR="00120A38" w:rsidRPr="001C3EC8">
        <w:rPr>
          <w:color w:val="000000" w:themeColor="text1"/>
        </w:rPr>
        <w:t>a</w:t>
      </w:r>
      <w:r w:rsidR="00120A38">
        <w:rPr>
          <w:color w:val="000000" w:themeColor="text1"/>
        </w:rPr>
        <w:t> </w:t>
      </w:r>
      <w:r w:rsidRPr="001C3EC8">
        <w:rPr>
          <w:color w:val="000000" w:themeColor="text1"/>
        </w:rPr>
        <w:t xml:space="preserve">OS Zlín (12,6). Na druhé straně se nachází OS Třeboň (pouze 0,9), OS </w:t>
      </w:r>
      <w:r w:rsidR="0053190F">
        <w:rPr>
          <w:color w:val="000000" w:themeColor="text1"/>
        </w:rPr>
        <w:t>Plzeň</w:t>
      </w:r>
      <w:r w:rsidR="0053190F">
        <w:rPr>
          <w:color w:val="000000" w:themeColor="text1"/>
        </w:rPr>
        <w:noBreakHyphen/>
      </w:r>
      <w:r w:rsidR="007520E2" w:rsidRPr="001C3EC8">
        <w:rPr>
          <w:color w:val="000000" w:themeColor="text1"/>
        </w:rPr>
        <w:t>s</w:t>
      </w:r>
      <w:r w:rsidRPr="001C3EC8">
        <w:rPr>
          <w:color w:val="000000" w:themeColor="text1"/>
        </w:rPr>
        <w:t xml:space="preserve">ever (1,2) </w:t>
      </w:r>
      <w:r w:rsidR="00120A38" w:rsidRPr="001C3EC8">
        <w:rPr>
          <w:color w:val="000000" w:themeColor="text1"/>
        </w:rPr>
        <w:t>a</w:t>
      </w:r>
      <w:r w:rsidR="00120A38">
        <w:rPr>
          <w:color w:val="000000" w:themeColor="text1"/>
        </w:rPr>
        <w:t> </w:t>
      </w:r>
      <w:r w:rsidRPr="001C3EC8">
        <w:rPr>
          <w:color w:val="000000" w:themeColor="text1"/>
        </w:rPr>
        <w:t>OS Kroměříž (1,3).</w:t>
      </w:r>
    </w:p>
    <w:p w14:paraId="15BE6573" w14:textId="645481CD" w:rsidR="00B07E76" w:rsidRDefault="008430BD" w:rsidP="008430BD">
      <w:pPr>
        <w:pStyle w:val="OdstavecASR"/>
        <w:rPr>
          <w:color w:val="000000" w:themeColor="text1"/>
        </w:rPr>
      </w:pPr>
      <w:r w:rsidRPr="001C3EC8">
        <w:rPr>
          <w:color w:val="000000" w:themeColor="text1"/>
        </w:rPr>
        <w:t xml:space="preserve">Dále se podíváme na počet odsouzených na 1 000 obyvatel dle státní příslušnosti. Vidíme, že nejvíce odsouzených na 1 000 obyvatel ČR mají Rumunsko, Polsko </w:t>
      </w:r>
      <w:r w:rsidR="00120A38" w:rsidRPr="001C3EC8">
        <w:rPr>
          <w:color w:val="000000" w:themeColor="text1"/>
        </w:rPr>
        <w:t>a</w:t>
      </w:r>
      <w:r w:rsidR="00120A38">
        <w:rPr>
          <w:color w:val="000000" w:themeColor="text1"/>
        </w:rPr>
        <w:t> </w:t>
      </w:r>
      <w:r w:rsidRPr="001C3EC8">
        <w:rPr>
          <w:color w:val="000000" w:themeColor="text1"/>
        </w:rPr>
        <w:t xml:space="preserve">Slovensko. To je zřejmě dáno demografickým složením příslušníků těchto států na území ČR. Jedná se zpravidla </w:t>
      </w:r>
      <w:r w:rsidR="00120A38" w:rsidRPr="001C3EC8">
        <w:rPr>
          <w:color w:val="000000" w:themeColor="text1"/>
        </w:rPr>
        <w:t>o</w:t>
      </w:r>
      <w:r w:rsidR="00120A38">
        <w:rPr>
          <w:color w:val="000000" w:themeColor="text1"/>
        </w:rPr>
        <w:t> </w:t>
      </w:r>
      <w:r w:rsidRPr="001C3EC8">
        <w:rPr>
          <w:color w:val="000000" w:themeColor="text1"/>
        </w:rPr>
        <w:t xml:space="preserve">muže, kteří do ČR jedou za </w:t>
      </w:r>
      <w:r w:rsidR="004A0CF5" w:rsidRPr="001C3EC8">
        <w:rPr>
          <w:color w:val="000000" w:themeColor="text1"/>
        </w:rPr>
        <w:t>prací</w:t>
      </w:r>
      <w:r w:rsidRPr="001C3EC8">
        <w:rPr>
          <w:color w:val="000000" w:themeColor="text1"/>
        </w:rPr>
        <w:t xml:space="preserve">. Za povšimnutí rozhodně stojí nízké počty odsouzených na 1 000 obyvatel </w:t>
      </w:r>
      <w:r w:rsidR="00120A38" w:rsidRPr="001C3EC8">
        <w:rPr>
          <w:color w:val="000000" w:themeColor="text1"/>
        </w:rPr>
        <w:t>u</w:t>
      </w:r>
      <w:r w:rsidR="00120A38">
        <w:rPr>
          <w:color w:val="000000" w:themeColor="text1"/>
        </w:rPr>
        <w:t> </w:t>
      </w:r>
      <w:r w:rsidRPr="001C3EC8">
        <w:rPr>
          <w:color w:val="000000" w:themeColor="text1"/>
        </w:rPr>
        <w:t>Rusk</w:t>
      </w:r>
      <w:r w:rsidR="00C11095" w:rsidRPr="001C3EC8">
        <w:rPr>
          <w:color w:val="000000" w:themeColor="text1"/>
        </w:rPr>
        <w:t>a</w:t>
      </w:r>
      <w:r w:rsidRPr="001C3EC8">
        <w:rPr>
          <w:color w:val="000000" w:themeColor="text1"/>
        </w:rPr>
        <w:t xml:space="preserve"> </w:t>
      </w:r>
      <w:r w:rsidR="00120A38" w:rsidRPr="001C3EC8">
        <w:rPr>
          <w:color w:val="000000" w:themeColor="text1"/>
        </w:rPr>
        <w:t>a</w:t>
      </w:r>
      <w:r w:rsidR="00120A38">
        <w:rPr>
          <w:color w:val="000000" w:themeColor="text1"/>
        </w:rPr>
        <w:t> </w:t>
      </w:r>
      <w:r w:rsidRPr="001C3EC8">
        <w:rPr>
          <w:color w:val="000000" w:themeColor="text1"/>
        </w:rPr>
        <w:t>Vietnamu.</w:t>
      </w:r>
    </w:p>
    <w:p w14:paraId="333B1421" w14:textId="17904BF3" w:rsidR="00C11095" w:rsidRPr="001C3EC8" w:rsidRDefault="00C11095">
      <w:pPr>
        <w:spacing w:after="160" w:line="259" w:lineRule="auto"/>
        <w:jc w:val="left"/>
        <w:rPr>
          <w:color w:val="000000" w:themeColor="text1"/>
        </w:rPr>
      </w:pPr>
      <w:r w:rsidRPr="001C3EC8">
        <w:rPr>
          <w:color w:val="000000" w:themeColor="text1"/>
        </w:rPr>
        <w:br w:type="page"/>
      </w:r>
    </w:p>
    <w:p w14:paraId="780BDAF9" w14:textId="6BFBB0E1" w:rsidR="008430BD" w:rsidRPr="001C3EC8" w:rsidRDefault="008430BD" w:rsidP="008430BD">
      <w:pPr>
        <w:pStyle w:val="Podnadpis"/>
        <w:rPr>
          <w:color w:val="000000" w:themeColor="text1"/>
        </w:rPr>
      </w:pPr>
      <w:bookmarkStart w:id="276" w:name="_Toc75952330"/>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27</w:t>
      </w:r>
      <w:r w:rsidRPr="001C3EC8">
        <w:rPr>
          <w:noProof/>
          <w:color w:val="000000" w:themeColor="text1"/>
        </w:rPr>
        <w:fldChar w:fldCharType="end"/>
      </w:r>
      <w:r w:rsidRPr="001C3EC8">
        <w:rPr>
          <w:color w:val="000000" w:themeColor="text1"/>
        </w:rPr>
        <w:t>: OS – počet odsouzených na 1 000 obyvatel dle národnosti</w:t>
      </w:r>
      <w:bookmarkEnd w:id="276"/>
    </w:p>
    <w:tbl>
      <w:tblPr>
        <w:tblW w:w="9260" w:type="dxa"/>
        <w:tblCellMar>
          <w:left w:w="70" w:type="dxa"/>
          <w:right w:w="70" w:type="dxa"/>
        </w:tblCellMar>
        <w:tblLook w:val="04A0" w:firstRow="1" w:lastRow="0" w:firstColumn="1" w:lastColumn="0" w:noHBand="0" w:noVBand="1"/>
      </w:tblPr>
      <w:tblGrid>
        <w:gridCol w:w="2780"/>
        <w:gridCol w:w="2160"/>
        <w:gridCol w:w="2160"/>
        <w:gridCol w:w="2160"/>
      </w:tblGrid>
      <w:tr w:rsidR="008430BD" w:rsidRPr="001C3EC8" w14:paraId="5A109F14" w14:textId="77777777" w:rsidTr="00E077F3">
        <w:trPr>
          <w:trHeight w:val="660"/>
        </w:trPr>
        <w:tc>
          <w:tcPr>
            <w:tcW w:w="2780" w:type="dxa"/>
            <w:tcBorders>
              <w:top w:val="double" w:sz="6" w:space="0" w:color="auto"/>
              <w:left w:val="nil"/>
              <w:bottom w:val="double" w:sz="6" w:space="0" w:color="auto"/>
              <w:right w:val="nil"/>
            </w:tcBorders>
            <w:shd w:val="clear" w:color="auto" w:fill="auto"/>
            <w:noWrap/>
            <w:vAlign w:val="center"/>
            <w:hideMark/>
          </w:tcPr>
          <w:p w14:paraId="79DC7B9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Státní příslušnost</w:t>
            </w:r>
          </w:p>
        </w:tc>
        <w:tc>
          <w:tcPr>
            <w:tcW w:w="2160" w:type="dxa"/>
            <w:tcBorders>
              <w:top w:val="double" w:sz="6" w:space="0" w:color="auto"/>
              <w:left w:val="nil"/>
              <w:bottom w:val="double" w:sz="6" w:space="0" w:color="auto"/>
              <w:right w:val="nil"/>
            </w:tcBorders>
            <w:shd w:val="clear" w:color="auto" w:fill="auto"/>
            <w:noWrap/>
            <w:vAlign w:val="center"/>
            <w:hideMark/>
          </w:tcPr>
          <w:p w14:paraId="1A7F2B4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obyvatel</w:t>
            </w:r>
          </w:p>
        </w:tc>
        <w:tc>
          <w:tcPr>
            <w:tcW w:w="2160" w:type="dxa"/>
            <w:tcBorders>
              <w:top w:val="double" w:sz="6" w:space="0" w:color="auto"/>
              <w:left w:val="nil"/>
              <w:bottom w:val="double" w:sz="6" w:space="0" w:color="auto"/>
              <w:right w:val="nil"/>
            </w:tcBorders>
            <w:shd w:val="clear" w:color="auto" w:fill="auto"/>
            <w:noWrap/>
            <w:vAlign w:val="center"/>
            <w:hideMark/>
          </w:tcPr>
          <w:p w14:paraId="1BACE6C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odsouzených</w:t>
            </w:r>
          </w:p>
        </w:tc>
        <w:tc>
          <w:tcPr>
            <w:tcW w:w="2160" w:type="dxa"/>
            <w:tcBorders>
              <w:top w:val="double" w:sz="6" w:space="0" w:color="auto"/>
              <w:left w:val="nil"/>
              <w:bottom w:val="double" w:sz="6" w:space="0" w:color="auto"/>
              <w:right w:val="nil"/>
            </w:tcBorders>
            <w:shd w:val="clear" w:color="auto" w:fill="auto"/>
            <w:vAlign w:val="center"/>
            <w:hideMark/>
          </w:tcPr>
          <w:p w14:paraId="531EA79A" w14:textId="5E96D59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Odsouzení/1</w:t>
            </w:r>
            <w:r w:rsidR="00FA2F47">
              <w:rPr>
                <w:rFonts w:eastAsia="Times New Roman"/>
                <w:b/>
                <w:bCs/>
                <w:color w:val="000000" w:themeColor="text1"/>
                <w:szCs w:val="24"/>
                <w:lang w:eastAsia="cs-CZ"/>
              </w:rPr>
              <w:t> </w:t>
            </w:r>
            <w:r w:rsidRPr="001C3EC8">
              <w:rPr>
                <w:rFonts w:eastAsia="Times New Roman"/>
                <w:b/>
                <w:bCs/>
                <w:color w:val="000000" w:themeColor="text1"/>
                <w:szCs w:val="24"/>
                <w:lang w:eastAsia="cs-CZ"/>
              </w:rPr>
              <w:t>000 obyvatel</w:t>
            </w:r>
          </w:p>
        </w:tc>
      </w:tr>
      <w:tr w:rsidR="008430BD" w:rsidRPr="001C3EC8" w14:paraId="1218F74E"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4AB39DD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Česká republika</w:t>
            </w:r>
          </w:p>
        </w:tc>
        <w:tc>
          <w:tcPr>
            <w:tcW w:w="2160" w:type="dxa"/>
            <w:tcBorders>
              <w:top w:val="nil"/>
              <w:left w:val="nil"/>
              <w:bottom w:val="single" w:sz="4" w:space="0" w:color="auto"/>
              <w:right w:val="nil"/>
            </w:tcBorders>
            <w:shd w:val="clear" w:color="auto" w:fill="auto"/>
            <w:noWrap/>
            <w:vAlign w:val="bottom"/>
            <w:hideMark/>
          </w:tcPr>
          <w:p w14:paraId="67BAA68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10 100 573</w:t>
            </w:r>
          </w:p>
        </w:tc>
        <w:tc>
          <w:tcPr>
            <w:tcW w:w="2160" w:type="dxa"/>
            <w:tcBorders>
              <w:top w:val="nil"/>
              <w:left w:val="nil"/>
              <w:bottom w:val="single" w:sz="4" w:space="0" w:color="auto"/>
              <w:right w:val="nil"/>
            </w:tcBorders>
            <w:shd w:val="clear" w:color="auto" w:fill="auto"/>
            <w:noWrap/>
            <w:vAlign w:val="bottom"/>
            <w:hideMark/>
          </w:tcPr>
          <w:p w14:paraId="7E92908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42 902</w:t>
            </w:r>
          </w:p>
        </w:tc>
        <w:tc>
          <w:tcPr>
            <w:tcW w:w="2160" w:type="dxa"/>
            <w:tcBorders>
              <w:top w:val="nil"/>
              <w:left w:val="nil"/>
              <w:bottom w:val="single" w:sz="4" w:space="0" w:color="auto"/>
              <w:right w:val="nil"/>
            </w:tcBorders>
            <w:shd w:val="clear" w:color="auto" w:fill="auto"/>
            <w:noWrap/>
            <w:vAlign w:val="bottom"/>
            <w:hideMark/>
          </w:tcPr>
          <w:p w14:paraId="57C094C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p>
        </w:tc>
      </w:tr>
      <w:tr w:rsidR="008430BD" w:rsidRPr="001C3EC8" w14:paraId="1A10433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2D430B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Ukrajina</w:t>
            </w:r>
          </w:p>
        </w:tc>
        <w:tc>
          <w:tcPr>
            <w:tcW w:w="2160" w:type="dxa"/>
            <w:tcBorders>
              <w:top w:val="nil"/>
              <w:left w:val="nil"/>
              <w:bottom w:val="single" w:sz="4" w:space="0" w:color="auto"/>
              <w:right w:val="nil"/>
            </w:tcBorders>
            <w:shd w:val="clear" w:color="auto" w:fill="auto"/>
            <w:noWrap/>
            <w:vAlign w:val="bottom"/>
            <w:hideMark/>
          </w:tcPr>
          <w:p w14:paraId="015DE4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145 153</w:t>
            </w:r>
          </w:p>
        </w:tc>
        <w:tc>
          <w:tcPr>
            <w:tcW w:w="2160" w:type="dxa"/>
            <w:tcBorders>
              <w:top w:val="nil"/>
              <w:left w:val="nil"/>
              <w:bottom w:val="single" w:sz="4" w:space="0" w:color="auto"/>
              <w:right w:val="nil"/>
            </w:tcBorders>
            <w:shd w:val="clear" w:color="auto" w:fill="auto"/>
            <w:noWrap/>
            <w:vAlign w:val="bottom"/>
            <w:hideMark/>
          </w:tcPr>
          <w:p w14:paraId="0A0D2A0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1 078</w:t>
            </w:r>
          </w:p>
        </w:tc>
        <w:tc>
          <w:tcPr>
            <w:tcW w:w="2160" w:type="dxa"/>
            <w:tcBorders>
              <w:top w:val="nil"/>
              <w:left w:val="nil"/>
              <w:bottom w:val="single" w:sz="4" w:space="0" w:color="auto"/>
              <w:right w:val="nil"/>
            </w:tcBorders>
            <w:shd w:val="clear" w:color="auto" w:fill="auto"/>
            <w:noWrap/>
            <w:vAlign w:val="bottom"/>
            <w:hideMark/>
          </w:tcPr>
          <w:p w14:paraId="3613362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w:t>
            </w:r>
          </w:p>
        </w:tc>
      </w:tr>
      <w:tr w:rsidR="008430BD" w:rsidRPr="001C3EC8" w14:paraId="6F6AC21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CEEEE5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Slovensko</w:t>
            </w:r>
          </w:p>
        </w:tc>
        <w:tc>
          <w:tcPr>
            <w:tcW w:w="2160" w:type="dxa"/>
            <w:tcBorders>
              <w:top w:val="nil"/>
              <w:left w:val="nil"/>
              <w:bottom w:val="single" w:sz="4" w:space="0" w:color="auto"/>
              <w:right w:val="nil"/>
            </w:tcBorders>
            <w:shd w:val="clear" w:color="auto" w:fill="auto"/>
            <w:noWrap/>
            <w:vAlign w:val="bottom"/>
            <w:hideMark/>
          </w:tcPr>
          <w:p w14:paraId="75397D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121 278</w:t>
            </w:r>
          </w:p>
        </w:tc>
        <w:tc>
          <w:tcPr>
            <w:tcW w:w="2160" w:type="dxa"/>
            <w:tcBorders>
              <w:top w:val="nil"/>
              <w:left w:val="nil"/>
              <w:bottom w:val="single" w:sz="4" w:space="0" w:color="auto"/>
              <w:right w:val="nil"/>
            </w:tcBorders>
            <w:shd w:val="clear" w:color="auto" w:fill="auto"/>
            <w:noWrap/>
            <w:vAlign w:val="bottom"/>
            <w:hideMark/>
          </w:tcPr>
          <w:p w14:paraId="399A375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1 418</w:t>
            </w:r>
          </w:p>
        </w:tc>
        <w:tc>
          <w:tcPr>
            <w:tcW w:w="2160" w:type="dxa"/>
            <w:tcBorders>
              <w:top w:val="nil"/>
              <w:left w:val="nil"/>
              <w:bottom w:val="single" w:sz="4" w:space="0" w:color="auto"/>
              <w:right w:val="nil"/>
            </w:tcBorders>
            <w:shd w:val="clear" w:color="auto" w:fill="auto"/>
            <w:noWrap/>
            <w:vAlign w:val="bottom"/>
            <w:hideMark/>
          </w:tcPr>
          <w:p w14:paraId="6C4A09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r>
      <w:tr w:rsidR="008430BD" w:rsidRPr="001C3EC8" w14:paraId="06D823C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DA4471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Vietnam</w:t>
            </w:r>
          </w:p>
        </w:tc>
        <w:tc>
          <w:tcPr>
            <w:tcW w:w="2160" w:type="dxa"/>
            <w:tcBorders>
              <w:top w:val="nil"/>
              <w:left w:val="nil"/>
              <w:bottom w:val="single" w:sz="4" w:space="0" w:color="auto"/>
              <w:right w:val="nil"/>
            </w:tcBorders>
            <w:shd w:val="clear" w:color="auto" w:fill="auto"/>
            <w:noWrap/>
            <w:vAlign w:val="bottom"/>
            <w:hideMark/>
          </w:tcPr>
          <w:p w14:paraId="5249193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61 910</w:t>
            </w:r>
          </w:p>
        </w:tc>
        <w:tc>
          <w:tcPr>
            <w:tcW w:w="2160" w:type="dxa"/>
            <w:tcBorders>
              <w:top w:val="nil"/>
              <w:left w:val="nil"/>
              <w:bottom w:val="single" w:sz="4" w:space="0" w:color="auto"/>
              <w:right w:val="nil"/>
            </w:tcBorders>
            <w:shd w:val="clear" w:color="auto" w:fill="auto"/>
            <w:noWrap/>
            <w:vAlign w:val="bottom"/>
            <w:hideMark/>
          </w:tcPr>
          <w:p w14:paraId="595A6D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153</w:t>
            </w:r>
          </w:p>
        </w:tc>
        <w:tc>
          <w:tcPr>
            <w:tcW w:w="2160" w:type="dxa"/>
            <w:tcBorders>
              <w:top w:val="nil"/>
              <w:left w:val="nil"/>
              <w:bottom w:val="single" w:sz="4" w:space="0" w:color="auto"/>
              <w:right w:val="nil"/>
            </w:tcBorders>
            <w:shd w:val="clear" w:color="auto" w:fill="auto"/>
            <w:noWrap/>
            <w:vAlign w:val="bottom"/>
            <w:hideMark/>
          </w:tcPr>
          <w:p w14:paraId="7D281C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r>
      <w:tr w:rsidR="008430BD" w:rsidRPr="001C3EC8" w14:paraId="32CC6EC1"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CE20F9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Rusko</w:t>
            </w:r>
          </w:p>
        </w:tc>
        <w:tc>
          <w:tcPr>
            <w:tcW w:w="2160" w:type="dxa"/>
            <w:tcBorders>
              <w:top w:val="nil"/>
              <w:left w:val="nil"/>
              <w:bottom w:val="single" w:sz="4" w:space="0" w:color="auto"/>
              <w:right w:val="nil"/>
            </w:tcBorders>
            <w:shd w:val="clear" w:color="auto" w:fill="auto"/>
            <w:noWrap/>
            <w:vAlign w:val="bottom"/>
            <w:hideMark/>
          </w:tcPr>
          <w:p w14:paraId="777DF7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38 010</w:t>
            </w:r>
          </w:p>
        </w:tc>
        <w:tc>
          <w:tcPr>
            <w:tcW w:w="2160" w:type="dxa"/>
            <w:tcBorders>
              <w:top w:val="nil"/>
              <w:left w:val="nil"/>
              <w:bottom w:val="single" w:sz="4" w:space="0" w:color="auto"/>
              <w:right w:val="nil"/>
            </w:tcBorders>
            <w:shd w:val="clear" w:color="auto" w:fill="auto"/>
            <w:noWrap/>
            <w:vAlign w:val="bottom"/>
            <w:hideMark/>
          </w:tcPr>
          <w:p w14:paraId="3685AC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w:t>
            </w:r>
          </w:p>
        </w:tc>
        <w:tc>
          <w:tcPr>
            <w:tcW w:w="2160" w:type="dxa"/>
            <w:tcBorders>
              <w:top w:val="nil"/>
              <w:left w:val="nil"/>
              <w:bottom w:val="single" w:sz="4" w:space="0" w:color="auto"/>
              <w:right w:val="nil"/>
            </w:tcBorders>
            <w:shd w:val="clear" w:color="auto" w:fill="auto"/>
            <w:noWrap/>
            <w:vAlign w:val="bottom"/>
            <w:hideMark/>
          </w:tcPr>
          <w:p w14:paraId="4145EE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r>
      <w:tr w:rsidR="008430BD" w:rsidRPr="001C3EC8" w14:paraId="068B5AD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7C1BFF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Polsko</w:t>
            </w:r>
          </w:p>
        </w:tc>
        <w:tc>
          <w:tcPr>
            <w:tcW w:w="2160" w:type="dxa"/>
            <w:tcBorders>
              <w:top w:val="nil"/>
              <w:left w:val="nil"/>
              <w:bottom w:val="single" w:sz="4" w:space="0" w:color="auto"/>
              <w:right w:val="nil"/>
            </w:tcBorders>
            <w:shd w:val="clear" w:color="auto" w:fill="auto"/>
            <w:noWrap/>
            <w:vAlign w:val="bottom"/>
            <w:hideMark/>
          </w:tcPr>
          <w:p w14:paraId="0EEF8A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21 767</w:t>
            </w:r>
          </w:p>
        </w:tc>
        <w:tc>
          <w:tcPr>
            <w:tcW w:w="2160" w:type="dxa"/>
            <w:tcBorders>
              <w:top w:val="nil"/>
              <w:left w:val="nil"/>
              <w:bottom w:val="single" w:sz="4" w:space="0" w:color="auto"/>
              <w:right w:val="nil"/>
            </w:tcBorders>
            <w:shd w:val="clear" w:color="auto" w:fill="auto"/>
            <w:noWrap/>
            <w:vAlign w:val="bottom"/>
            <w:hideMark/>
          </w:tcPr>
          <w:p w14:paraId="169A998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298</w:t>
            </w:r>
          </w:p>
        </w:tc>
        <w:tc>
          <w:tcPr>
            <w:tcW w:w="2160" w:type="dxa"/>
            <w:tcBorders>
              <w:top w:val="nil"/>
              <w:left w:val="nil"/>
              <w:bottom w:val="single" w:sz="4" w:space="0" w:color="auto"/>
              <w:right w:val="nil"/>
            </w:tcBorders>
            <w:shd w:val="clear" w:color="auto" w:fill="auto"/>
            <w:noWrap/>
            <w:vAlign w:val="bottom"/>
            <w:hideMark/>
          </w:tcPr>
          <w:p w14:paraId="440172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13,7</w:t>
            </w:r>
          </w:p>
        </w:tc>
      </w:tr>
      <w:tr w:rsidR="008430BD" w:rsidRPr="001C3EC8" w14:paraId="4E291C7D"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B2842D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Německo</w:t>
            </w:r>
          </w:p>
        </w:tc>
        <w:tc>
          <w:tcPr>
            <w:tcW w:w="2160" w:type="dxa"/>
            <w:tcBorders>
              <w:top w:val="nil"/>
              <w:left w:val="nil"/>
              <w:bottom w:val="single" w:sz="4" w:space="0" w:color="auto"/>
              <w:right w:val="nil"/>
            </w:tcBorders>
            <w:shd w:val="clear" w:color="auto" w:fill="auto"/>
            <w:noWrap/>
            <w:vAlign w:val="bottom"/>
            <w:hideMark/>
          </w:tcPr>
          <w:p w14:paraId="42992B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21 478</w:t>
            </w:r>
          </w:p>
        </w:tc>
        <w:tc>
          <w:tcPr>
            <w:tcW w:w="2160" w:type="dxa"/>
            <w:tcBorders>
              <w:top w:val="nil"/>
              <w:left w:val="nil"/>
              <w:bottom w:val="single" w:sz="4" w:space="0" w:color="auto"/>
              <w:right w:val="nil"/>
            </w:tcBorders>
            <w:shd w:val="clear" w:color="auto" w:fill="auto"/>
            <w:noWrap/>
            <w:vAlign w:val="bottom"/>
            <w:hideMark/>
          </w:tcPr>
          <w:p w14:paraId="09235E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w:t>
            </w:r>
          </w:p>
        </w:tc>
        <w:tc>
          <w:tcPr>
            <w:tcW w:w="2160" w:type="dxa"/>
            <w:tcBorders>
              <w:top w:val="nil"/>
              <w:left w:val="nil"/>
              <w:bottom w:val="single" w:sz="4" w:space="0" w:color="auto"/>
              <w:right w:val="nil"/>
            </w:tcBorders>
            <w:shd w:val="clear" w:color="auto" w:fill="auto"/>
            <w:noWrap/>
            <w:vAlign w:val="bottom"/>
            <w:hideMark/>
          </w:tcPr>
          <w:p w14:paraId="2CE451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w:t>
            </w:r>
          </w:p>
        </w:tc>
      </w:tr>
      <w:tr w:rsidR="008430BD" w:rsidRPr="001C3EC8" w14:paraId="5FEA7AB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A36C44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Bulharsko</w:t>
            </w:r>
          </w:p>
        </w:tc>
        <w:tc>
          <w:tcPr>
            <w:tcW w:w="2160" w:type="dxa"/>
            <w:tcBorders>
              <w:top w:val="nil"/>
              <w:left w:val="nil"/>
              <w:bottom w:val="single" w:sz="4" w:space="0" w:color="auto"/>
              <w:right w:val="nil"/>
            </w:tcBorders>
            <w:shd w:val="clear" w:color="auto" w:fill="auto"/>
            <w:noWrap/>
            <w:vAlign w:val="bottom"/>
            <w:hideMark/>
          </w:tcPr>
          <w:p w14:paraId="421380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17 183</w:t>
            </w:r>
          </w:p>
        </w:tc>
        <w:tc>
          <w:tcPr>
            <w:tcW w:w="2160" w:type="dxa"/>
            <w:tcBorders>
              <w:top w:val="nil"/>
              <w:left w:val="nil"/>
              <w:bottom w:val="single" w:sz="4" w:space="0" w:color="auto"/>
              <w:right w:val="nil"/>
            </w:tcBorders>
            <w:shd w:val="clear" w:color="auto" w:fill="auto"/>
            <w:noWrap/>
            <w:vAlign w:val="bottom"/>
            <w:hideMark/>
          </w:tcPr>
          <w:p w14:paraId="013F13C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184</w:t>
            </w:r>
          </w:p>
        </w:tc>
        <w:tc>
          <w:tcPr>
            <w:tcW w:w="2160" w:type="dxa"/>
            <w:tcBorders>
              <w:top w:val="nil"/>
              <w:left w:val="nil"/>
              <w:bottom w:val="single" w:sz="4" w:space="0" w:color="auto"/>
              <w:right w:val="nil"/>
            </w:tcBorders>
            <w:shd w:val="clear" w:color="auto" w:fill="auto"/>
            <w:noWrap/>
            <w:vAlign w:val="bottom"/>
            <w:hideMark/>
          </w:tcPr>
          <w:p w14:paraId="6BE589F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r>
      <w:tr w:rsidR="008430BD" w:rsidRPr="001C3EC8" w14:paraId="19130A2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1725D2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Rumunsko</w:t>
            </w:r>
          </w:p>
        </w:tc>
        <w:tc>
          <w:tcPr>
            <w:tcW w:w="2160" w:type="dxa"/>
            <w:tcBorders>
              <w:top w:val="nil"/>
              <w:left w:val="nil"/>
              <w:bottom w:val="single" w:sz="4" w:space="0" w:color="auto"/>
              <w:right w:val="nil"/>
            </w:tcBorders>
            <w:shd w:val="clear" w:color="auto" w:fill="auto"/>
            <w:noWrap/>
            <w:vAlign w:val="bottom"/>
            <w:hideMark/>
          </w:tcPr>
          <w:p w14:paraId="5B6B79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16 824</w:t>
            </w:r>
          </w:p>
        </w:tc>
        <w:tc>
          <w:tcPr>
            <w:tcW w:w="2160" w:type="dxa"/>
            <w:tcBorders>
              <w:top w:val="nil"/>
              <w:left w:val="nil"/>
              <w:bottom w:val="single" w:sz="4" w:space="0" w:color="auto"/>
              <w:right w:val="nil"/>
            </w:tcBorders>
            <w:shd w:val="clear" w:color="auto" w:fill="auto"/>
            <w:noWrap/>
            <w:vAlign w:val="bottom"/>
            <w:hideMark/>
          </w:tcPr>
          <w:p w14:paraId="4525E9A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272</w:t>
            </w:r>
          </w:p>
        </w:tc>
        <w:tc>
          <w:tcPr>
            <w:tcW w:w="2160" w:type="dxa"/>
            <w:tcBorders>
              <w:top w:val="nil"/>
              <w:left w:val="nil"/>
              <w:bottom w:val="single" w:sz="4" w:space="0" w:color="auto"/>
              <w:right w:val="nil"/>
            </w:tcBorders>
            <w:shd w:val="clear" w:color="auto" w:fill="auto"/>
            <w:noWrap/>
            <w:vAlign w:val="bottom"/>
            <w:hideMark/>
          </w:tcPr>
          <w:p w14:paraId="5A80C50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16,2</w:t>
            </w:r>
          </w:p>
        </w:tc>
      </w:tr>
      <w:tr w:rsidR="008430BD" w:rsidRPr="001C3EC8" w14:paraId="10406525"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0A78B8D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Mongolsko</w:t>
            </w:r>
          </w:p>
        </w:tc>
        <w:tc>
          <w:tcPr>
            <w:tcW w:w="2160" w:type="dxa"/>
            <w:tcBorders>
              <w:top w:val="nil"/>
              <w:left w:val="nil"/>
              <w:bottom w:val="double" w:sz="6" w:space="0" w:color="auto"/>
              <w:right w:val="nil"/>
            </w:tcBorders>
            <w:shd w:val="clear" w:color="auto" w:fill="auto"/>
            <w:noWrap/>
            <w:vAlign w:val="bottom"/>
            <w:hideMark/>
          </w:tcPr>
          <w:p w14:paraId="54578E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9 844</w:t>
            </w:r>
          </w:p>
        </w:tc>
        <w:tc>
          <w:tcPr>
            <w:tcW w:w="2160" w:type="dxa"/>
            <w:tcBorders>
              <w:top w:val="nil"/>
              <w:left w:val="nil"/>
              <w:bottom w:val="double" w:sz="6" w:space="0" w:color="auto"/>
              <w:right w:val="nil"/>
            </w:tcBorders>
            <w:shd w:val="clear" w:color="auto" w:fill="auto"/>
            <w:noWrap/>
            <w:vAlign w:val="bottom"/>
            <w:hideMark/>
          </w:tcPr>
          <w:p w14:paraId="3DF858E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w:t>
            </w:r>
          </w:p>
        </w:tc>
        <w:tc>
          <w:tcPr>
            <w:tcW w:w="2160" w:type="dxa"/>
            <w:tcBorders>
              <w:top w:val="nil"/>
              <w:left w:val="nil"/>
              <w:bottom w:val="double" w:sz="6" w:space="0" w:color="auto"/>
              <w:right w:val="nil"/>
            </w:tcBorders>
            <w:shd w:val="clear" w:color="auto" w:fill="auto"/>
            <w:noWrap/>
            <w:vAlign w:val="bottom"/>
            <w:hideMark/>
          </w:tcPr>
          <w:p w14:paraId="7B769B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w:t>
            </w:r>
          </w:p>
        </w:tc>
      </w:tr>
      <w:tr w:rsidR="008430BD" w:rsidRPr="001C3EC8" w14:paraId="4DB05D14"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1174EF9F"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2160" w:type="dxa"/>
            <w:tcBorders>
              <w:top w:val="nil"/>
              <w:left w:val="nil"/>
              <w:bottom w:val="double" w:sz="6" w:space="0" w:color="auto"/>
              <w:right w:val="nil"/>
            </w:tcBorders>
            <w:shd w:val="clear" w:color="auto" w:fill="auto"/>
            <w:noWrap/>
            <w:vAlign w:val="bottom"/>
            <w:hideMark/>
          </w:tcPr>
          <w:p w14:paraId="4E195C8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10 693 939</w:t>
            </w:r>
          </w:p>
        </w:tc>
        <w:tc>
          <w:tcPr>
            <w:tcW w:w="2160" w:type="dxa"/>
            <w:tcBorders>
              <w:top w:val="nil"/>
              <w:left w:val="nil"/>
              <w:bottom w:val="double" w:sz="6" w:space="0" w:color="auto"/>
              <w:right w:val="nil"/>
            </w:tcBorders>
            <w:shd w:val="clear" w:color="auto" w:fill="auto"/>
            <w:noWrap/>
            <w:vAlign w:val="bottom"/>
            <w:hideMark/>
          </w:tcPr>
          <w:p w14:paraId="3E00C3D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47 380</w:t>
            </w:r>
          </w:p>
        </w:tc>
        <w:tc>
          <w:tcPr>
            <w:tcW w:w="2160" w:type="dxa"/>
            <w:tcBorders>
              <w:top w:val="nil"/>
              <w:left w:val="nil"/>
              <w:bottom w:val="double" w:sz="6" w:space="0" w:color="auto"/>
              <w:right w:val="nil"/>
            </w:tcBorders>
            <w:shd w:val="clear" w:color="auto" w:fill="auto"/>
            <w:noWrap/>
            <w:vAlign w:val="bottom"/>
            <w:hideMark/>
          </w:tcPr>
          <w:p w14:paraId="3E65426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4,4</w:t>
            </w:r>
          </w:p>
        </w:tc>
      </w:tr>
    </w:tbl>
    <w:p w14:paraId="01EF99F1" w14:textId="42FFB971" w:rsidR="008430BD" w:rsidRPr="001C3EC8" w:rsidRDefault="008430BD" w:rsidP="008430BD">
      <w:pPr>
        <w:pStyle w:val="OdstavecASR"/>
        <w:rPr>
          <w:color w:val="000000" w:themeColor="text1"/>
        </w:rPr>
      </w:pPr>
    </w:p>
    <w:p w14:paraId="677A0E26" w14:textId="2D7AD349" w:rsidR="00C11095" w:rsidRPr="001C3EC8" w:rsidRDefault="00C11095" w:rsidP="008430BD">
      <w:pPr>
        <w:pStyle w:val="OdstavecASR"/>
        <w:rPr>
          <w:b/>
          <w:bCs/>
          <w:color w:val="000000" w:themeColor="text1"/>
        </w:rPr>
      </w:pPr>
      <w:r w:rsidRPr="001C3EC8">
        <w:rPr>
          <w:b/>
          <w:bCs/>
          <w:color w:val="000000" w:themeColor="text1"/>
        </w:rPr>
        <w:t>Peněžité tresty</w:t>
      </w:r>
    </w:p>
    <w:p w14:paraId="5FF16593" w14:textId="16B2BE52" w:rsidR="008430BD" w:rsidRPr="001C3EC8" w:rsidRDefault="008430BD" w:rsidP="008430BD">
      <w:pPr>
        <w:pStyle w:val="OdstavecASR"/>
        <w:rPr>
          <w:color w:val="000000" w:themeColor="text1"/>
        </w:rPr>
      </w:pPr>
      <w:r w:rsidRPr="001C3EC8">
        <w:rPr>
          <w:color w:val="000000" w:themeColor="text1"/>
        </w:rPr>
        <w:t xml:space="preserve">Stejně jako v předchozí zprávě se nakonec </w:t>
      </w:r>
      <w:r w:rsidR="0075779C" w:rsidRPr="001C3EC8">
        <w:rPr>
          <w:color w:val="000000" w:themeColor="text1"/>
        </w:rPr>
        <w:t>p</w:t>
      </w:r>
      <w:r w:rsidRPr="001C3EC8">
        <w:rPr>
          <w:color w:val="000000" w:themeColor="text1"/>
        </w:rPr>
        <w:t xml:space="preserve">odíváme na ukládání peněžitých trestů. Níže uvedená data jsou získána ze statistických listů </w:t>
      </w:r>
      <w:r w:rsidR="00120A38" w:rsidRPr="001C3EC8">
        <w:rPr>
          <w:color w:val="000000" w:themeColor="text1"/>
        </w:rPr>
        <w:t>a</w:t>
      </w:r>
      <w:r w:rsidR="00120A38">
        <w:rPr>
          <w:color w:val="000000" w:themeColor="text1"/>
        </w:rPr>
        <w:t> </w:t>
      </w:r>
      <w:r w:rsidRPr="001C3EC8">
        <w:rPr>
          <w:color w:val="000000" w:themeColor="text1"/>
        </w:rPr>
        <w:t xml:space="preserve">týkají se odsouzených osob. Souhrnné </w:t>
      </w:r>
      <w:r w:rsidR="00120A38" w:rsidRPr="001C3EC8">
        <w:rPr>
          <w:color w:val="000000" w:themeColor="text1"/>
        </w:rPr>
        <w:t>a</w:t>
      </w:r>
      <w:r w:rsidR="00120A38">
        <w:rPr>
          <w:color w:val="000000" w:themeColor="text1"/>
        </w:rPr>
        <w:t> </w:t>
      </w:r>
      <w:r w:rsidRPr="001C3EC8">
        <w:rPr>
          <w:color w:val="000000" w:themeColor="text1"/>
        </w:rPr>
        <w:t>úhrnné tresty tak nejsou započteny. Data se vztahují ke všem případům, kdy byl uložený peněžitý trest, tedy jak k těm, kdy byl trest uložen jako hlavní sankce, tak k případům, kdy byl trest uložen jako další sankce, například vedle trestu odnětí svobody.</w:t>
      </w:r>
    </w:p>
    <w:p w14:paraId="63ACD8B9" w14:textId="0E02F1C0" w:rsidR="00B07E76" w:rsidRDefault="008430BD" w:rsidP="008430BD">
      <w:pPr>
        <w:pStyle w:val="OdstavecASR"/>
        <w:rPr>
          <w:color w:val="000000" w:themeColor="text1"/>
        </w:rPr>
      </w:pPr>
      <w:r w:rsidRPr="001C3EC8">
        <w:rPr>
          <w:color w:val="000000" w:themeColor="text1"/>
        </w:rPr>
        <w:t xml:space="preserve">Tento statistický údaj je uveden s ohledem na snahu vlády, Ministerstva spravedlnosti, Nejvyššího soudu </w:t>
      </w:r>
      <w:r w:rsidR="00120A38" w:rsidRPr="001C3EC8">
        <w:rPr>
          <w:color w:val="000000" w:themeColor="text1"/>
        </w:rPr>
        <w:t>a</w:t>
      </w:r>
      <w:r w:rsidR="00120A38">
        <w:rPr>
          <w:color w:val="000000" w:themeColor="text1"/>
        </w:rPr>
        <w:t> </w:t>
      </w:r>
      <w:r w:rsidRPr="001C3EC8">
        <w:rPr>
          <w:color w:val="000000" w:themeColor="text1"/>
        </w:rPr>
        <w:t>Nejvyššího státní</w:t>
      </w:r>
      <w:r w:rsidR="004A0CF5" w:rsidRPr="001C3EC8">
        <w:rPr>
          <w:color w:val="000000" w:themeColor="text1"/>
        </w:rPr>
        <w:t>ho</w:t>
      </w:r>
      <w:r w:rsidRPr="001C3EC8">
        <w:rPr>
          <w:color w:val="000000" w:themeColor="text1"/>
        </w:rPr>
        <w:t xml:space="preserve"> zastupitelství </w:t>
      </w:r>
      <w:r w:rsidR="00120A38" w:rsidRPr="001C3EC8">
        <w:rPr>
          <w:color w:val="000000" w:themeColor="text1"/>
        </w:rPr>
        <w:t>o</w:t>
      </w:r>
      <w:r w:rsidR="00120A38">
        <w:rPr>
          <w:color w:val="000000" w:themeColor="text1"/>
        </w:rPr>
        <w:t> </w:t>
      </w:r>
      <w:r w:rsidRPr="001C3EC8">
        <w:rPr>
          <w:color w:val="000000" w:themeColor="text1"/>
        </w:rPr>
        <w:t xml:space="preserve">zvýšení počtu ukládaných peněžitých trestů jak prostřednictvím legislativních opatření, tak apelem nejen na soudy, ale </w:t>
      </w:r>
      <w:r w:rsidR="00120A38" w:rsidRPr="001C3EC8">
        <w:rPr>
          <w:color w:val="000000" w:themeColor="text1"/>
        </w:rPr>
        <w:t>i</w:t>
      </w:r>
      <w:r w:rsidR="00120A38">
        <w:rPr>
          <w:color w:val="000000" w:themeColor="text1"/>
        </w:rPr>
        <w:t> </w:t>
      </w:r>
      <w:r w:rsidRPr="001C3EC8">
        <w:rPr>
          <w:color w:val="000000" w:themeColor="text1"/>
        </w:rPr>
        <w:t>na státní zastupitelství, policejní orgány a</w:t>
      </w:r>
      <w:r w:rsidR="00E10CA4">
        <w:rPr>
          <w:color w:val="000000" w:themeColor="text1"/>
        </w:rPr>
        <w:t> </w:t>
      </w:r>
      <w:r w:rsidRPr="001C3EC8">
        <w:rPr>
          <w:color w:val="000000" w:themeColor="text1"/>
        </w:rPr>
        <w:t xml:space="preserve">Probační </w:t>
      </w:r>
      <w:r w:rsidR="007520E2" w:rsidRPr="001C3EC8">
        <w:rPr>
          <w:color w:val="000000" w:themeColor="text1"/>
        </w:rPr>
        <w:t>a</w:t>
      </w:r>
      <w:r w:rsidR="00E10CA4">
        <w:rPr>
          <w:color w:val="000000" w:themeColor="text1"/>
        </w:rPr>
        <w:t> </w:t>
      </w:r>
      <w:r w:rsidRPr="001C3EC8">
        <w:rPr>
          <w:color w:val="000000" w:themeColor="text1"/>
        </w:rPr>
        <w:t>mediační službu. V počtu (</w:t>
      </w:r>
      <w:r w:rsidR="00120A38" w:rsidRPr="001C3EC8">
        <w:rPr>
          <w:color w:val="000000" w:themeColor="text1"/>
        </w:rPr>
        <w:t>a</w:t>
      </w:r>
      <w:r w:rsidR="00120A38">
        <w:rPr>
          <w:color w:val="000000" w:themeColor="text1"/>
        </w:rPr>
        <w:t> </w:t>
      </w:r>
      <w:r w:rsidRPr="001C3EC8">
        <w:rPr>
          <w:color w:val="000000" w:themeColor="text1"/>
        </w:rPr>
        <w:t xml:space="preserve">podílu na celkovém počtu odsouzených osob) uložených peněžitých trestů totiž ČR výrazně zaostává za okolními státy. Zdá se tedy vhodné sledovat, zda přijatá opatření opravdu vedou ke zvýšení počtu uložených peněžitých trestů. Nejedná se nicméně </w:t>
      </w:r>
      <w:r w:rsidR="00120A38" w:rsidRPr="001C3EC8">
        <w:rPr>
          <w:color w:val="000000" w:themeColor="text1"/>
        </w:rPr>
        <w:t>o</w:t>
      </w:r>
      <w:r w:rsidR="00120A38">
        <w:rPr>
          <w:color w:val="000000" w:themeColor="text1"/>
        </w:rPr>
        <w:t> </w:t>
      </w:r>
      <w:r w:rsidRPr="001C3EC8">
        <w:rPr>
          <w:color w:val="000000" w:themeColor="text1"/>
        </w:rPr>
        <w:t>podrobnou analýzu, která by přesahovala plánovaný rozsah zprávy.</w:t>
      </w:r>
    </w:p>
    <w:p w14:paraId="0F436F08" w14:textId="6D0BC762" w:rsidR="008430BD" w:rsidRPr="001C3EC8" w:rsidRDefault="00120A38" w:rsidP="008430BD">
      <w:pPr>
        <w:pStyle w:val="OdstavecASR"/>
        <w:rPr>
          <w:color w:val="000000" w:themeColor="text1"/>
        </w:rPr>
      </w:pPr>
      <w:r w:rsidRPr="001C3EC8">
        <w:rPr>
          <w:color w:val="000000" w:themeColor="text1"/>
        </w:rPr>
        <w:t>V</w:t>
      </w:r>
      <w:r>
        <w:rPr>
          <w:color w:val="000000" w:themeColor="text1"/>
        </w:rPr>
        <w:t> </w:t>
      </w:r>
      <w:r w:rsidR="008430BD" w:rsidRPr="001C3EC8">
        <w:rPr>
          <w:color w:val="000000" w:themeColor="text1"/>
        </w:rPr>
        <w:t xml:space="preserve">prvním grafu je uvedena celková částka peněžitých trestů uložených odsouzeným osobám u okresních soudů. Suma uložených trestů od roku 2009 klesala až na částku 85 014 000 Kč. Následně došlo k přijetí výše uvedených opatření </w:t>
      </w:r>
      <w:r w:rsidRPr="001C3EC8">
        <w:rPr>
          <w:color w:val="000000" w:themeColor="text1"/>
        </w:rPr>
        <w:t>a</w:t>
      </w:r>
      <w:r>
        <w:rPr>
          <w:color w:val="000000" w:themeColor="text1"/>
        </w:rPr>
        <w:t> </w:t>
      </w:r>
      <w:r w:rsidR="008430BD" w:rsidRPr="001C3EC8">
        <w:rPr>
          <w:color w:val="000000" w:themeColor="text1"/>
        </w:rPr>
        <w:t xml:space="preserve">částka začala velmi rychle růst. Skokově vzrostla především mezi lety 2017 </w:t>
      </w:r>
      <w:r w:rsidRPr="001C3EC8">
        <w:rPr>
          <w:color w:val="000000" w:themeColor="text1"/>
        </w:rPr>
        <w:t>a</w:t>
      </w:r>
      <w:r>
        <w:rPr>
          <w:color w:val="000000" w:themeColor="text1"/>
        </w:rPr>
        <w:t> </w:t>
      </w:r>
      <w:r w:rsidR="008430BD" w:rsidRPr="001C3EC8">
        <w:rPr>
          <w:color w:val="000000" w:themeColor="text1"/>
        </w:rPr>
        <w:t>2018. V roce 2019 byla celková suma uložených peněžitých trestů 252 592 000 Kč, tedy téměř trojnásobek částky v roce 2015.</w:t>
      </w:r>
    </w:p>
    <w:p w14:paraId="290748D2" w14:textId="75E62869" w:rsidR="008430BD" w:rsidRPr="001C3EC8" w:rsidRDefault="008430BD" w:rsidP="008430BD">
      <w:pPr>
        <w:pStyle w:val="Podnadpis"/>
        <w:rPr>
          <w:color w:val="000000" w:themeColor="text1"/>
        </w:rPr>
      </w:pPr>
      <w:bookmarkStart w:id="277" w:name="_Toc43841413"/>
      <w:bookmarkStart w:id="278" w:name="_Toc75952215"/>
      <w:r w:rsidRPr="001C3EC8">
        <w:rPr>
          <w:color w:val="000000" w:themeColor="text1"/>
        </w:rPr>
        <w:lastRenderedPageBreak/>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35</w:t>
      </w:r>
      <w:r w:rsidRPr="001C3EC8">
        <w:rPr>
          <w:noProof/>
          <w:color w:val="000000" w:themeColor="text1"/>
        </w:rPr>
        <w:fldChar w:fldCharType="end"/>
      </w:r>
      <w:r w:rsidRPr="001C3EC8">
        <w:rPr>
          <w:color w:val="000000" w:themeColor="text1"/>
        </w:rPr>
        <w:t>: OS – suma uložených peněžitých trestů</w:t>
      </w:r>
      <w:bookmarkEnd w:id="277"/>
      <w:bookmarkEnd w:id="278"/>
    </w:p>
    <w:p w14:paraId="17815BA3"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5D3F888F" wp14:editId="6966B1F5">
            <wp:extent cx="5115560" cy="3743960"/>
            <wp:effectExtent l="0" t="0" r="0" b="889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9914612" w14:textId="2C13D1B0" w:rsidR="00B07E76" w:rsidRDefault="008430BD" w:rsidP="008430BD">
      <w:pPr>
        <w:pStyle w:val="OdstavecASR"/>
        <w:rPr>
          <w:color w:val="000000" w:themeColor="text1"/>
        </w:rPr>
      </w:pPr>
      <w:r w:rsidRPr="001C3EC8">
        <w:rPr>
          <w:color w:val="000000" w:themeColor="text1"/>
        </w:rPr>
        <w:t xml:space="preserve">Vidíme, že </w:t>
      </w:r>
      <w:r w:rsidR="004A0CF5" w:rsidRPr="001C3EC8">
        <w:rPr>
          <w:color w:val="000000" w:themeColor="text1"/>
        </w:rPr>
        <w:t xml:space="preserve">v roce 2020 </w:t>
      </w:r>
      <w:r w:rsidRPr="001C3EC8">
        <w:rPr>
          <w:color w:val="000000" w:themeColor="text1"/>
        </w:rPr>
        <w:t>celková</w:t>
      </w:r>
      <w:r w:rsidR="00C11095" w:rsidRPr="001C3EC8">
        <w:rPr>
          <w:color w:val="000000" w:themeColor="text1"/>
        </w:rPr>
        <w:t xml:space="preserve"> hodnota </w:t>
      </w:r>
      <w:r w:rsidRPr="001C3EC8">
        <w:rPr>
          <w:color w:val="000000" w:themeColor="text1"/>
        </w:rPr>
        <w:t xml:space="preserve">uložených peněžitých trestů vzrostla (celkem výrazně asi </w:t>
      </w:r>
      <w:r w:rsidR="00120A38" w:rsidRPr="001C3EC8">
        <w:rPr>
          <w:color w:val="000000" w:themeColor="text1"/>
        </w:rPr>
        <w:t>o</w:t>
      </w:r>
      <w:r w:rsidR="00120A38">
        <w:rPr>
          <w:color w:val="000000" w:themeColor="text1"/>
        </w:rPr>
        <w:t> </w:t>
      </w:r>
      <w:r w:rsidRPr="001C3EC8">
        <w:rPr>
          <w:color w:val="000000" w:themeColor="text1"/>
        </w:rPr>
        <w:t xml:space="preserve">19 %) </w:t>
      </w:r>
      <w:r w:rsidR="00120A38" w:rsidRPr="001C3EC8">
        <w:rPr>
          <w:color w:val="000000" w:themeColor="text1"/>
        </w:rPr>
        <w:t>i</w:t>
      </w:r>
      <w:r w:rsidR="00120A38">
        <w:rPr>
          <w:color w:val="000000" w:themeColor="text1"/>
        </w:rPr>
        <w:t> </w:t>
      </w:r>
      <w:r w:rsidRPr="001C3EC8">
        <w:rPr>
          <w:color w:val="000000" w:themeColor="text1"/>
        </w:rPr>
        <w:t>přes pokles v počtu věcí. To je dáno jak výše diskutovaným</w:t>
      </w:r>
      <w:r w:rsidR="004A0CF5" w:rsidRPr="001C3EC8">
        <w:rPr>
          <w:color w:val="000000" w:themeColor="text1"/>
        </w:rPr>
        <w:t>i faktory</w:t>
      </w:r>
      <w:r w:rsidRPr="001C3EC8">
        <w:rPr>
          <w:color w:val="000000" w:themeColor="text1"/>
        </w:rPr>
        <w:t xml:space="preserve">, tak především nouzovým stavem na území ČR, kdy </w:t>
      </w:r>
      <w:r w:rsidR="00C11095" w:rsidRPr="001C3EC8">
        <w:rPr>
          <w:color w:val="000000" w:themeColor="text1"/>
        </w:rPr>
        <w:t>jsou ukládány</w:t>
      </w:r>
      <w:r w:rsidRPr="001C3EC8">
        <w:rPr>
          <w:color w:val="000000" w:themeColor="text1"/>
        </w:rPr>
        <w:t xml:space="preserve"> vyšší tresty včetně peněžitých, což dokládá graf níže.</w:t>
      </w:r>
    </w:p>
    <w:p w14:paraId="53547449" w14:textId="4EEEB7BA" w:rsidR="008430BD" w:rsidRPr="001C3EC8" w:rsidRDefault="008430BD" w:rsidP="008430BD">
      <w:pPr>
        <w:pStyle w:val="OdstavecASR"/>
        <w:rPr>
          <w:color w:val="000000" w:themeColor="text1"/>
        </w:rPr>
      </w:pPr>
      <w:r w:rsidRPr="001C3EC8">
        <w:rPr>
          <w:color w:val="000000" w:themeColor="text1"/>
        </w:rPr>
        <w:t xml:space="preserve">Při pohledu na delší časovou řadu lze nejprve konstatovat, že v letech 2012 až 2019 byla průměrná výše peněžitých trestů v nominálních hodnotách stále přibližně stejná </w:t>
      </w:r>
      <w:r w:rsidR="00120A38" w:rsidRPr="001C3EC8">
        <w:rPr>
          <w:color w:val="000000" w:themeColor="text1"/>
        </w:rPr>
        <w:t>a</w:t>
      </w:r>
      <w:r w:rsidR="00120A38">
        <w:rPr>
          <w:color w:val="000000" w:themeColor="text1"/>
        </w:rPr>
        <w:t> </w:t>
      </w:r>
      <w:r w:rsidRPr="001C3EC8">
        <w:rPr>
          <w:color w:val="000000" w:themeColor="text1"/>
        </w:rPr>
        <w:t xml:space="preserve">výrazně se neměnila. Téměř celý růst v celkové částce uložených trestů byl tedy způsoben nárůstem počtu uložených peněžitých trestů. V roce 2020 ale narostla průměrná výše uložených trestů na 31 000 Kč, tedy </w:t>
      </w:r>
      <w:r w:rsidR="00120A38" w:rsidRPr="001C3EC8">
        <w:rPr>
          <w:color w:val="000000" w:themeColor="text1"/>
        </w:rPr>
        <w:t>o</w:t>
      </w:r>
      <w:r w:rsidR="00120A38">
        <w:rPr>
          <w:color w:val="000000" w:themeColor="text1"/>
        </w:rPr>
        <w:t> </w:t>
      </w:r>
      <w:r w:rsidRPr="001C3EC8">
        <w:rPr>
          <w:color w:val="000000" w:themeColor="text1"/>
        </w:rPr>
        <w:t>více než 5 000 Kč (</w:t>
      </w:r>
      <w:r w:rsidR="00120A38" w:rsidRPr="001C3EC8">
        <w:rPr>
          <w:color w:val="000000" w:themeColor="text1"/>
        </w:rPr>
        <w:t>o</w:t>
      </w:r>
      <w:r w:rsidR="00120A38">
        <w:rPr>
          <w:color w:val="000000" w:themeColor="text1"/>
        </w:rPr>
        <w:t> </w:t>
      </w:r>
      <w:r w:rsidRPr="001C3EC8">
        <w:rPr>
          <w:color w:val="000000" w:themeColor="text1"/>
        </w:rPr>
        <w:t>20 %). To zřejmě souvisí s vyhlášeným nouzovým stavem na území ČR. Tato zpráva se však dále problematikou trestání během nouzového stavu nezabývá</w:t>
      </w:r>
    </w:p>
    <w:p w14:paraId="69FDE3B7" w14:textId="1D6ACD7A" w:rsidR="008430BD" w:rsidRPr="001C3EC8" w:rsidRDefault="008430BD" w:rsidP="008430BD">
      <w:pPr>
        <w:pStyle w:val="OdstavecASR"/>
        <w:rPr>
          <w:color w:val="000000" w:themeColor="text1"/>
        </w:rPr>
      </w:pPr>
      <w:r w:rsidRPr="001C3EC8">
        <w:rPr>
          <w:color w:val="000000" w:themeColor="text1"/>
        </w:rPr>
        <w:t xml:space="preserve">Nakonec je třeba ještě zmínit, že celkový počet odsouzených mezitím klesl. Podíl osob, kterým byl uložen peněžitý trest, na celkovém počtu odsouzených osob se tedy zvýšil ještě výrazněji, konkrétně </w:t>
      </w:r>
      <w:r w:rsidR="00120A38" w:rsidRPr="001C3EC8">
        <w:rPr>
          <w:color w:val="000000" w:themeColor="text1"/>
        </w:rPr>
        <w:t>z</w:t>
      </w:r>
      <w:r w:rsidR="00120A38">
        <w:rPr>
          <w:color w:val="000000" w:themeColor="text1"/>
        </w:rPr>
        <w:t> </w:t>
      </w:r>
      <w:r w:rsidRPr="001C3EC8">
        <w:rPr>
          <w:color w:val="000000" w:themeColor="text1"/>
        </w:rPr>
        <w:t xml:space="preserve">5,4 % v roce 2015 na </w:t>
      </w:r>
      <w:r w:rsidR="003A55F0" w:rsidRPr="001C3EC8">
        <w:rPr>
          <w:color w:val="000000" w:themeColor="text1"/>
        </w:rPr>
        <w:t>20,</w:t>
      </w:r>
      <w:r w:rsidR="00120A38" w:rsidRPr="001C3EC8">
        <w:rPr>
          <w:color w:val="000000" w:themeColor="text1"/>
        </w:rPr>
        <w:t>5</w:t>
      </w:r>
      <w:r w:rsidR="00120A38">
        <w:rPr>
          <w:color w:val="000000" w:themeColor="text1"/>
        </w:rPr>
        <w:t> </w:t>
      </w:r>
      <w:r w:rsidRPr="001C3EC8">
        <w:rPr>
          <w:color w:val="000000" w:themeColor="text1"/>
        </w:rPr>
        <w:t>% v roce 20</w:t>
      </w:r>
      <w:r w:rsidR="003A55F0" w:rsidRPr="001C3EC8">
        <w:rPr>
          <w:color w:val="000000" w:themeColor="text1"/>
        </w:rPr>
        <w:t>20</w:t>
      </w:r>
      <w:r w:rsidRPr="001C3EC8">
        <w:rPr>
          <w:color w:val="000000" w:themeColor="text1"/>
        </w:rPr>
        <w:t>.</w:t>
      </w:r>
    </w:p>
    <w:p w14:paraId="3C9E5095" w14:textId="06E6822F" w:rsidR="00FB79BD" w:rsidRPr="001C3EC8" w:rsidRDefault="00FB79BD" w:rsidP="008430BD">
      <w:pPr>
        <w:pStyle w:val="OdstavecASR"/>
        <w:rPr>
          <w:color w:val="000000" w:themeColor="text1"/>
        </w:rPr>
      </w:pPr>
    </w:p>
    <w:p w14:paraId="4C15E375" w14:textId="49B6EC25" w:rsidR="008430BD" w:rsidRPr="001C3EC8" w:rsidRDefault="008430BD" w:rsidP="008430BD">
      <w:pPr>
        <w:pStyle w:val="Podnadpis"/>
        <w:rPr>
          <w:color w:val="000000" w:themeColor="text1"/>
        </w:rPr>
      </w:pPr>
      <w:bookmarkStart w:id="279" w:name="_Toc43841414"/>
      <w:bookmarkStart w:id="280" w:name="_Toc75952216"/>
      <w:r w:rsidRPr="001C3EC8">
        <w:rPr>
          <w:color w:val="000000" w:themeColor="text1"/>
        </w:rPr>
        <w:lastRenderedPageBreak/>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36</w:t>
      </w:r>
      <w:r w:rsidRPr="001C3EC8">
        <w:rPr>
          <w:noProof/>
          <w:color w:val="000000" w:themeColor="text1"/>
        </w:rPr>
        <w:fldChar w:fldCharType="end"/>
      </w:r>
      <w:r w:rsidRPr="001C3EC8">
        <w:rPr>
          <w:color w:val="000000" w:themeColor="text1"/>
        </w:rPr>
        <w:t xml:space="preserve">: OS – počet </w:t>
      </w:r>
      <w:r w:rsidR="00120A38" w:rsidRPr="001C3EC8">
        <w:rPr>
          <w:color w:val="000000" w:themeColor="text1"/>
        </w:rPr>
        <w:t>a</w:t>
      </w:r>
      <w:r w:rsidR="00120A38">
        <w:rPr>
          <w:color w:val="000000" w:themeColor="text1"/>
        </w:rPr>
        <w:t> </w:t>
      </w:r>
      <w:r w:rsidRPr="001C3EC8">
        <w:rPr>
          <w:color w:val="000000" w:themeColor="text1"/>
        </w:rPr>
        <w:t>průměrná výše uložených peněžitých trestů</w:t>
      </w:r>
      <w:bookmarkEnd w:id="279"/>
      <w:bookmarkEnd w:id="280"/>
    </w:p>
    <w:p w14:paraId="7EC3E2A1" w14:textId="1ECCB0B0" w:rsidR="008430BD" w:rsidRPr="001C3EC8" w:rsidRDefault="00FB79BD" w:rsidP="008430BD">
      <w:pPr>
        <w:pStyle w:val="OdstavecASR"/>
        <w:rPr>
          <w:color w:val="000000" w:themeColor="text1"/>
        </w:rPr>
      </w:pPr>
      <w:r w:rsidRPr="001C3EC8">
        <w:rPr>
          <w:color w:val="000000" w:themeColor="text1"/>
        </w:rPr>
        <w:t xml:space="preserve"> </w:t>
      </w:r>
      <w:r w:rsidRPr="001C3EC8">
        <w:rPr>
          <w:noProof/>
          <w:color w:val="000000" w:themeColor="text1"/>
          <w:lang w:eastAsia="cs-CZ"/>
        </w:rPr>
        <w:drawing>
          <wp:inline distT="0" distB="0" distL="0" distR="0" wp14:anchorId="0EDB0BE8" wp14:editId="02129AE3">
            <wp:extent cx="5114925" cy="3743325"/>
            <wp:effectExtent l="0" t="0" r="0" b="9525"/>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BDA469B" w14:textId="37E4B805" w:rsidR="008430BD" w:rsidRPr="001C3EC8" w:rsidRDefault="008430BD" w:rsidP="008430BD">
      <w:pPr>
        <w:pStyle w:val="OdstavecASR"/>
        <w:rPr>
          <w:color w:val="000000" w:themeColor="text1"/>
        </w:rPr>
      </w:pPr>
      <w:r w:rsidRPr="001C3EC8">
        <w:rPr>
          <w:color w:val="000000" w:themeColor="text1"/>
        </w:rPr>
        <w:t xml:space="preserve">Výše uvedené údaje se však týkají pouze ukládání peněžitých trestů. Druhou stranou mince je otázka, zda je peněžitý trest splněn, nebo zda v důsledku jeho neplnění (tedy </w:t>
      </w:r>
      <w:proofErr w:type="gramStart"/>
      <w:r w:rsidRPr="001C3EC8">
        <w:rPr>
          <w:color w:val="000000" w:themeColor="text1"/>
        </w:rPr>
        <w:t>neplacení</w:t>
      </w:r>
      <w:proofErr w:type="gramEnd"/>
      <w:r w:rsidRPr="001C3EC8">
        <w:rPr>
          <w:color w:val="000000" w:themeColor="text1"/>
        </w:rPr>
        <w:t xml:space="preserve"> byť jen z části) musí soud rozhodnout </w:t>
      </w:r>
      <w:r w:rsidR="00120A38" w:rsidRPr="001C3EC8">
        <w:rPr>
          <w:color w:val="000000" w:themeColor="text1"/>
        </w:rPr>
        <w:t>o</w:t>
      </w:r>
      <w:r w:rsidR="00120A38">
        <w:rPr>
          <w:color w:val="000000" w:themeColor="text1"/>
        </w:rPr>
        <w:t> </w:t>
      </w:r>
      <w:r w:rsidRPr="001C3EC8">
        <w:rPr>
          <w:color w:val="000000" w:themeColor="text1"/>
        </w:rPr>
        <w:t>tzv. přeměně na trest jiný. V následující tabulce se tedy ještě krátce podíváme na pravomocné přeměny peněžitých trestů v jiný trest.</w:t>
      </w:r>
    </w:p>
    <w:p w14:paraId="78A32EAB" w14:textId="34F18E5A" w:rsidR="00031B7B" w:rsidRPr="001C3EC8" w:rsidRDefault="00031B7B" w:rsidP="00031B7B">
      <w:pPr>
        <w:pStyle w:val="OdstavecASR"/>
        <w:rPr>
          <w:color w:val="000000" w:themeColor="text1"/>
        </w:rPr>
      </w:pPr>
      <w:r w:rsidRPr="001C3EC8">
        <w:rPr>
          <w:color w:val="000000" w:themeColor="text1"/>
        </w:rPr>
        <w:t>V této souvislosti uvádíme, že od roku 2013 novelou provedenou zákonem č. 390/2012 Sb. přibyly k běžnému nařízení výkonu náhradního trestu odnětí svobody</w:t>
      </w:r>
      <w:r w:rsidRPr="001C3EC8">
        <w:rPr>
          <w:rStyle w:val="Znakapoznpodarou"/>
          <w:color w:val="000000" w:themeColor="text1"/>
        </w:rPr>
        <w:footnoteReference w:id="9"/>
      </w:r>
      <w:r w:rsidRPr="001C3EC8">
        <w:rPr>
          <w:color w:val="000000" w:themeColor="text1"/>
        </w:rPr>
        <w:t xml:space="preserve"> (NEPO) další dvě alternativní přeměny, </w:t>
      </w:r>
      <w:r w:rsidR="00120A38" w:rsidRPr="001C3EC8">
        <w:rPr>
          <w:color w:val="000000" w:themeColor="text1"/>
        </w:rPr>
        <w:t>a</w:t>
      </w:r>
      <w:r w:rsidR="00120A38">
        <w:rPr>
          <w:color w:val="000000" w:themeColor="text1"/>
        </w:rPr>
        <w:t> </w:t>
      </w:r>
      <w:r w:rsidRPr="001C3EC8">
        <w:rPr>
          <w:color w:val="000000" w:themeColor="text1"/>
        </w:rPr>
        <w:t xml:space="preserve">to v trest domácího vězení (DV) nebo v trest obecně prospěšných prací (OPP). V roce 2020 došlo v této oblasti opět k úpravě, </w:t>
      </w:r>
      <w:r w:rsidR="00120A38" w:rsidRPr="001C3EC8">
        <w:rPr>
          <w:color w:val="000000" w:themeColor="text1"/>
        </w:rPr>
        <w:t>a</w:t>
      </w:r>
      <w:r w:rsidR="00120A38">
        <w:rPr>
          <w:color w:val="000000" w:themeColor="text1"/>
        </w:rPr>
        <w:t> </w:t>
      </w:r>
      <w:r w:rsidRPr="001C3EC8">
        <w:rPr>
          <w:color w:val="000000" w:themeColor="text1"/>
        </w:rPr>
        <w:t xml:space="preserve">to novelou provedenou zákonem č. 333/2020 Sb., která zrušila při ukládání peněžitého trestu povinnost stanovit náhradní trest odnětí svobody </w:t>
      </w:r>
      <w:r w:rsidR="00120A38" w:rsidRPr="001C3EC8">
        <w:rPr>
          <w:color w:val="000000" w:themeColor="text1"/>
        </w:rPr>
        <w:t>a</w:t>
      </w:r>
      <w:r w:rsidR="00120A38">
        <w:rPr>
          <w:color w:val="000000" w:themeColor="text1"/>
        </w:rPr>
        <w:t> </w:t>
      </w:r>
      <w:r w:rsidRPr="001C3EC8">
        <w:rPr>
          <w:color w:val="000000" w:themeColor="text1"/>
        </w:rPr>
        <w:t>naproti tomu zavedla pevný přepočet nevykonaných peněžitých trestů nebo jejich zbytků v trest odnětí svobody. Tato novela nabyla účinnosti 1. října 2020.</w:t>
      </w:r>
    </w:p>
    <w:p w14:paraId="25CFDB3B" w14:textId="77777777" w:rsidR="00031B7B" w:rsidRPr="001C3EC8" w:rsidRDefault="00031B7B" w:rsidP="008430BD">
      <w:pPr>
        <w:pStyle w:val="OdstavecASR"/>
        <w:rPr>
          <w:color w:val="000000" w:themeColor="text1"/>
        </w:rPr>
      </w:pPr>
    </w:p>
    <w:p w14:paraId="359E50E7" w14:textId="77777777" w:rsidR="009716CA" w:rsidRPr="001C3EC8" w:rsidRDefault="009716CA">
      <w:pPr>
        <w:spacing w:after="160" w:line="259" w:lineRule="auto"/>
        <w:jc w:val="left"/>
        <w:rPr>
          <w:rFonts w:eastAsia="Times New Roman"/>
          <w:b/>
          <w:iCs/>
          <w:color w:val="000000" w:themeColor="text1"/>
          <w:spacing w:val="15"/>
          <w:szCs w:val="24"/>
        </w:rPr>
      </w:pPr>
      <w:r w:rsidRPr="001C3EC8">
        <w:rPr>
          <w:color w:val="000000" w:themeColor="text1"/>
        </w:rPr>
        <w:br w:type="page"/>
      </w:r>
    </w:p>
    <w:p w14:paraId="3FD3758F" w14:textId="2730718D" w:rsidR="008430BD" w:rsidRPr="001C3EC8" w:rsidRDefault="008430BD" w:rsidP="008430BD">
      <w:pPr>
        <w:pStyle w:val="Podnadpis"/>
        <w:rPr>
          <w:color w:val="000000" w:themeColor="text1"/>
        </w:rPr>
      </w:pPr>
      <w:bookmarkStart w:id="281" w:name="_Toc75952331"/>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28</w:t>
      </w:r>
      <w:r w:rsidRPr="001C3EC8">
        <w:rPr>
          <w:color w:val="000000" w:themeColor="text1"/>
        </w:rPr>
        <w:fldChar w:fldCharType="end"/>
      </w:r>
      <w:r w:rsidRPr="001C3EC8">
        <w:rPr>
          <w:color w:val="000000" w:themeColor="text1"/>
        </w:rPr>
        <w:t>: OS – pravomocné přeměny peněžitého trestu v jiný trest</w:t>
      </w:r>
      <w:bookmarkEnd w:id="281"/>
    </w:p>
    <w:tbl>
      <w:tblPr>
        <w:tblW w:w="5400" w:type="dxa"/>
        <w:tblCellMar>
          <w:left w:w="70" w:type="dxa"/>
          <w:right w:w="70" w:type="dxa"/>
        </w:tblCellMar>
        <w:tblLook w:val="04A0" w:firstRow="1" w:lastRow="0" w:firstColumn="1" w:lastColumn="0" w:noHBand="0" w:noVBand="1"/>
      </w:tblPr>
      <w:tblGrid>
        <w:gridCol w:w="1080"/>
        <w:gridCol w:w="1309"/>
        <w:gridCol w:w="668"/>
        <w:gridCol w:w="912"/>
        <w:gridCol w:w="1431"/>
      </w:tblGrid>
      <w:tr w:rsidR="008430BD" w:rsidRPr="001C3EC8" w14:paraId="3639D447" w14:textId="77777777" w:rsidTr="00E077F3">
        <w:trPr>
          <w:trHeight w:val="330"/>
        </w:trPr>
        <w:tc>
          <w:tcPr>
            <w:tcW w:w="1080" w:type="dxa"/>
            <w:vMerge w:val="restart"/>
            <w:tcBorders>
              <w:top w:val="double" w:sz="6" w:space="0" w:color="auto"/>
              <w:left w:val="nil"/>
              <w:bottom w:val="double" w:sz="6" w:space="0" w:color="000000"/>
              <w:right w:val="nil"/>
            </w:tcBorders>
            <w:noWrap/>
            <w:vAlign w:val="center"/>
            <w:hideMark/>
          </w:tcPr>
          <w:p w14:paraId="2E51D33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Rok</w:t>
            </w:r>
          </w:p>
        </w:tc>
        <w:tc>
          <w:tcPr>
            <w:tcW w:w="4320" w:type="dxa"/>
            <w:gridSpan w:val="4"/>
            <w:tcBorders>
              <w:top w:val="double" w:sz="6" w:space="0" w:color="auto"/>
              <w:left w:val="nil"/>
              <w:bottom w:val="nil"/>
              <w:right w:val="nil"/>
            </w:tcBorders>
            <w:noWrap/>
            <w:vAlign w:val="center"/>
            <w:hideMark/>
          </w:tcPr>
          <w:p w14:paraId="14204D1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Pravomocná přeměna v</w:t>
            </w:r>
          </w:p>
        </w:tc>
      </w:tr>
      <w:tr w:rsidR="008430BD" w:rsidRPr="001C3EC8" w14:paraId="0F8F415D" w14:textId="77777777" w:rsidTr="00E077F3">
        <w:trPr>
          <w:trHeight w:val="330"/>
        </w:trPr>
        <w:tc>
          <w:tcPr>
            <w:tcW w:w="0" w:type="auto"/>
            <w:vMerge/>
            <w:tcBorders>
              <w:top w:val="double" w:sz="6" w:space="0" w:color="auto"/>
              <w:left w:val="nil"/>
              <w:bottom w:val="double" w:sz="6" w:space="0" w:color="000000"/>
              <w:right w:val="nil"/>
            </w:tcBorders>
            <w:vAlign w:val="center"/>
            <w:hideMark/>
          </w:tcPr>
          <w:p w14:paraId="639183B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309" w:type="dxa"/>
            <w:tcBorders>
              <w:top w:val="nil"/>
              <w:left w:val="nil"/>
              <w:bottom w:val="double" w:sz="6" w:space="0" w:color="auto"/>
              <w:right w:val="nil"/>
            </w:tcBorders>
            <w:noWrap/>
            <w:vAlign w:val="center"/>
            <w:hideMark/>
          </w:tcPr>
          <w:p w14:paraId="607771E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NEPO</w:t>
            </w:r>
          </w:p>
        </w:tc>
        <w:tc>
          <w:tcPr>
            <w:tcW w:w="668" w:type="dxa"/>
            <w:tcBorders>
              <w:top w:val="nil"/>
              <w:left w:val="nil"/>
              <w:bottom w:val="double" w:sz="6" w:space="0" w:color="auto"/>
              <w:right w:val="nil"/>
            </w:tcBorders>
            <w:noWrap/>
            <w:vAlign w:val="center"/>
            <w:hideMark/>
          </w:tcPr>
          <w:p w14:paraId="6159840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DV</w:t>
            </w:r>
          </w:p>
        </w:tc>
        <w:tc>
          <w:tcPr>
            <w:tcW w:w="912" w:type="dxa"/>
            <w:tcBorders>
              <w:top w:val="nil"/>
              <w:left w:val="nil"/>
              <w:bottom w:val="double" w:sz="6" w:space="0" w:color="auto"/>
              <w:right w:val="nil"/>
            </w:tcBorders>
            <w:noWrap/>
            <w:vAlign w:val="center"/>
            <w:hideMark/>
          </w:tcPr>
          <w:p w14:paraId="422A197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OPP</w:t>
            </w:r>
          </w:p>
        </w:tc>
        <w:tc>
          <w:tcPr>
            <w:tcW w:w="1431" w:type="dxa"/>
            <w:tcBorders>
              <w:top w:val="nil"/>
              <w:left w:val="nil"/>
              <w:bottom w:val="double" w:sz="6" w:space="0" w:color="auto"/>
              <w:right w:val="nil"/>
            </w:tcBorders>
            <w:noWrap/>
            <w:vAlign w:val="center"/>
            <w:hideMark/>
          </w:tcPr>
          <w:p w14:paraId="641EE04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Celkem</w:t>
            </w:r>
          </w:p>
        </w:tc>
      </w:tr>
      <w:tr w:rsidR="008430BD" w:rsidRPr="001C3EC8" w14:paraId="6EE75AB8" w14:textId="77777777" w:rsidTr="00E077F3">
        <w:trPr>
          <w:trHeight w:val="345"/>
        </w:trPr>
        <w:tc>
          <w:tcPr>
            <w:tcW w:w="1080" w:type="dxa"/>
            <w:tcBorders>
              <w:top w:val="nil"/>
              <w:left w:val="nil"/>
              <w:bottom w:val="single" w:sz="8" w:space="0" w:color="auto"/>
              <w:right w:val="nil"/>
            </w:tcBorders>
            <w:noWrap/>
            <w:vAlign w:val="center"/>
            <w:hideMark/>
          </w:tcPr>
          <w:p w14:paraId="05CB556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2008</w:t>
            </w:r>
          </w:p>
        </w:tc>
        <w:tc>
          <w:tcPr>
            <w:tcW w:w="1309" w:type="dxa"/>
            <w:tcBorders>
              <w:top w:val="nil"/>
              <w:left w:val="nil"/>
              <w:bottom w:val="single" w:sz="8" w:space="0" w:color="auto"/>
              <w:right w:val="nil"/>
            </w:tcBorders>
            <w:noWrap/>
            <w:vAlign w:val="center"/>
            <w:hideMark/>
          </w:tcPr>
          <w:p w14:paraId="6497B7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697</w:t>
            </w:r>
          </w:p>
        </w:tc>
        <w:tc>
          <w:tcPr>
            <w:tcW w:w="668" w:type="dxa"/>
            <w:tcBorders>
              <w:top w:val="nil"/>
              <w:left w:val="nil"/>
              <w:bottom w:val="single" w:sz="8" w:space="0" w:color="auto"/>
              <w:right w:val="nil"/>
            </w:tcBorders>
            <w:noWrap/>
            <w:vAlign w:val="center"/>
            <w:hideMark/>
          </w:tcPr>
          <w:p w14:paraId="2B691DA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912" w:type="dxa"/>
            <w:tcBorders>
              <w:top w:val="nil"/>
              <w:left w:val="nil"/>
              <w:bottom w:val="single" w:sz="8" w:space="0" w:color="auto"/>
              <w:right w:val="nil"/>
            </w:tcBorders>
            <w:noWrap/>
            <w:vAlign w:val="center"/>
            <w:hideMark/>
          </w:tcPr>
          <w:p w14:paraId="7AA32E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1431" w:type="dxa"/>
            <w:tcBorders>
              <w:top w:val="nil"/>
              <w:left w:val="nil"/>
              <w:bottom w:val="single" w:sz="8" w:space="0" w:color="auto"/>
              <w:right w:val="nil"/>
            </w:tcBorders>
            <w:noWrap/>
            <w:vAlign w:val="center"/>
            <w:hideMark/>
          </w:tcPr>
          <w:p w14:paraId="612BF87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697</w:t>
            </w:r>
          </w:p>
        </w:tc>
      </w:tr>
      <w:tr w:rsidR="008430BD" w:rsidRPr="001C3EC8" w14:paraId="5F58B9A8" w14:textId="77777777" w:rsidTr="00E077F3">
        <w:trPr>
          <w:trHeight w:val="330"/>
        </w:trPr>
        <w:tc>
          <w:tcPr>
            <w:tcW w:w="1080" w:type="dxa"/>
            <w:tcBorders>
              <w:top w:val="nil"/>
              <w:left w:val="nil"/>
              <w:bottom w:val="single" w:sz="8" w:space="0" w:color="auto"/>
              <w:right w:val="nil"/>
            </w:tcBorders>
            <w:noWrap/>
            <w:vAlign w:val="center"/>
            <w:hideMark/>
          </w:tcPr>
          <w:p w14:paraId="3C904A3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2009</w:t>
            </w:r>
          </w:p>
        </w:tc>
        <w:tc>
          <w:tcPr>
            <w:tcW w:w="1309" w:type="dxa"/>
            <w:tcBorders>
              <w:top w:val="nil"/>
              <w:left w:val="nil"/>
              <w:bottom w:val="single" w:sz="8" w:space="0" w:color="auto"/>
              <w:right w:val="nil"/>
            </w:tcBorders>
            <w:noWrap/>
            <w:vAlign w:val="center"/>
            <w:hideMark/>
          </w:tcPr>
          <w:p w14:paraId="067C06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903</w:t>
            </w:r>
          </w:p>
        </w:tc>
        <w:tc>
          <w:tcPr>
            <w:tcW w:w="668" w:type="dxa"/>
            <w:tcBorders>
              <w:top w:val="nil"/>
              <w:left w:val="nil"/>
              <w:bottom w:val="single" w:sz="8" w:space="0" w:color="auto"/>
              <w:right w:val="nil"/>
            </w:tcBorders>
            <w:noWrap/>
            <w:vAlign w:val="center"/>
            <w:hideMark/>
          </w:tcPr>
          <w:p w14:paraId="5F0329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912" w:type="dxa"/>
            <w:tcBorders>
              <w:top w:val="nil"/>
              <w:left w:val="nil"/>
              <w:bottom w:val="single" w:sz="8" w:space="0" w:color="auto"/>
              <w:right w:val="nil"/>
            </w:tcBorders>
            <w:noWrap/>
            <w:vAlign w:val="center"/>
            <w:hideMark/>
          </w:tcPr>
          <w:p w14:paraId="176592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1431" w:type="dxa"/>
            <w:tcBorders>
              <w:top w:val="nil"/>
              <w:left w:val="nil"/>
              <w:bottom w:val="single" w:sz="8" w:space="0" w:color="auto"/>
              <w:right w:val="nil"/>
            </w:tcBorders>
            <w:noWrap/>
            <w:vAlign w:val="center"/>
            <w:hideMark/>
          </w:tcPr>
          <w:p w14:paraId="2EBE8DF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903</w:t>
            </w:r>
          </w:p>
        </w:tc>
      </w:tr>
      <w:tr w:rsidR="008430BD" w:rsidRPr="001C3EC8" w14:paraId="43341CFA" w14:textId="77777777" w:rsidTr="00E077F3">
        <w:trPr>
          <w:trHeight w:val="330"/>
        </w:trPr>
        <w:tc>
          <w:tcPr>
            <w:tcW w:w="1080" w:type="dxa"/>
            <w:tcBorders>
              <w:top w:val="nil"/>
              <w:left w:val="nil"/>
              <w:bottom w:val="single" w:sz="8" w:space="0" w:color="auto"/>
              <w:right w:val="nil"/>
            </w:tcBorders>
            <w:noWrap/>
            <w:vAlign w:val="center"/>
            <w:hideMark/>
          </w:tcPr>
          <w:p w14:paraId="69D751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2010</w:t>
            </w:r>
          </w:p>
        </w:tc>
        <w:tc>
          <w:tcPr>
            <w:tcW w:w="1309" w:type="dxa"/>
            <w:tcBorders>
              <w:top w:val="nil"/>
              <w:left w:val="nil"/>
              <w:bottom w:val="single" w:sz="8" w:space="0" w:color="auto"/>
              <w:right w:val="nil"/>
            </w:tcBorders>
            <w:noWrap/>
            <w:vAlign w:val="center"/>
            <w:hideMark/>
          </w:tcPr>
          <w:p w14:paraId="044E271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317</w:t>
            </w:r>
          </w:p>
        </w:tc>
        <w:tc>
          <w:tcPr>
            <w:tcW w:w="668" w:type="dxa"/>
            <w:tcBorders>
              <w:top w:val="nil"/>
              <w:left w:val="nil"/>
              <w:bottom w:val="single" w:sz="8" w:space="0" w:color="auto"/>
              <w:right w:val="nil"/>
            </w:tcBorders>
            <w:noWrap/>
            <w:vAlign w:val="center"/>
            <w:hideMark/>
          </w:tcPr>
          <w:p w14:paraId="453E410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912" w:type="dxa"/>
            <w:tcBorders>
              <w:top w:val="nil"/>
              <w:left w:val="nil"/>
              <w:bottom w:val="single" w:sz="8" w:space="0" w:color="auto"/>
              <w:right w:val="nil"/>
            </w:tcBorders>
            <w:noWrap/>
            <w:vAlign w:val="center"/>
            <w:hideMark/>
          </w:tcPr>
          <w:p w14:paraId="0051485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1431" w:type="dxa"/>
            <w:tcBorders>
              <w:top w:val="nil"/>
              <w:left w:val="nil"/>
              <w:bottom w:val="single" w:sz="8" w:space="0" w:color="auto"/>
              <w:right w:val="nil"/>
            </w:tcBorders>
            <w:noWrap/>
            <w:vAlign w:val="center"/>
            <w:hideMark/>
          </w:tcPr>
          <w:p w14:paraId="4950FE2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317</w:t>
            </w:r>
          </w:p>
        </w:tc>
      </w:tr>
      <w:tr w:rsidR="008430BD" w:rsidRPr="001C3EC8" w14:paraId="41F9EA68" w14:textId="77777777" w:rsidTr="00E077F3">
        <w:trPr>
          <w:trHeight w:val="330"/>
        </w:trPr>
        <w:tc>
          <w:tcPr>
            <w:tcW w:w="1080" w:type="dxa"/>
            <w:tcBorders>
              <w:top w:val="nil"/>
              <w:left w:val="nil"/>
              <w:bottom w:val="single" w:sz="8" w:space="0" w:color="auto"/>
              <w:right w:val="nil"/>
            </w:tcBorders>
            <w:noWrap/>
            <w:vAlign w:val="center"/>
            <w:hideMark/>
          </w:tcPr>
          <w:p w14:paraId="41488B1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2011</w:t>
            </w:r>
          </w:p>
        </w:tc>
        <w:tc>
          <w:tcPr>
            <w:tcW w:w="1309" w:type="dxa"/>
            <w:tcBorders>
              <w:top w:val="nil"/>
              <w:left w:val="nil"/>
              <w:bottom w:val="single" w:sz="8" w:space="0" w:color="auto"/>
              <w:right w:val="nil"/>
            </w:tcBorders>
            <w:noWrap/>
            <w:vAlign w:val="center"/>
            <w:hideMark/>
          </w:tcPr>
          <w:p w14:paraId="170DF8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166</w:t>
            </w:r>
          </w:p>
        </w:tc>
        <w:tc>
          <w:tcPr>
            <w:tcW w:w="668" w:type="dxa"/>
            <w:tcBorders>
              <w:top w:val="nil"/>
              <w:left w:val="nil"/>
              <w:bottom w:val="single" w:sz="8" w:space="0" w:color="auto"/>
              <w:right w:val="nil"/>
            </w:tcBorders>
            <w:noWrap/>
            <w:vAlign w:val="center"/>
            <w:hideMark/>
          </w:tcPr>
          <w:p w14:paraId="0DF407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912" w:type="dxa"/>
            <w:tcBorders>
              <w:top w:val="nil"/>
              <w:left w:val="nil"/>
              <w:bottom w:val="single" w:sz="8" w:space="0" w:color="auto"/>
              <w:right w:val="nil"/>
            </w:tcBorders>
            <w:noWrap/>
            <w:vAlign w:val="center"/>
            <w:hideMark/>
          </w:tcPr>
          <w:p w14:paraId="65CF2A0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1431" w:type="dxa"/>
            <w:tcBorders>
              <w:top w:val="nil"/>
              <w:left w:val="nil"/>
              <w:bottom w:val="single" w:sz="8" w:space="0" w:color="auto"/>
              <w:right w:val="nil"/>
            </w:tcBorders>
            <w:noWrap/>
            <w:vAlign w:val="center"/>
            <w:hideMark/>
          </w:tcPr>
          <w:p w14:paraId="578C71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166</w:t>
            </w:r>
          </w:p>
        </w:tc>
      </w:tr>
      <w:tr w:rsidR="008430BD" w:rsidRPr="001C3EC8" w14:paraId="4EF76102" w14:textId="77777777" w:rsidTr="00E077F3">
        <w:trPr>
          <w:trHeight w:val="330"/>
        </w:trPr>
        <w:tc>
          <w:tcPr>
            <w:tcW w:w="1080" w:type="dxa"/>
            <w:tcBorders>
              <w:top w:val="nil"/>
              <w:left w:val="nil"/>
              <w:bottom w:val="single" w:sz="8" w:space="0" w:color="auto"/>
              <w:right w:val="nil"/>
            </w:tcBorders>
            <w:noWrap/>
            <w:vAlign w:val="center"/>
            <w:hideMark/>
          </w:tcPr>
          <w:p w14:paraId="2BA2629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2012</w:t>
            </w:r>
          </w:p>
        </w:tc>
        <w:tc>
          <w:tcPr>
            <w:tcW w:w="1309" w:type="dxa"/>
            <w:tcBorders>
              <w:top w:val="nil"/>
              <w:left w:val="nil"/>
              <w:bottom w:val="single" w:sz="8" w:space="0" w:color="auto"/>
              <w:right w:val="nil"/>
            </w:tcBorders>
            <w:noWrap/>
            <w:vAlign w:val="center"/>
            <w:hideMark/>
          </w:tcPr>
          <w:p w14:paraId="0FABEC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w:t>
            </w:r>
          </w:p>
        </w:tc>
        <w:tc>
          <w:tcPr>
            <w:tcW w:w="668" w:type="dxa"/>
            <w:tcBorders>
              <w:top w:val="nil"/>
              <w:left w:val="nil"/>
              <w:bottom w:val="single" w:sz="8" w:space="0" w:color="auto"/>
              <w:right w:val="nil"/>
            </w:tcBorders>
            <w:noWrap/>
            <w:vAlign w:val="center"/>
            <w:hideMark/>
          </w:tcPr>
          <w:p w14:paraId="519A01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912" w:type="dxa"/>
            <w:tcBorders>
              <w:top w:val="nil"/>
              <w:left w:val="nil"/>
              <w:bottom w:val="single" w:sz="8" w:space="0" w:color="auto"/>
              <w:right w:val="nil"/>
            </w:tcBorders>
            <w:noWrap/>
            <w:vAlign w:val="center"/>
            <w:hideMark/>
          </w:tcPr>
          <w:p w14:paraId="1C3FB2F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w:t>
            </w:r>
          </w:p>
        </w:tc>
        <w:tc>
          <w:tcPr>
            <w:tcW w:w="1431" w:type="dxa"/>
            <w:tcBorders>
              <w:top w:val="nil"/>
              <w:left w:val="nil"/>
              <w:bottom w:val="single" w:sz="8" w:space="0" w:color="auto"/>
              <w:right w:val="nil"/>
            </w:tcBorders>
            <w:noWrap/>
            <w:vAlign w:val="center"/>
            <w:hideMark/>
          </w:tcPr>
          <w:p w14:paraId="52C0F1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w:t>
            </w:r>
          </w:p>
        </w:tc>
      </w:tr>
      <w:tr w:rsidR="008430BD" w:rsidRPr="001C3EC8" w14:paraId="6451FFFE" w14:textId="77777777" w:rsidTr="00E077F3">
        <w:trPr>
          <w:trHeight w:val="330"/>
        </w:trPr>
        <w:tc>
          <w:tcPr>
            <w:tcW w:w="1080" w:type="dxa"/>
            <w:tcBorders>
              <w:top w:val="nil"/>
              <w:left w:val="nil"/>
              <w:bottom w:val="single" w:sz="8" w:space="0" w:color="auto"/>
              <w:right w:val="nil"/>
            </w:tcBorders>
            <w:noWrap/>
            <w:vAlign w:val="center"/>
            <w:hideMark/>
          </w:tcPr>
          <w:p w14:paraId="035171B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2013</w:t>
            </w:r>
          </w:p>
        </w:tc>
        <w:tc>
          <w:tcPr>
            <w:tcW w:w="1309" w:type="dxa"/>
            <w:tcBorders>
              <w:top w:val="nil"/>
              <w:left w:val="nil"/>
              <w:bottom w:val="single" w:sz="8" w:space="0" w:color="auto"/>
              <w:right w:val="nil"/>
            </w:tcBorders>
            <w:noWrap/>
            <w:vAlign w:val="center"/>
            <w:hideMark/>
          </w:tcPr>
          <w:p w14:paraId="6684CA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77</w:t>
            </w:r>
          </w:p>
        </w:tc>
        <w:tc>
          <w:tcPr>
            <w:tcW w:w="668" w:type="dxa"/>
            <w:tcBorders>
              <w:top w:val="nil"/>
              <w:left w:val="nil"/>
              <w:bottom w:val="single" w:sz="8" w:space="0" w:color="auto"/>
              <w:right w:val="nil"/>
            </w:tcBorders>
            <w:noWrap/>
            <w:vAlign w:val="center"/>
            <w:hideMark/>
          </w:tcPr>
          <w:p w14:paraId="0F68F4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912" w:type="dxa"/>
            <w:tcBorders>
              <w:top w:val="nil"/>
              <w:left w:val="nil"/>
              <w:bottom w:val="single" w:sz="8" w:space="0" w:color="auto"/>
              <w:right w:val="nil"/>
            </w:tcBorders>
            <w:noWrap/>
            <w:vAlign w:val="center"/>
            <w:hideMark/>
          </w:tcPr>
          <w:p w14:paraId="4867C2C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w:t>
            </w:r>
          </w:p>
        </w:tc>
        <w:tc>
          <w:tcPr>
            <w:tcW w:w="1431" w:type="dxa"/>
            <w:tcBorders>
              <w:top w:val="nil"/>
              <w:left w:val="nil"/>
              <w:bottom w:val="single" w:sz="8" w:space="0" w:color="auto"/>
              <w:right w:val="nil"/>
            </w:tcBorders>
            <w:noWrap/>
            <w:vAlign w:val="center"/>
            <w:hideMark/>
          </w:tcPr>
          <w:p w14:paraId="4FA768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165</w:t>
            </w:r>
          </w:p>
        </w:tc>
      </w:tr>
      <w:tr w:rsidR="008430BD" w:rsidRPr="001C3EC8" w14:paraId="3636C748" w14:textId="77777777" w:rsidTr="00E077F3">
        <w:trPr>
          <w:trHeight w:val="330"/>
        </w:trPr>
        <w:tc>
          <w:tcPr>
            <w:tcW w:w="1080" w:type="dxa"/>
            <w:tcBorders>
              <w:top w:val="nil"/>
              <w:left w:val="nil"/>
              <w:bottom w:val="single" w:sz="8" w:space="0" w:color="auto"/>
              <w:right w:val="nil"/>
            </w:tcBorders>
            <w:noWrap/>
            <w:vAlign w:val="center"/>
            <w:hideMark/>
          </w:tcPr>
          <w:p w14:paraId="38D69CD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2014</w:t>
            </w:r>
          </w:p>
        </w:tc>
        <w:tc>
          <w:tcPr>
            <w:tcW w:w="1309" w:type="dxa"/>
            <w:tcBorders>
              <w:top w:val="nil"/>
              <w:left w:val="nil"/>
              <w:bottom w:val="single" w:sz="8" w:space="0" w:color="auto"/>
              <w:right w:val="nil"/>
            </w:tcBorders>
            <w:noWrap/>
            <w:vAlign w:val="center"/>
            <w:hideMark/>
          </w:tcPr>
          <w:p w14:paraId="1C4C08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w:t>
            </w:r>
          </w:p>
        </w:tc>
        <w:tc>
          <w:tcPr>
            <w:tcW w:w="668" w:type="dxa"/>
            <w:tcBorders>
              <w:top w:val="nil"/>
              <w:left w:val="nil"/>
              <w:bottom w:val="single" w:sz="8" w:space="0" w:color="auto"/>
              <w:right w:val="nil"/>
            </w:tcBorders>
            <w:noWrap/>
            <w:vAlign w:val="center"/>
            <w:hideMark/>
          </w:tcPr>
          <w:p w14:paraId="2BDD9EA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p>
        </w:tc>
        <w:tc>
          <w:tcPr>
            <w:tcW w:w="912" w:type="dxa"/>
            <w:tcBorders>
              <w:top w:val="nil"/>
              <w:left w:val="nil"/>
              <w:bottom w:val="single" w:sz="8" w:space="0" w:color="auto"/>
              <w:right w:val="nil"/>
            </w:tcBorders>
            <w:noWrap/>
            <w:vAlign w:val="center"/>
            <w:hideMark/>
          </w:tcPr>
          <w:p w14:paraId="701D6F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431" w:type="dxa"/>
            <w:tcBorders>
              <w:top w:val="nil"/>
              <w:left w:val="nil"/>
              <w:bottom w:val="single" w:sz="8" w:space="0" w:color="auto"/>
              <w:right w:val="nil"/>
            </w:tcBorders>
            <w:noWrap/>
            <w:vAlign w:val="center"/>
            <w:hideMark/>
          </w:tcPr>
          <w:p w14:paraId="3454D9D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171</w:t>
            </w:r>
          </w:p>
        </w:tc>
      </w:tr>
      <w:tr w:rsidR="008430BD" w:rsidRPr="001C3EC8" w14:paraId="00B73E6C" w14:textId="77777777" w:rsidTr="00E077F3">
        <w:trPr>
          <w:trHeight w:val="330"/>
        </w:trPr>
        <w:tc>
          <w:tcPr>
            <w:tcW w:w="1080" w:type="dxa"/>
            <w:tcBorders>
              <w:top w:val="nil"/>
              <w:left w:val="nil"/>
              <w:bottom w:val="single" w:sz="8" w:space="0" w:color="auto"/>
              <w:right w:val="nil"/>
            </w:tcBorders>
            <w:noWrap/>
            <w:vAlign w:val="center"/>
            <w:hideMark/>
          </w:tcPr>
          <w:p w14:paraId="6E87E0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2015</w:t>
            </w:r>
          </w:p>
        </w:tc>
        <w:tc>
          <w:tcPr>
            <w:tcW w:w="1309" w:type="dxa"/>
            <w:tcBorders>
              <w:top w:val="nil"/>
              <w:left w:val="nil"/>
              <w:bottom w:val="single" w:sz="8" w:space="0" w:color="auto"/>
              <w:right w:val="nil"/>
            </w:tcBorders>
            <w:noWrap/>
            <w:vAlign w:val="center"/>
            <w:hideMark/>
          </w:tcPr>
          <w:p w14:paraId="6DB7F7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w:t>
            </w:r>
          </w:p>
        </w:tc>
        <w:tc>
          <w:tcPr>
            <w:tcW w:w="668" w:type="dxa"/>
            <w:tcBorders>
              <w:top w:val="nil"/>
              <w:left w:val="nil"/>
              <w:bottom w:val="single" w:sz="8" w:space="0" w:color="auto"/>
              <w:right w:val="nil"/>
            </w:tcBorders>
            <w:noWrap/>
            <w:vAlign w:val="center"/>
            <w:hideMark/>
          </w:tcPr>
          <w:p w14:paraId="459FCD7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p>
        </w:tc>
        <w:tc>
          <w:tcPr>
            <w:tcW w:w="912" w:type="dxa"/>
            <w:tcBorders>
              <w:top w:val="nil"/>
              <w:left w:val="nil"/>
              <w:bottom w:val="single" w:sz="8" w:space="0" w:color="auto"/>
              <w:right w:val="nil"/>
            </w:tcBorders>
            <w:noWrap/>
            <w:vAlign w:val="center"/>
            <w:hideMark/>
          </w:tcPr>
          <w:p w14:paraId="1E9AE6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c>
          <w:tcPr>
            <w:tcW w:w="1431" w:type="dxa"/>
            <w:tcBorders>
              <w:top w:val="nil"/>
              <w:left w:val="nil"/>
              <w:bottom w:val="single" w:sz="8" w:space="0" w:color="auto"/>
              <w:right w:val="nil"/>
            </w:tcBorders>
            <w:noWrap/>
            <w:vAlign w:val="center"/>
            <w:hideMark/>
          </w:tcPr>
          <w:p w14:paraId="379C42B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119</w:t>
            </w:r>
          </w:p>
        </w:tc>
      </w:tr>
      <w:tr w:rsidR="008430BD" w:rsidRPr="001C3EC8" w14:paraId="5ACD3ECA" w14:textId="77777777" w:rsidTr="00E077F3">
        <w:trPr>
          <w:trHeight w:val="330"/>
        </w:trPr>
        <w:tc>
          <w:tcPr>
            <w:tcW w:w="1080" w:type="dxa"/>
            <w:tcBorders>
              <w:top w:val="nil"/>
              <w:left w:val="nil"/>
              <w:bottom w:val="single" w:sz="8" w:space="0" w:color="auto"/>
              <w:right w:val="nil"/>
            </w:tcBorders>
            <w:noWrap/>
            <w:vAlign w:val="center"/>
            <w:hideMark/>
          </w:tcPr>
          <w:p w14:paraId="10E258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2016</w:t>
            </w:r>
          </w:p>
        </w:tc>
        <w:tc>
          <w:tcPr>
            <w:tcW w:w="1309" w:type="dxa"/>
            <w:tcBorders>
              <w:top w:val="nil"/>
              <w:left w:val="nil"/>
              <w:bottom w:val="single" w:sz="8" w:space="0" w:color="auto"/>
              <w:right w:val="nil"/>
            </w:tcBorders>
            <w:noWrap/>
            <w:vAlign w:val="center"/>
            <w:hideMark/>
          </w:tcPr>
          <w:p w14:paraId="566DDB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w:t>
            </w:r>
          </w:p>
        </w:tc>
        <w:tc>
          <w:tcPr>
            <w:tcW w:w="668" w:type="dxa"/>
            <w:tcBorders>
              <w:top w:val="nil"/>
              <w:left w:val="nil"/>
              <w:bottom w:val="single" w:sz="8" w:space="0" w:color="auto"/>
              <w:right w:val="nil"/>
            </w:tcBorders>
            <w:noWrap/>
            <w:vAlign w:val="center"/>
            <w:hideMark/>
          </w:tcPr>
          <w:p w14:paraId="4F8E3E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p>
        </w:tc>
        <w:tc>
          <w:tcPr>
            <w:tcW w:w="912" w:type="dxa"/>
            <w:tcBorders>
              <w:top w:val="nil"/>
              <w:left w:val="nil"/>
              <w:bottom w:val="single" w:sz="8" w:space="0" w:color="auto"/>
              <w:right w:val="nil"/>
            </w:tcBorders>
            <w:noWrap/>
            <w:vAlign w:val="center"/>
            <w:hideMark/>
          </w:tcPr>
          <w:p w14:paraId="1F0B57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c>
          <w:tcPr>
            <w:tcW w:w="1431" w:type="dxa"/>
            <w:tcBorders>
              <w:top w:val="nil"/>
              <w:left w:val="nil"/>
              <w:bottom w:val="single" w:sz="8" w:space="0" w:color="auto"/>
              <w:right w:val="nil"/>
            </w:tcBorders>
            <w:noWrap/>
            <w:vAlign w:val="center"/>
            <w:hideMark/>
          </w:tcPr>
          <w:p w14:paraId="112F333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121</w:t>
            </w:r>
          </w:p>
        </w:tc>
      </w:tr>
      <w:tr w:rsidR="008430BD" w:rsidRPr="001C3EC8" w14:paraId="0E481E6A" w14:textId="77777777" w:rsidTr="00E077F3">
        <w:trPr>
          <w:trHeight w:val="330"/>
        </w:trPr>
        <w:tc>
          <w:tcPr>
            <w:tcW w:w="1080" w:type="dxa"/>
            <w:tcBorders>
              <w:top w:val="nil"/>
              <w:left w:val="nil"/>
              <w:bottom w:val="single" w:sz="8" w:space="0" w:color="auto"/>
              <w:right w:val="nil"/>
            </w:tcBorders>
            <w:noWrap/>
            <w:vAlign w:val="center"/>
            <w:hideMark/>
          </w:tcPr>
          <w:p w14:paraId="0EEEBB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2017</w:t>
            </w:r>
          </w:p>
        </w:tc>
        <w:tc>
          <w:tcPr>
            <w:tcW w:w="1309" w:type="dxa"/>
            <w:tcBorders>
              <w:top w:val="nil"/>
              <w:left w:val="nil"/>
              <w:bottom w:val="single" w:sz="8" w:space="0" w:color="auto"/>
              <w:right w:val="nil"/>
            </w:tcBorders>
            <w:noWrap/>
            <w:vAlign w:val="center"/>
            <w:hideMark/>
          </w:tcPr>
          <w:p w14:paraId="77A9665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w:t>
            </w:r>
          </w:p>
        </w:tc>
        <w:tc>
          <w:tcPr>
            <w:tcW w:w="668" w:type="dxa"/>
            <w:tcBorders>
              <w:top w:val="nil"/>
              <w:left w:val="nil"/>
              <w:bottom w:val="single" w:sz="8" w:space="0" w:color="auto"/>
              <w:right w:val="nil"/>
            </w:tcBorders>
            <w:noWrap/>
            <w:vAlign w:val="center"/>
            <w:hideMark/>
          </w:tcPr>
          <w:p w14:paraId="38C746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912" w:type="dxa"/>
            <w:tcBorders>
              <w:top w:val="nil"/>
              <w:left w:val="nil"/>
              <w:bottom w:val="single" w:sz="8" w:space="0" w:color="auto"/>
              <w:right w:val="nil"/>
            </w:tcBorders>
            <w:noWrap/>
            <w:vAlign w:val="center"/>
            <w:hideMark/>
          </w:tcPr>
          <w:p w14:paraId="4FEC9B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w:t>
            </w:r>
          </w:p>
        </w:tc>
        <w:tc>
          <w:tcPr>
            <w:tcW w:w="1431" w:type="dxa"/>
            <w:tcBorders>
              <w:top w:val="nil"/>
              <w:left w:val="nil"/>
              <w:bottom w:val="single" w:sz="8" w:space="0" w:color="auto"/>
              <w:right w:val="nil"/>
            </w:tcBorders>
            <w:noWrap/>
            <w:vAlign w:val="center"/>
            <w:hideMark/>
          </w:tcPr>
          <w:p w14:paraId="430412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131</w:t>
            </w:r>
          </w:p>
        </w:tc>
      </w:tr>
      <w:tr w:rsidR="008430BD" w:rsidRPr="001C3EC8" w14:paraId="34950368" w14:textId="77777777" w:rsidTr="00E077F3">
        <w:trPr>
          <w:trHeight w:val="330"/>
        </w:trPr>
        <w:tc>
          <w:tcPr>
            <w:tcW w:w="1080" w:type="dxa"/>
            <w:tcBorders>
              <w:top w:val="nil"/>
              <w:left w:val="nil"/>
              <w:bottom w:val="single" w:sz="8" w:space="0" w:color="auto"/>
              <w:right w:val="nil"/>
            </w:tcBorders>
            <w:noWrap/>
            <w:vAlign w:val="center"/>
            <w:hideMark/>
          </w:tcPr>
          <w:p w14:paraId="7FC379A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2018</w:t>
            </w:r>
          </w:p>
        </w:tc>
        <w:tc>
          <w:tcPr>
            <w:tcW w:w="1309" w:type="dxa"/>
            <w:tcBorders>
              <w:top w:val="nil"/>
              <w:left w:val="nil"/>
              <w:bottom w:val="single" w:sz="8" w:space="0" w:color="auto"/>
              <w:right w:val="nil"/>
            </w:tcBorders>
            <w:noWrap/>
            <w:vAlign w:val="center"/>
            <w:hideMark/>
          </w:tcPr>
          <w:p w14:paraId="091F28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w:t>
            </w:r>
          </w:p>
        </w:tc>
        <w:tc>
          <w:tcPr>
            <w:tcW w:w="668" w:type="dxa"/>
            <w:tcBorders>
              <w:top w:val="nil"/>
              <w:left w:val="nil"/>
              <w:bottom w:val="single" w:sz="8" w:space="0" w:color="auto"/>
              <w:right w:val="nil"/>
            </w:tcBorders>
            <w:noWrap/>
            <w:vAlign w:val="center"/>
            <w:hideMark/>
          </w:tcPr>
          <w:p w14:paraId="0B571F3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p>
        </w:tc>
        <w:tc>
          <w:tcPr>
            <w:tcW w:w="912" w:type="dxa"/>
            <w:tcBorders>
              <w:top w:val="nil"/>
              <w:left w:val="nil"/>
              <w:bottom w:val="single" w:sz="8" w:space="0" w:color="auto"/>
              <w:right w:val="nil"/>
            </w:tcBorders>
            <w:noWrap/>
            <w:vAlign w:val="center"/>
            <w:hideMark/>
          </w:tcPr>
          <w:p w14:paraId="2854B1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w:t>
            </w:r>
          </w:p>
        </w:tc>
        <w:tc>
          <w:tcPr>
            <w:tcW w:w="1431" w:type="dxa"/>
            <w:tcBorders>
              <w:top w:val="nil"/>
              <w:left w:val="nil"/>
              <w:bottom w:val="single" w:sz="8" w:space="0" w:color="auto"/>
              <w:right w:val="nil"/>
            </w:tcBorders>
            <w:noWrap/>
            <w:vAlign w:val="center"/>
            <w:hideMark/>
          </w:tcPr>
          <w:p w14:paraId="541B40E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182</w:t>
            </w:r>
          </w:p>
        </w:tc>
      </w:tr>
      <w:tr w:rsidR="008430BD" w:rsidRPr="001C3EC8" w14:paraId="436EE66A" w14:textId="77777777" w:rsidTr="00E077F3">
        <w:trPr>
          <w:trHeight w:val="330"/>
        </w:trPr>
        <w:tc>
          <w:tcPr>
            <w:tcW w:w="1080" w:type="dxa"/>
            <w:tcBorders>
              <w:top w:val="nil"/>
              <w:left w:val="nil"/>
              <w:bottom w:val="single" w:sz="8" w:space="0" w:color="auto"/>
              <w:right w:val="nil"/>
            </w:tcBorders>
            <w:noWrap/>
            <w:vAlign w:val="center"/>
            <w:hideMark/>
          </w:tcPr>
          <w:p w14:paraId="53B0766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2019</w:t>
            </w:r>
          </w:p>
        </w:tc>
        <w:tc>
          <w:tcPr>
            <w:tcW w:w="1309" w:type="dxa"/>
            <w:tcBorders>
              <w:top w:val="nil"/>
              <w:left w:val="nil"/>
              <w:bottom w:val="single" w:sz="8" w:space="0" w:color="auto"/>
              <w:right w:val="nil"/>
            </w:tcBorders>
            <w:noWrap/>
            <w:vAlign w:val="center"/>
            <w:hideMark/>
          </w:tcPr>
          <w:p w14:paraId="33BC6F5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c>
          <w:tcPr>
            <w:tcW w:w="668" w:type="dxa"/>
            <w:tcBorders>
              <w:top w:val="nil"/>
              <w:left w:val="nil"/>
              <w:bottom w:val="single" w:sz="8" w:space="0" w:color="auto"/>
              <w:right w:val="nil"/>
            </w:tcBorders>
            <w:noWrap/>
            <w:vAlign w:val="center"/>
            <w:hideMark/>
          </w:tcPr>
          <w:p w14:paraId="5F094A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p>
        </w:tc>
        <w:tc>
          <w:tcPr>
            <w:tcW w:w="912" w:type="dxa"/>
            <w:tcBorders>
              <w:top w:val="nil"/>
              <w:left w:val="nil"/>
              <w:bottom w:val="single" w:sz="8" w:space="0" w:color="auto"/>
              <w:right w:val="nil"/>
            </w:tcBorders>
            <w:noWrap/>
            <w:vAlign w:val="center"/>
            <w:hideMark/>
          </w:tcPr>
          <w:p w14:paraId="027568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431" w:type="dxa"/>
            <w:tcBorders>
              <w:top w:val="nil"/>
              <w:left w:val="nil"/>
              <w:bottom w:val="single" w:sz="8" w:space="0" w:color="auto"/>
              <w:right w:val="nil"/>
            </w:tcBorders>
            <w:noWrap/>
            <w:vAlign w:val="center"/>
            <w:hideMark/>
          </w:tcPr>
          <w:p w14:paraId="6D4677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236</w:t>
            </w:r>
          </w:p>
        </w:tc>
      </w:tr>
      <w:tr w:rsidR="008430BD" w:rsidRPr="001C3EC8" w14:paraId="5E3607FC" w14:textId="77777777" w:rsidTr="00E077F3">
        <w:trPr>
          <w:trHeight w:val="330"/>
        </w:trPr>
        <w:tc>
          <w:tcPr>
            <w:tcW w:w="1080" w:type="dxa"/>
            <w:tcBorders>
              <w:top w:val="nil"/>
              <w:left w:val="nil"/>
              <w:bottom w:val="double" w:sz="6" w:space="0" w:color="auto"/>
              <w:right w:val="nil"/>
            </w:tcBorders>
            <w:noWrap/>
            <w:vAlign w:val="center"/>
            <w:hideMark/>
          </w:tcPr>
          <w:p w14:paraId="108A53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2020</w:t>
            </w:r>
          </w:p>
        </w:tc>
        <w:tc>
          <w:tcPr>
            <w:tcW w:w="1309" w:type="dxa"/>
            <w:tcBorders>
              <w:top w:val="nil"/>
              <w:left w:val="nil"/>
              <w:bottom w:val="double" w:sz="6" w:space="0" w:color="auto"/>
              <w:right w:val="nil"/>
            </w:tcBorders>
            <w:noWrap/>
            <w:vAlign w:val="center"/>
            <w:hideMark/>
          </w:tcPr>
          <w:p w14:paraId="25B1BA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139</w:t>
            </w:r>
          </w:p>
        </w:tc>
        <w:tc>
          <w:tcPr>
            <w:tcW w:w="668" w:type="dxa"/>
            <w:tcBorders>
              <w:top w:val="nil"/>
              <w:left w:val="nil"/>
              <w:bottom w:val="double" w:sz="6" w:space="0" w:color="auto"/>
              <w:right w:val="nil"/>
            </w:tcBorders>
            <w:noWrap/>
            <w:vAlign w:val="center"/>
            <w:hideMark/>
          </w:tcPr>
          <w:p w14:paraId="2E4218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912" w:type="dxa"/>
            <w:tcBorders>
              <w:top w:val="nil"/>
              <w:left w:val="nil"/>
              <w:bottom w:val="double" w:sz="6" w:space="0" w:color="auto"/>
              <w:right w:val="nil"/>
            </w:tcBorders>
            <w:noWrap/>
            <w:vAlign w:val="center"/>
            <w:hideMark/>
          </w:tcPr>
          <w:p w14:paraId="38AF70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w:t>
            </w:r>
          </w:p>
        </w:tc>
        <w:tc>
          <w:tcPr>
            <w:tcW w:w="1431" w:type="dxa"/>
            <w:tcBorders>
              <w:top w:val="nil"/>
              <w:left w:val="nil"/>
              <w:bottom w:val="double" w:sz="6" w:space="0" w:color="auto"/>
              <w:right w:val="nil"/>
            </w:tcBorders>
            <w:noWrap/>
            <w:vAlign w:val="center"/>
            <w:hideMark/>
          </w:tcPr>
          <w:p w14:paraId="3D6B736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233</w:t>
            </w:r>
          </w:p>
        </w:tc>
      </w:tr>
    </w:tbl>
    <w:p w14:paraId="59DD2DC8" w14:textId="77777777" w:rsidR="008430BD" w:rsidRPr="001C3EC8" w:rsidRDefault="008430BD" w:rsidP="008430BD">
      <w:pPr>
        <w:pStyle w:val="OdstavecASR"/>
        <w:rPr>
          <w:color w:val="000000" w:themeColor="text1"/>
        </w:rPr>
      </w:pPr>
    </w:p>
    <w:p w14:paraId="3A1BEC22" w14:textId="4A61A9E7" w:rsidR="008430BD" w:rsidRPr="001C3EC8" w:rsidRDefault="004A0CF5" w:rsidP="008430BD">
      <w:pPr>
        <w:pStyle w:val="OdstavecASR"/>
        <w:rPr>
          <w:color w:val="000000" w:themeColor="text1"/>
        </w:rPr>
      </w:pPr>
      <w:r w:rsidRPr="001C3EC8">
        <w:rPr>
          <w:color w:val="000000" w:themeColor="text1"/>
        </w:rPr>
        <w:t>Z tabulky v</w:t>
      </w:r>
      <w:r w:rsidR="008430BD" w:rsidRPr="001C3EC8">
        <w:rPr>
          <w:color w:val="000000" w:themeColor="text1"/>
        </w:rPr>
        <w:t>yplývají zajímavé skutečnosti:</w:t>
      </w:r>
    </w:p>
    <w:p w14:paraId="5C3EAF17" w14:textId="77777777" w:rsidR="008430BD" w:rsidRPr="001C3EC8" w:rsidRDefault="008430BD" w:rsidP="008430BD">
      <w:pPr>
        <w:pStyle w:val="OdstavecASR"/>
        <w:numPr>
          <w:ilvl w:val="0"/>
          <w:numId w:val="17"/>
        </w:numPr>
        <w:rPr>
          <w:color w:val="000000" w:themeColor="text1"/>
        </w:rPr>
      </w:pPr>
      <w:r w:rsidRPr="001C3EC8">
        <w:rPr>
          <w:color w:val="000000" w:themeColor="text1"/>
        </w:rPr>
        <w:t>Rok 2009 představuje nejvyšší počet přeměn, resp. nařízení výkonu náhradního trestu odnětí svobody (NEPO). Následně až do roku 2015 počet těchto přeměn významně klesl na nejnižší stav. To zcela koresponduje s poklesem počtu ukládaných peněžitých trestů.</w:t>
      </w:r>
    </w:p>
    <w:p w14:paraId="6BCFDDEB" w14:textId="3E43846C" w:rsidR="008430BD" w:rsidRPr="001C3EC8" w:rsidRDefault="008430BD" w:rsidP="008430BD">
      <w:pPr>
        <w:pStyle w:val="OdstavecASR"/>
        <w:numPr>
          <w:ilvl w:val="0"/>
          <w:numId w:val="17"/>
        </w:numPr>
        <w:rPr>
          <w:color w:val="000000" w:themeColor="text1"/>
        </w:rPr>
      </w:pPr>
      <w:r w:rsidRPr="001C3EC8">
        <w:rPr>
          <w:color w:val="000000" w:themeColor="text1"/>
        </w:rPr>
        <w:t>Z nových alternativních přeměn od roku 2013 se místo nařízení náhradního trestu odnětí svobody velmi často, v prvních dvou letech dokonce více, využívá přeměna v trest obecně prospěšných prací</w:t>
      </w:r>
      <w:r w:rsidR="004A0CF5" w:rsidRPr="001C3EC8">
        <w:rPr>
          <w:color w:val="000000" w:themeColor="text1"/>
        </w:rPr>
        <w:t xml:space="preserve">, </w:t>
      </w:r>
      <w:r w:rsidR="00120A38" w:rsidRPr="001C3EC8">
        <w:rPr>
          <w:color w:val="000000" w:themeColor="text1"/>
        </w:rPr>
        <w:t>a</w:t>
      </w:r>
      <w:r w:rsidR="00120A38">
        <w:rPr>
          <w:color w:val="000000" w:themeColor="text1"/>
        </w:rPr>
        <w:t> </w:t>
      </w:r>
      <w:r w:rsidR="004A0CF5" w:rsidRPr="001C3EC8">
        <w:rPr>
          <w:color w:val="000000" w:themeColor="text1"/>
        </w:rPr>
        <w:t xml:space="preserve">to </w:t>
      </w:r>
      <w:r w:rsidRPr="001C3EC8">
        <w:rPr>
          <w:color w:val="000000" w:themeColor="text1"/>
        </w:rPr>
        <w:t xml:space="preserve">nejen vzhledem k diametrálním rozdílům v nákladech státu na výkon těchto trestů, ale </w:t>
      </w:r>
      <w:r w:rsidR="00120A38" w:rsidRPr="001C3EC8">
        <w:rPr>
          <w:color w:val="000000" w:themeColor="text1"/>
        </w:rPr>
        <w:t>i</w:t>
      </w:r>
      <w:r w:rsidR="00120A38">
        <w:rPr>
          <w:color w:val="000000" w:themeColor="text1"/>
        </w:rPr>
        <w:t> </w:t>
      </w:r>
      <w:r w:rsidRPr="001C3EC8">
        <w:rPr>
          <w:color w:val="000000" w:themeColor="text1"/>
        </w:rPr>
        <w:t>z pohledu menšího zásahu do lidských svobod.</w:t>
      </w:r>
    </w:p>
    <w:p w14:paraId="20817509" w14:textId="03493137" w:rsidR="008430BD" w:rsidRPr="001C3EC8" w:rsidRDefault="008430BD" w:rsidP="008430BD">
      <w:pPr>
        <w:pStyle w:val="OdstavecASR"/>
        <w:numPr>
          <w:ilvl w:val="0"/>
          <w:numId w:val="17"/>
        </w:numPr>
        <w:rPr>
          <w:color w:val="000000" w:themeColor="text1"/>
        </w:rPr>
      </w:pPr>
      <w:r w:rsidRPr="001C3EC8">
        <w:rPr>
          <w:color w:val="000000" w:themeColor="text1"/>
        </w:rPr>
        <w:t xml:space="preserve">Počet přeměn v trest odnětí svobody, resp. nařízení výkonu náhradního trestu odnětí svobody </w:t>
      </w:r>
      <w:r w:rsidR="00120A38" w:rsidRPr="001C3EC8">
        <w:rPr>
          <w:color w:val="000000" w:themeColor="text1"/>
        </w:rPr>
        <w:t>a</w:t>
      </w:r>
      <w:r w:rsidR="00120A38">
        <w:rPr>
          <w:color w:val="000000" w:themeColor="text1"/>
        </w:rPr>
        <w:t> </w:t>
      </w:r>
      <w:r w:rsidRPr="001C3EC8">
        <w:rPr>
          <w:color w:val="000000" w:themeColor="text1"/>
        </w:rPr>
        <w:t xml:space="preserve">zčásti </w:t>
      </w:r>
      <w:r w:rsidR="00120A38" w:rsidRPr="001C3EC8">
        <w:rPr>
          <w:color w:val="000000" w:themeColor="text1"/>
        </w:rPr>
        <w:t>i</w:t>
      </w:r>
      <w:r w:rsidR="00120A38">
        <w:rPr>
          <w:color w:val="000000" w:themeColor="text1"/>
        </w:rPr>
        <w:t> </w:t>
      </w:r>
      <w:r w:rsidRPr="001C3EC8">
        <w:rPr>
          <w:color w:val="000000" w:themeColor="text1"/>
        </w:rPr>
        <w:t xml:space="preserve">přeměn v trest obecně prospěšných prací sice od roku 2018 znovu narůstají, ale nerostou tak rychle jako počet uložených trestů </w:t>
      </w:r>
      <w:r w:rsidR="00120A38" w:rsidRPr="001C3EC8">
        <w:rPr>
          <w:color w:val="000000" w:themeColor="text1"/>
        </w:rPr>
        <w:t>a</w:t>
      </w:r>
      <w:r w:rsidR="00120A38">
        <w:rPr>
          <w:color w:val="000000" w:themeColor="text1"/>
        </w:rPr>
        <w:t> </w:t>
      </w:r>
      <w:r w:rsidRPr="001C3EC8">
        <w:rPr>
          <w:color w:val="000000" w:themeColor="text1"/>
        </w:rPr>
        <w:t>nedosahují ani úrovně před rokem 2010.</w:t>
      </w:r>
    </w:p>
    <w:p w14:paraId="2173AD11" w14:textId="77777777" w:rsidR="008430BD" w:rsidRPr="001C3EC8" w:rsidRDefault="008430BD" w:rsidP="008430BD">
      <w:pPr>
        <w:pStyle w:val="OdstavecASR"/>
        <w:ind w:left="360"/>
        <w:rPr>
          <w:color w:val="000000" w:themeColor="text1"/>
        </w:rPr>
      </w:pPr>
    </w:p>
    <w:p w14:paraId="6DC333FF" w14:textId="119B2171" w:rsidR="008430BD" w:rsidRPr="001C3EC8" w:rsidRDefault="008430BD" w:rsidP="008430BD">
      <w:pPr>
        <w:pStyle w:val="OdstavecASR"/>
        <w:rPr>
          <w:color w:val="000000" w:themeColor="text1"/>
        </w:rPr>
      </w:pPr>
      <w:r w:rsidRPr="001C3EC8">
        <w:rPr>
          <w:color w:val="000000" w:themeColor="text1"/>
        </w:rPr>
        <w:t xml:space="preserve">Lze tak konstatovat, že iniciativa přinesla častější ukládání peněžitých trestů </w:t>
      </w:r>
      <w:r w:rsidR="00120A38" w:rsidRPr="001C3EC8">
        <w:rPr>
          <w:color w:val="000000" w:themeColor="text1"/>
        </w:rPr>
        <w:t>a</w:t>
      </w:r>
      <w:r w:rsidR="00120A38">
        <w:rPr>
          <w:color w:val="000000" w:themeColor="text1"/>
        </w:rPr>
        <w:t> </w:t>
      </w:r>
      <w:r w:rsidRPr="001C3EC8">
        <w:rPr>
          <w:color w:val="000000" w:themeColor="text1"/>
        </w:rPr>
        <w:t>zatím ve stejném poměru nevzrostly přeměny peněžitého trestu v jiný trest. Situaci je nicméně nutné dále monitorovat s ohledem na prodlení mezi nesplněním uloženého peněžitého trestu a okamžikem, kdy soud z tohoto důvodu přistoupí k případné přeměně trestu.</w:t>
      </w:r>
    </w:p>
    <w:p w14:paraId="3875D8E2" w14:textId="77777777" w:rsidR="00B07E76" w:rsidRDefault="009D3E54" w:rsidP="008430BD">
      <w:pPr>
        <w:pStyle w:val="OdstavecASR"/>
        <w:rPr>
          <w:b/>
          <w:bCs/>
          <w:color w:val="000000" w:themeColor="text1"/>
        </w:rPr>
      </w:pPr>
      <w:r w:rsidRPr="001C3EC8">
        <w:rPr>
          <w:b/>
          <w:bCs/>
          <w:color w:val="000000" w:themeColor="text1"/>
        </w:rPr>
        <w:t>Míra odsouzení</w:t>
      </w:r>
    </w:p>
    <w:p w14:paraId="6483628D" w14:textId="384909AA" w:rsidR="00B07E76" w:rsidRDefault="008430BD" w:rsidP="008430BD">
      <w:pPr>
        <w:pStyle w:val="OdstavecASR"/>
        <w:rPr>
          <w:color w:val="000000" w:themeColor="text1"/>
        </w:rPr>
      </w:pPr>
      <w:r w:rsidRPr="001C3EC8">
        <w:rPr>
          <w:color w:val="000000" w:themeColor="text1"/>
        </w:rPr>
        <w:t>Jako míru odsouzení označujeme v této zprávě podíl odsouzených na počtu obžalovaných. V zásadě tedy udává, jaká je šance, že obžalovaný bude odsouzen. To, zda bude obžalovaný odsouzen</w:t>
      </w:r>
      <w:r w:rsidR="00B71937" w:rsidRPr="001C3EC8">
        <w:rPr>
          <w:color w:val="000000" w:themeColor="text1"/>
        </w:rPr>
        <w:t>,</w:t>
      </w:r>
      <w:r w:rsidRPr="001C3EC8">
        <w:rPr>
          <w:color w:val="000000" w:themeColor="text1"/>
        </w:rPr>
        <w:t xml:space="preserve"> samozřejmě závisí na mnoha faktorech, které především plynou z okolností samotného případu. Zde je uveden pouze procentuální podíl odsouzených. Vzhledem k tomu, že trestní řízení </w:t>
      </w:r>
      <w:r w:rsidR="00120A38" w:rsidRPr="001C3EC8">
        <w:rPr>
          <w:color w:val="000000" w:themeColor="text1"/>
        </w:rPr>
        <w:lastRenderedPageBreak/>
        <w:t>u</w:t>
      </w:r>
      <w:r w:rsidR="00120A38">
        <w:rPr>
          <w:color w:val="000000" w:themeColor="text1"/>
        </w:rPr>
        <w:t> </w:t>
      </w:r>
      <w:r w:rsidRPr="001C3EC8">
        <w:rPr>
          <w:color w:val="000000" w:themeColor="text1"/>
        </w:rPr>
        <w:t xml:space="preserve">soudu může skončit mnoha výsledky, je třeba definovat, co započteme jako odsouzenou osobu </w:t>
      </w:r>
      <w:r w:rsidR="00120A38" w:rsidRPr="001C3EC8">
        <w:rPr>
          <w:color w:val="000000" w:themeColor="text1"/>
        </w:rPr>
        <w:t>a</w:t>
      </w:r>
      <w:r w:rsidR="00120A38">
        <w:rPr>
          <w:color w:val="000000" w:themeColor="text1"/>
        </w:rPr>
        <w:t> </w:t>
      </w:r>
      <w:r w:rsidRPr="001C3EC8">
        <w:rPr>
          <w:color w:val="000000" w:themeColor="text1"/>
        </w:rPr>
        <w:t>co jako neodsouzenou osobu. Jako neodsouzeno</w:t>
      </w:r>
      <w:r w:rsidR="00B473AC" w:rsidRPr="001C3EC8">
        <w:rPr>
          <w:color w:val="000000" w:themeColor="text1"/>
        </w:rPr>
        <w:t>u</w:t>
      </w:r>
      <w:r w:rsidRPr="001C3EC8">
        <w:rPr>
          <w:color w:val="000000" w:themeColor="text1"/>
        </w:rPr>
        <w:t xml:space="preserve"> osobu počítáme osobu, která byla zproštěna</w:t>
      </w:r>
      <w:r w:rsidR="00B71937" w:rsidRPr="001C3EC8">
        <w:rPr>
          <w:color w:val="000000" w:themeColor="text1"/>
        </w:rPr>
        <w:t>,</w:t>
      </w:r>
      <w:r w:rsidRPr="001C3EC8">
        <w:rPr>
          <w:color w:val="000000" w:themeColor="text1"/>
        </w:rPr>
        <w:t xml:space="preserve"> </w:t>
      </w:r>
      <w:r w:rsidR="00120A38" w:rsidRPr="001C3EC8">
        <w:rPr>
          <w:color w:val="000000" w:themeColor="text1"/>
        </w:rPr>
        <w:t>a</w:t>
      </w:r>
      <w:r w:rsidR="00120A38">
        <w:rPr>
          <w:color w:val="000000" w:themeColor="text1"/>
        </w:rPr>
        <w:t> </w:t>
      </w:r>
      <w:r w:rsidRPr="001C3EC8">
        <w:rPr>
          <w:color w:val="000000" w:themeColor="text1"/>
        </w:rPr>
        <w:t xml:space="preserve">dále osobu, proti níž bylo řízení zastaveno </w:t>
      </w:r>
      <w:r w:rsidR="00120A38" w:rsidRPr="001C3EC8">
        <w:rPr>
          <w:color w:val="000000" w:themeColor="text1"/>
        </w:rPr>
        <w:t>a</w:t>
      </w:r>
      <w:r w:rsidR="00120A38">
        <w:rPr>
          <w:color w:val="000000" w:themeColor="text1"/>
        </w:rPr>
        <w:t> </w:t>
      </w:r>
      <w:r w:rsidRPr="001C3EC8">
        <w:rPr>
          <w:color w:val="000000" w:themeColor="text1"/>
        </w:rPr>
        <w:t>nebylo jí uloženo ani žádné ochranné opatření. Jako osobu odsouzen</w:t>
      </w:r>
      <w:r w:rsidR="00B473AC" w:rsidRPr="001C3EC8">
        <w:rPr>
          <w:color w:val="000000" w:themeColor="text1"/>
        </w:rPr>
        <w:t>ou</w:t>
      </w:r>
      <w:r w:rsidRPr="001C3EC8">
        <w:rPr>
          <w:color w:val="000000" w:themeColor="text1"/>
        </w:rPr>
        <w:t xml:space="preserve"> samozřejmě počítáme odsouzené osoby</w:t>
      </w:r>
      <w:r w:rsidR="00B71937" w:rsidRPr="001C3EC8">
        <w:rPr>
          <w:color w:val="000000" w:themeColor="text1"/>
        </w:rPr>
        <w:t xml:space="preserve"> </w:t>
      </w:r>
      <w:r w:rsidR="00120A38" w:rsidRPr="001C3EC8">
        <w:rPr>
          <w:color w:val="000000" w:themeColor="text1"/>
        </w:rPr>
        <w:t>a</w:t>
      </w:r>
      <w:r w:rsidR="00120A38">
        <w:rPr>
          <w:color w:val="000000" w:themeColor="text1"/>
        </w:rPr>
        <w:t> </w:t>
      </w:r>
      <w:r w:rsidR="00B71937" w:rsidRPr="001C3EC8">
        <w:rPr>
          <w:color w:val="000000" w:themeColor="text1"/>
        </w:rPr>
        <w:t>d</w:t>
      </w:r>
      <w:r w:rsidRPr="001C3EC8">
        <w:rPr>
          <w:color w:val="000000" w:themeColor="text1"/>
        </w:rPr>
        <w:t>ále osoby, kterým byl uložen souhrnný či společný trest. Ostatní výsledky řízení nejsou ve statistice započítány.</w:t>
      </w:r>
    </w:p>
    <w:p w14:paraId="54173F55" w14:textId="1C0E1D36" w:rsidR="008430BD" w:rsidRPr="001C3EC8" w:rsidRDefault="008430BD" w:rsidP="008430BD">
      <w:pPr>
        <w:pStyle w:val="OdstavecASR"/>
        <w:rPr>
          <w:color w:val="000000" w:themeColor="text1"/>
        </w:rPr>
      </w:pPr>
    </w:p>
    <w:p w14:paraId="1AE58170" w14:textId="1816F33C" w:rsidR="008430BD" w:rsidRPr="001C3EC8" w:rsidRDefault="008430BD" w:rsidP="008430BD">
      <w:pPr>
        <w:pStyle w:val="Podnadpis"/>
        <w:rPr>
          <w:color w:val="000000" w:themeColor="text1"/>
        </w:rPr>
      </w:pPr>
      <w:bookmarkStart w:id="282" w:name="_Toc75952217"/>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37</w:t>
      </w:r>
      <w:r w:rsidRPr="001C3EC8">
        <w:rPr>
          <w:noProof/>
          <w:color w:val="000000" w:themeColor="text1"/>
        </w:rPr>
        <w:fldChar w:fldCharType="end"/>
      </w:r>
      <w:r w:rsidRPr="001C3EC8">
        <w:rPr>
          <w:color w:val="000000" w:themeColor="text1"/>
        </w:rPr>
        <w:t>: OS – míra odsouzení v letech 2008 až 2020</w:t>
      </w:r>
      <w:bookmarkEnd w:id="282"/>
    </w:p>
    <w:p w14:paraId="71A36C31"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59A7906D" wp14:editId="0C5C7E64">
            <wp:extent cx="5114925" cy="3743325"/>
            <wp:effectExtent l="0" t="0" r="0" b="9525"/>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F05209E" w14:textId="3E260267" w:rsidR="00B07E76" w:rsidRDefault="00120A38" w:rsidP="008430BD">
      <w:pPr>
        <w:pStyle w:val="OdstavecASR"/>
        <w:rPr>
          <w:color w:val="000000" w:themeColor="text1"/>
        </w:rPr>
      </w:pPr>
      <w:r w:rsidRPr="001C3EC8">
        <w:rPr>
          <w:color w:val="000000" w:themeColor="text1"/>
        </w:rPr>
        <w:t>V</w:t>
      </w:r>
      <w:r>
        <w:rPr>
          <w:color w:val="000000" w:themeColor="text1"/>
        </w:rPr>
        <w:t> </w:t>
      </w:r>
      <w:r w:rsidR="008430BD" w:rsidRPr="001C3EC8">
        <w:rPr>
          <w:color w:val="000000" w:themeColor="text1"/>
        </w:rPr>
        <w:t xml:space="preserve">grafu vidíme zajímavý trend – míra odsouzení postupem času pomalu, ale jistě rostla. Od roku 2008 vzrostla </w:t>
      </w:r>
      <w:r w:rsidRPr="001C3EC8">
        <w:rPr>
          <w:color w:val="000000" w:themeColor="text1"/>
        </w:rPr>
        <w:t>o</w:t>
      </w:r>
      <w:r>
        <w:rPr>
          <w:color w:val="000000" w:themeColor="text1"/>
        </w:rPr>
        <w:t> </w:t>
      </w:r>
      <w:r w:rsidR="008430BD" w:rsidRPr="001C3EC8">
        <w:rPr>
          <w:color w:val="000000" w:themeColor="text1"/>
        </w:rPr>
        <w:t xml:space="preserve">více než </w:t>
      </w:r>
      <w:proofErr w:type="gramStart"/>
      <w:r w:rsidRPr="001C3EC8">
        <w:rPr>
          <w:color w:val="000000" w:themeColor="text1"/>
        </w:rPr>
        <w:t>4</w:t>
      </w:r>
      <w:r>
        <w:rPr>
          <w:color w:val="000000" w:themeColor="text1"/>
        </w:rPr>
        <w:t> </w:t>
      </w:r>
      <w:r w:rsidR="008430BD" w:rsidRPr="001C3EC8">
        <w:rPr>
          <w:color w:val="000000" w:themeColor="text1"/>
        </w:rPr>
        <w:t>procentní</w:t>
      </w:r>
      <w:proofErr w:type="gramEnd"/>
      <w:r w:rsidR="008430BD" w:rsidRPr="001C3EC8">
        <w:rPr>
          <w:color w:val="000000" w:themeColor="text1"/>
        </w:rPr>
        <w:t xml:space="preserve"> body.</w:t>
      </w:r>
    </w:p>
    <w:p w14:paraId="3451437A" w14:textId="1F68B56F" w:rsidR="009716CA" w:rsidRPr="001C3EC8" w:rsidRDefault="009716CA">
      <w:pPr>
        <w:spacing w:after="160" w:line="259" w:lineRule="auto"/>
        <w:jc w:val="left"/>
        <w:rPr>
          <w:rFonts w:eastAsia="Times New Roman"/>
          <w:b/>
          <w:iCs/>
          <w:color w:val="000000" w:themeColor="text1"/>
          <w:spacing w:val="15"/>
          <w:szCs w:val="24"/>
        </w:rPr>
      </w:pPr>
      <w:r w:rsidRPr="001C3EC8">
        <w:rPr>
          <w:color w:val="000000" w:themeColor="text1"/>
        </w:rPr>
        <w:br w:type="page"/>
      </w:r>
    </w:p>
    <w:p w14:paraId="6A1CA114" w14:textId="6D7A4C3F" w:rsidR="008430BD" w:rsidRPr="001C3EC8" w:rsidRDefault="008430BD" w:rsidP="008430BD">
      <w:pPr>
        <w:pStyle w:val="Podnadpis"/>
        <w:rPr>
          <w:color w:val="000000" w:themeColor="text1"/>
        </w:rPr>
      </w:pPr>
      <w:bookmarkStart w:id="283" w:name="_Toc75952332"/>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29</w:t>
      </w:r>
      <w:r w:rsidRPr="001C3EC8">
        <w:rPr>
          <w:color w:val="000000" w:themeColor="text1"/>
        </w:rPr>
        <w:fldChar w:fldCharType="end"/>
      </w:r>
      <w:r w:rsidRPr="001C3EC8">
        <w:rPr>
          <w:color w:val="000000" w:themeColor="text1"/>
        </w:rPr>
        <w:t>: OS – míra odsouzení dle krajů</w:t>
      </w:r>
      <w:bookmarkEnd w:id="283"/>
    </w:p>
    <w:tbl>
      <w:tblPr>
        <w:tblW w:w="5160" w:type="dxa"/>
        <w:tblCellMar>
          <w:left w:w="70" w:type="dxa"/>
          <w:right w:w="70" w:type="dxa"/>
        </w:tblCellMar>
        <w:tblLook w:val="04A0" w:firstRow="1" w:lastRow="0" w:firstColumn="1" w:lastColumn="0" w:noHBand="0" w:noVBand="1"/>
      </w:tblPr>
      <w:tblGrid>
        <w:gridCol w:w="2780"/>
        <w:gridCol w:w="2380"/>
      </w:tblGrid>
      <w:tr w:rsidR="008430BD" w:rsidRPr="001C3EC8" w14:paraId="2112BB20"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75C5CE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2380" w:type="dxa"/>
            <w:tcBorders>
              <w:top w:val="double" w:sz="6" w:space="0" w:color="auto"/>
              <w:left w:val="nil"/>
              <w:bottom w:val="double" w:sz="6" w:space="0" w:color="auto"/>
              <w:right w:val="nil"/>
            </w:tcBorders>
            <w:shd w:val="clear" w:color="auto" w:fill="auto"/>
            <w:noWrap/>
            <w:vAlign w:val="center"/>
            <w:hideMark/>
          </w:tcPr>
          <w:p w14:paraId="5D65AFB6" w14:textId="688F2B68"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Míra odsouzení </w:t>
            </w:r>
            <w:r w:rsidR="00120A38" w:rsidRPr="001C3EC8">
              <w:rPr>
                <w:rFonts w:eastAsia="Times New Roman"/>
                <w:b/>
                <w:bCs/>
                <w:color w:val="000000" w:themeColor="text1"/>
                <w:szCs w:val="24"/>
                <w:lang w:eastAsia="cs-CZ"/>
              </w:rPr>
              <w:t>v</w:t>
            </w:r>
            <w:r w:rsidR="00120A38">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7AC7487C"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66A1849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2380" w:type="dxa"/>
            <w:tcBorders>
              <w:top w:val="nil"/>
              <w:left w:val="nil"/>
              <w:bottom w:val="single" w:sz="4" w:space="0" w:color="auto"/>
              <w:right w:val="nil"/>
            </w:tcBorders>
            <w:shd w:val="clear" w:color="auto" w:fill="auto"/>
            <w:noWrap/>
            <w:vAlign w:val="bottom"/>
            <w:hideMark/>
          </w:tcPr>
          <w:p w14:paraId="5D6806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90,94</w:t>
            </w:r>
          </w:p>
        </w:tc>
      </w:tr>
      <w:tr w:rsidR="008430BD" w:rsidRPr="001C3EC8" w14:paraId="352C630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A34AEF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2380" w:type="dxa"/>
            <w:tcBorders>
              <w:top w:val="nil"/>
              <w:left w:val="nil"/>
              <w:bottom w:val="single" w:sz="4" w:space="0" w:color="auto"/>
              <w:right w:val="nil"/>
            </w:tcBorders>
            <w:shd w:val="clear" w:color="auto" w:fill="auto"/>
            <w:noWrap/>
            <w:vAlign w:val="bottom"/>
            <w:hideMark/>
          </w:tcPr>
          <w:p w14:paraId="62280A9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93,07</w:t>
            </w:r>
          </w:p>
        </w:tc>
      </w:tr>
      <w:tr w:rsidR="008430BD" w:rsidRPr="001C3EC8" w14:paraId="285E3E21"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2DF172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2380" w:type="dxa"/>
            <w:tcBorders>
              <w:top w:val="nil"/>
              <w:left w:val="nil"/>
              <w:bottom w:val="single" w:sz="4" w:space="0" w:color="auto"/>
              <w:right w:val="nil"/>
            </w:tcBorders>
            <w:shd w:val="clear" w:color="auto" w:fill="auto"/>
            <w:noWrap/>
            <w:vAlign w:val="bottom"/>
            <w:hideMark/>
          </w:tcPr>
          <w:p w14:paraId="4386E07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90,53</w:t>
            </w:r>
          </w:p>
        </w:tc>
      </w:tr>
      <w:tr w:rsidR="008430BD" w:rsidRPr="001C3EC8" w14:paraId="354552B9"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2823CF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2380" w:type="dxa"/>
            <w:tcBorders>
              <w:top w:val="nil"/>
              <w:left w:val="nil"/>
              <w:bottom w:val="single" w:sz="4" w:space="0" w:color="auto"/>
              <w:right w:val="nil"/>
            </w:tcBorders>
            <w:shd w:val="clear" w:color="auto" w:fill="auto"/>
            <w:noWrap/>
            <w:vAlign w:val="bottom"/>
            <w:hideMark/>
          </w:tcPr>
          <w:p w14:paraId="196AE7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92,99</w:t>
            </w:r>
          </w:p>
        </w:tc>
      </w:tr>
      <w:tr w:rsidR="008430BD" w:rsidRPr="001C3EC8" w14:paraId="7724BE47"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F835C5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2380" w:type="dxa"/>
            <w:tcBorders>
              <w:top w:val="nil"/>
              <w:left w:val="nil"/>
              <w:bottom w:val="single" w:sz="4" w:space="0" w:color="auto"/>
              <w:right w:val="nil"/>
            </w:tcBorders>
            <w:shd w:val="clear" w:color="auto" w:fill="auto"/>
            <w:noWrap/>
            <w:vAlign w:val="bottom"/>
            <w:hideMark/>
          </w:tcPr>
          <w:p w14:paraId="2D7B88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90,36</w:t>
            </w:r>
          </w:p>
        </w:tc>
      </w:tr>
      <w:tr w:rsidR="008430BD" w:rsidRPr="001C3EC8" w14:paraId="60E06ED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7A49B0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2380" w:type="dxa"/>
            <w:tcBorders>
              <w:top w:val="nil"/>
              <w:left w:val="nil"/>
              <w:bottom w:val="single" w:sz="4" w:space="0" w:color="auto"/>
              <w:right w:val="nil"/>
            </w:tcBorders>
            <w:shd w:val="clear" w:color="auto" w:fill="auto"/>
            <w:noWrap/>
            <w:vAlign w:val="bottom"/>
            <w:hideMark/>
          </w:tcPr>
          <w:p w14:paraId="60DB873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95,10</w:t>
            </w:r>
          </w:p>
        </w:tc>
      </w:tr>
      <w:tr w:rsidR="008430BD" w:rsidRPr="001C3EC8" w14:paraId="2EB32C29"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D0886E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2380" w:type="dxa"/>
            <w:tcBorders>
              <w:top w:val="nil"/>
              <w:left w:val="nil"/>
              <w:bottom w:val="single" w:sz="4" w:space="0" w:color="auto"/>
              <w:right w:val="nil"/>
            </w:tcBorders>
            <w:shd w:val="clear" w:color="auto" w:fill="auto"/>
            <w:noWrap/>
            <w:vAlign w:val="bottom"/>
            <w:hideMark/>
          </w:tcPr>
          <w:p w14:paraId="6B2CBF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92,08</w:t>
            </w:r>
          </w:p>
        </w:tc>
      </w:tr>
      <w:tr w:rsidR="008430BD" w:rsidRPr="001C3EC8" w14:paraId="2772650C"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2AB1F63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2380" w:type="dxa"/>
            <w:tcBorders>
              <w:top w:val="nil"/>
              <w:left w:val="nil"/>
              <w:bottom w:val="double" w:sz="6" w:space="0" w:color="auto"/>
              <w:right w:val="nil"/>
            </w:tcBorders>
            <w:shd w:val="clear" w:color="auto" w:fill="auto"/>
            <w:noWrap/>
            <w:vAlign w:val="bottom"/>
            <w:hideMark/>
          </w:tcPr>
          <w:p w14:paraId="084057B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93,54</w:t>
            </w:r>
          </w:p>
        </w:tc>
      </w:tr>
      <w:tr w:rsidR="008430BD" w:rsidRPr="001C3EC8" w14:paraId="481376AA"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6A9B351B"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2380" w:type="dxa"/>
            <w:tcBorders>
              <w:top w:val="nil"/>
              <w:left w:val="nil"/>
              <w:bottom w:val="double" w:sz="6" w:space="0" w:color="auto"/>
              <w:right w:val="nil"/>
            </w:tcBorders>
            <w:shd w:val="clear" w:color="auto" w:fill="auto"/>
            <w:noWrap/>
            <w:vAlign w:val="bottom"/>
            <w:hideMark/>
          </w:tcPr>
          <w:p w14:paraId="5F512C0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92,29</w:t>
            </w:r>
          </w:p>
        </w:tc>
      </w:tr>
    </w:tbl>
    <w:p w14:paraId="2DBC3B57" w14:textId="77777777" w:rsidR="008430BD" w:rsidRPr="001C3EC8" w:rsidRDefault="008430BD" w:rsidP="008430BD">
      <w:pPr>
        <w:pStyle w:val="OdstavecASR"/>
        <w:rPr>
          <w:color w:val="000000" w:themeColor="text1"/>
        </w:rPr>
      </w:pPr>
    </w:p>
    <w:p w14:paraId="293D3B71" w14:textId="38019735" w:rsidR="008430BD" w:rsidRPr="001C3EC8" w:rsidRDefault="008430BD" w:rsidP="008430BD">
      <w:pPr>
        <w:pStyle w:val="OdstavecASR"/>
        <w:rPr>
          <w:color w:val="000000" w:themeColor="text1"/>
        </w:rPr>
      </w:pPr>
      <w:r w:rsidRPr="001C3EC8">
        <w:rPr>
          <w:color w:val="000000" w:themeColor="text1"/>
        </w:rPr>
        <w:t>Vidíme, že výsledky jsou poměrně vyrovnané, ale určité rozdíly existují. Největší mír</w:t>
      </w:r>
      <w:r w:rsidR="00B473AC" w:rsidRPr="001C3EC8">
        <w:rPr>
          <w:color w:val="000000" w:themeColor="text1"/>
        </w:rPr>
        <w:t>u</w:t>
      </w:r>
      <w:r w:rsidRPr="001C3EC8">
        <w:rPr>
          <w:color w:val="000000" w:themeColor="text1"/>
        </w:rPr>
        <w:t xml:space="preserve"> odsouzení mají soudy ve Východočeském kraji</w:t>
      </w:r>
      <w:r w:rsidR="00B71937" w:rsidRPr="001C3EC8">
        <w:rPr>
          <w:color w:val="000000" w:themeColor="text1"/>
        </w:rPr>
        <w:t>,</w:t>
      </w:r>
      <w:r w:rsidRPr="001C3EC8">
        <w:rPr>
          <w:color w:val="000000" w:themeColor="text1"/>
        </w:rPr>
        <w:t xml:space="preserve"> nejnižší v kraji Severočeském. Všechny soudy mají míry odsouzení pře</w:t>
      </w:r>
      <w:r w:rsidR="00B473AC" w:rsidRPr="001C3EC8">
        <w:rPr>
          <w:color w:val="000000" w:themeColor="text1"/>
        </w:rPr>
        <w:t>s</w:t>
      </w:r>
      <w:r w:rsidRPr="001C3EC8">
        <w:rPr>
          <w:color w:val="000000" w:themeColor="text1"/>
        </w:rPr>
        <w:t xml:space="preserve"> 90 %, což znamená, že 9 z 10 osob před soudem jsou shledány vinnými </w:t>
      </w:r>
      <w:r w:rsidR="00120A38" w:rsidRPr="001C3EC8">
        <w:rPr>
          <w:color w:val="000000" w:themeColor="text1"/>
        </w:rPr>
        <w:t>a</w:t>
      </w:r>
      <w:r w:rsidR="00120A38">
        <w:rPr>
          <w:color w:val="000000" w:themeColor="text1"/>
        </w:rPr>
        <w:t> </w:t>
      </w:r>
      <w:r w:rsidRPr="001C3EC8">
        <w:rPr>
          <w:color w:val="000000" w:themeColor="text1"/>
        </w:rPr>
        <w:t xml:space="preserve">odsouzeny. </w:t>
      </w:r>
      <w:r w:rsidRPr="001C3EC8">
        <w:rPr>
          <w:color w:val="000000" w:themeColor="text1"/>
        </w:rPr>
        <w:br w:type="page"/>
      </w:r>
    </w:p>
    <w:p w14:paraId="2D1E38CA" w14:textId="77777777" w:rsidR="008430BD" w:rsidRPr="001C3EC8" w:rsidRDefault="008430BD" w:rsidP="008430BD">
      <w:pPr>
        <w:pStyle w:val="Nadpis2"/>
        <w:numPr>
          <w:ilvl w:val="1"/>
          <w:numId w:val="1"/>
        </w:numPr>
        <w:spacing w:before="120"/>
      </w:pPr>
      <w:bookmarkStart w:id="284" w:name="_Ref511307913"/>
      <w:bookmarkStart w:id="285" w:name="_Toc515871236"/>
      <w:bookmarkStart w:id="286" w:name="_Toc75952072"/>
      <w:r w:rsidRPr="001C3EC8">
        <w:lastRenderedPageBreak/>
        <w:t>Opatrovnická agenda</w:t>
      </w:r>
      <w:bookmarkEnd w:id="284"/>
      <w:bookmarkEnd w:id="285"/>
      <w:bookmarkEnd w:id="286"/>
    </w:p>
    <w:p w14:paraId="7B7575F2" w14:textId="77777777" w:rsidR="008430BD" w:rsidRPr="001C3EC8" w:rsidRDefault="008430BD" w:rsidP="008430BD">
      <w:pPr>
        <w:pStyle w:val="OdstavecASR"/>
        <w:rPr>
          <w:color w:val="000000" w:themeColor="text1"/>
        </w:rPr>
      </w:pPr>
      <w:r w:rsidRPr="001C3EC8">
        <w:rPr>
          <w:color w:val="000000" w:themeColor="text1"/>
        </w:rPr>
        <w:t>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apod., tedy věci vedené v rejstříku P a </w:t>
      </w:r>
      <w:proofErr w:type="spellStart"/>
      <w:r w:rsidRPr="001C3EC8">
        <w:rPr>
          <w:color w:val="000000" w:themeColor="text1"/>
        </w:rPr>
        <w:t>Nc</w:t>
      </w:r>
      <w:proofErr w:type="spellEnd"/>
      <w:r w:rsidRPr="001C3EC8">
        <w:rPr>
          <w:color w:val="000000" w:themeColor="text1"/>
        </w:rPr>
        <w:t>.</w:t>
      </w:r>
    </w:p>
    <w:p w14:paraId="643AB993" w14:textId="77777777" w:rsidR="008430BD" w:rsidRPr="001C3EC8" w:rsidRDefault="008430BD" w:rsidP="008430BD">
      <w:pPr>
        <w:pStyle w:val="Nadpis3"/>
        <w:numPr>
          <w:ilvl w:val="2"/>
          <w:numId w:val="1"/>
        </w:numPr>
        <w:rPr>
          <w:color w:val="000000" w:themeColor="text1"/>
        </w:rPr>
      </w:pPr>
      <w:bookmarkStart w:id="287" w:name="_Toc515871237"/>
      <w:bookmarkStart w:id="288" w:name="_Toc75952073"/>
      <w:r w:rsidRPr="001C3EC8">
        <w:rPr>
          <w:color w:val="000000" w:themeColor="text1"/>
        </w:rPr>
        <w:t>Délka řízení</w:t>
      </w:r>
      <w:bookmarkEnd w:id="287"/>
      <w:bookmarkEnd w:id="288"/>
    </w:p>
    <w:p w14:paraId="3BEE3590" w14:textId="6B7C5DB4" w:rsidR="008430BD" w:rsidRPr="001C3EC8" w:rsidRDefault="008430BD" w:rsidP="008430BD">
      <w:pPr>
        <w:pStyle w:val="OdstavecASR"/>
        <w:rPr>
          <w:color w:val="000000" w:themeColor="text1"/>
        </w:rPr>
      </w:pPr>
      <w:r w:rsidRPr="001C3EC8">
        <w:rPr>
          <w:color w:val="000000" w:themeColor="text1"/>
        </w:rPr>
        <w:t xml:space="preserve">Platí stejné poznámky jako u civilního řízení. Délku řízení tedy zjišťujeme ze statistických listů a uvádíme v kalendářních dnech ode dne nápadu do dne konečného vyřízení soudem </w:t>
      </w:r>
      <w:r w:rsidR="000C3B1E">
        <w:rPr>
          <w:color w:val="000000" w:themeColor="text1"/>
        </w:rPr>
        <w:t>I. stupně</w:t>
      </w:r>
      <w:r w:rsidRPr="001C3EC8">
        <w:rPr>
          <w:color w:val="000000" w:themeColor="text1"/>
        </w:rPr>
        <w:t>. Statistiky týkající se délky řízení jsou v této agendě dostupné až od roku 2009.</w:t>
      </w:r>
    </w:p>
    <w:p w14:paraId="076AAFDB" w14:textId="00411975" w:rsidR="008430BD" w:rsidRPr="001C3EC8" w:rsidRDefault="008430BD" w:rsidP="008430BD">
      <w:pPr>
        <w:pStyle w:val="Podnadpis"/>
        <w:rPr>
          <w:color w:val="000000" w:themeColor="text1"/>
        </w:rPr>
      </w:pPr>
      <w:bookmarkStart w:id="289" w:name="_Toc515871365"/>
      <w:bookmarkStart w:id="290" w:name="_Toc11135097"/>
      <w:bookmarkStart w:id="291" w:name="_Toc43841415"/>
      <w:bookmarkStart w:id="292" w:name="_Toc7595221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38</w:t>
      </w:r>
      <w:r w:rsidRPr="001C3EC8">
        <w:rPr>
          <w:noProof/>
          <w:color w:val="000000" w:themeColor="text1"/>
        </w:rPr>
        <w:fldChar w:fldCharType="end"/>
      </w:r>
      <w:r w:rsidRPr="001C3EC8">
        <w:rPr>
          <w:color w:val="000000" w:themeColor="text1"/>
        </w:rPr>
        <w:t>: OS – délka řízení v opatrovnické agendě v letech 2010–20</w:t>
      </w:r>
      <w:bookmarkEnd w:id="289"/>
      <w:bookmarkEnd w:id="290"/>
      <w:bookmarkEnd w:id="291"/>
      <w:r w:rsidRPr="001C3EC8">
        <w:rPr>
          <w:color w:val="000000" w:themeColor="text1"/>
        </w:rPr>
        <w:t>20</w:t>
      </w:r>
      <w:bookmarkEnd w:id="292"/>
    </w:p>
    <w:p w14:paraId="22E90F92" w14:textId="77777777" w:rsidR="008430BD" w:rsidRPr="001C3EC8" w:rsidRDefault="008430BD" w:rsidP="008430BD">
      <w:pPr>
        <w:pStyle w:val="OdstavecASR"/>
        <w:rPr>
          <w:color w:val="000000" w:themeColor="text1"/>
          <w:highlight w:val="yellow"/>
        </w:rPr>
      </w:pPr>
      <w:r w:rsidRPr="001C3EC8">
        <w:rPr>
          <w:noProof/>
          <w:color w:val="000000" w:themeColor="text1"/>
          <w:lang w:eastAsia="cs-CZ"/>
        </w:rPr>
        <w:drawing>
          <wp:inline distT="0" distB="0" distL="0" distR="0" wp14:anchorId="53697F2B" wp14:editId="11408158">
            <wp:extent cx="5115560" cy="3743960"/>
            <wp:effectExtent l="0" t="0" r="0" b="889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6207118E" w14:textId="14F2A380" w:rsidR="008430BD" w:rsidRPr="001C3EC8" w:rsidRDefault="008430BD" w:rsidP="008430BD">
      <w:pPr>
        <w:pStyle w:val="OdstavecASR"/>
        <w:rPr>
          <w:color w:val="000000" w:themeColor="text1"/>
        </w:rPr>
      </w:pPr>
      <w:r w:rsidRPr="001C3EC8">
        <w:rPr>
          <w:color w:val="000000" w:themeColor="text1"/>
        </w:rPr>
        <w:t xml:space="preserve">Délka řízení byla až do roku 2015 velmi stabilní, v letech 2015 a 2016 došlo k náhlému nárůstu následovanému tříletým poklesem. Příčinu zmíněného nárůstu můžeme spatřovat především v nabytí účinnosti zákona č. 89/2012 Sb., občanský zákoník (o. z.), podle kterého bylo třeba do tří let přezkoumat všechny osoby. Přibyly i další druhy rozhodování (podpůrná opatření při narušení schopnosti zletilého právně jednat apod.). Došlo tak k velkému rozšíření obsahu opatrovnické agendy soudů, jak ukazuje další podkapitola. Pokles délky řízení v letech 2017–2019 byl pravděpodobně ovlivněn zejména přijetím novely o. z. provedené zákonem č. 460/2016 Sb., která prodlužuje na </w:t>
      </w:r>
      <w:r w:rsidR="00120A38" w:rsidRPr="001C3EC8">
        <w:rPr>
          <w:color w:val="000000" w:themeColor="text1"/>
        </w:rPr>
        <w:t>5</w:t>
      </w:r>
      <w:r w:rsidR="00120A38">
        <w:rPr>
          <w:color w:val="000000" w:themeColor="text1"/>
        </w:rPr>
        <w:t> </w:t>
      </w:r>
      <w:r w:rsidRPr="001C3EC8">
        <w:rPr>
          <w:color w:val="000000" w:themeColor="text1"/>
        </w:rPr>
        <w:t>let (§ 59 o. z.).</w:t>
      </w:r>
    </w:p>
    <w:p w14:paraId="0C3749BB" w14:textId="536F787C" w:rsidR="003E0093" w:rsidRPr="001C3EC8" w:rsidRDefault="003E0093" w:rsidP="003E0093">
      <w:pPr>
        <w:pStyle w:val="OdstavecASR"/>
        <w:rPr>
          <w:color w:val="000000" w:themeColor="text1"/>
        </w:rPr>
      </w:pPr>
      <w:r w:rsidRPr="001C3EC8">
        <w:rPr>
          <w:color w:val="000000" w:themeColor="text1"/>
        </w:rPr>
        <w:t xml:space="preserve">Také je třeba upozornit, že touto novelou zákona </w:t>
      </w:r>
      <w:r w:rsidR="00120A38" w:rsidRPr="001C3EC8">
        <w:rPr>
          <w:color w:val="000000" w:themeColor="text1"/>
        </w:rPr>
        <w:t>o</w:t>
      </w:r>
      <w:r w:rsidR="00120A38">
        <w:rPr>
          <w:color w:val="000000" w:themeColor="text1"/>
        </w:rPr>
        <w:t> </w:t>
      </w:r>
      <w:r w:rsidRPr="001C3EC8">
        <w:rPr>
          <w:color w:val="000000" w:themeColor="text1"/>
        </w:rPr>
        <w:t>zvláštních řízeních soudních, tj. zákonem č.</w:t>
      </w:r>
      <w:r w:rsidR="00CD2266">
        <w:rPr>
          <w:color w:val="000000" w:themeColor="text1"/>
        </w:rPr>
        <w:t> </w:t>
      </w:r>
      <w:r w:rsidRPr="001C3EC8">
        <w:rPr>
          <w:color w:val="000000" w:themeColor="text1"/>
        </w:rPr>
        <w:t>460/2016</w:t>
      </w:r>
      <w:r w:rsidR="00CD2266">
        <w:rPr>
          <w:color w:val="000000" w:themeColor="text1"/>
        </w:rPr>
        <w:t> </w:t>
      </w:r>
      <w:r w:rsidRPr="001C3EC8">
        <w:rPr>
          <w:color w:val="000000" w:themeColor="text1"/>
        </w:rPr>
        <w:t xml:space="preserve">Sb., došlo </w:t>
      </w:r>
      <w:r w:rsidR="00120A38" w:rsidRPr="001C3EC8">
        <w:rPr>
          <w:color w:val="000000" w:themeColor="text1"/>
        </w:rPr>
        <w:t>k</w:t>
      </w:r>
      <w:r w:rsidR="00120A38">
        <w:rPr>
          <w:color w:val="000000" w:themeColor="text1"/>
        </w:rPr>
        <w:t> </w:t>
      </w:r>
      <w:r w:rsidRPr="001C3EC8">
        <w:rPr>
          <w:color w:val="000000" w:themeColor="text1"/>
        </w:rPr>
        <w:t xml:space="preserve">možnosti upustit od provedení nového znaleckého posudku </w:t>
      </w:r>
      <w:r w:rsidR="00120A38" w:rsidRPr="001C3EC8">
        <w:rPr>
          <w:color w:val="000000" w:themeColor="text1"/>
        </w:rPr>
        <w:t>a</w:t>
      </w:r>
      <w:r w:rsidR="00120A38">
        <w:rPr>
          <w:color w:val="000000" w:themeColor="text1"/>
        </w:rPr>
        <w:t> </w:t>
      </w:r>
      <w:r w:rsidRPr="001C3EC8">
        <w:rPr>
          <w:color w:val="000000" w:themeColor="text1"/>
        </w:rPr>
        <w:t xml:space="preserve">výslechu znalce </w:t>
      </w:r>
      <w:r w:rsidR="00120A38" w:rsidRPr="001C3EC8">
        <w:rPr>
          <w:color w:val="000000" w:themeColor="text1"/>
        </w:rPr>
        <w:t>v</w:t>
      </w:r>
      <w:r w:rsidR="00120A38">
        <w:rPr>
          <w:color w:val="000000" w:themeColor="text1"/>
        </w:rPr>
        <w:t> </w:t>
      </w:r>
      <w:r w:rsidRPr="001C3EC8">
        <w:rPr>
          <w:color w:val="000000" w:themeColor="text1"/>
        </w:rPr>
        <w:t xml:space="preserve">případě, že je vedeno přezkumné řízení </w:t>
      </w:r>
      <w:r w:rsidR="00120A38" w:rsidRPr="001C3EC8">
        <w:rPr>
          <w:color w:val="000000" w:themeColor="text1"/>
        </w:rPr>
        <w:t>o</w:t>
      </w:r>
      <w:r w:rsidR="00120A38">
        <w:rPr>
          <w:color w:val="000000" w:themeColor="text1"/>
        </w:rPr>
        <w:t> </w:t>
      </w:r>
      <w:r w:rsidRPr="001C3EC8">
        <w:rPr>
          <w:color w:val="000000" w:themeColor="text1"/>
        </w:rPr>
        <w:t xml:space="preserve">svéprávnosti člověka </w:t>
      </w:r>
      <w:r w:rsidR="00120A38" w:rsidRPr="001C3EC8">
        <w:rPr>
          <w:color w:val="000000" w:themeColor="text1"/>
        </w:rPr>
        <w:t>a</w:t>
      </w:r>
      <w:r w:rsidR="00120A38">
        <w:rPr>
          <w:color w:val="000000" w:themeColor="text1"/>
        </w:rPr>
        <w:t> </w:t>
      </w:r>
      <w:r w:rsidRPr="001C3EC8">
        <w:rPr>
          <w:color w:val="000000" w:themeColor="text1"/>
        </w:rPr>
        <w:t xml:space="preserve">je zjevné, že stav posuzovaného se oproti rozhodnutí </w:t>
      </w:r>
      <w:r w:rsidR="00120A38" w:rsidRPr="001C3EC8">
        <w:rPr>
          <w:color w:val="000000" w:themeColor="text1"/>
        </w:rPr>
        <w:t>o</w:t>
      </w:r>
      <w:r w:rsidR="00120A38">
        <w:rPr>
          <w:color w:val="000000" w:themeColor="text1"/>
        </w:rPr>
        <w:t> </w:t>
      </w:r>
      <w:r w:rsidRPr="001C3EC8">
        <w:rPr>
          <w:color w:val="000000" w:themeColor="text1"/>
        </w:rPr>
        <w:t xml:space="preserve">omezení svéprávnosti či poslednímu rozhodnutí </w:t>
      </w:r>
      <w:r w:rsidR="00120A38" w:rsidRPr="001C3EC8">
        <w:rPr>
          <w:color w:val="000000" w:themeColor="text1"/>
        </w:rPr>
        <w:lastRenderedPageBreak/>
        <w:t>o</w:t>
      </w:r>
      <w:r w:rsidR="00120A38">
        <w:rPr>
          <w:color w:val="000000" w:themeColor="text1"/>
        </w:rPr>
        <w:t> </w:t>
      </w:r>
      <w:r w:rsidRPr="001C3EC8">
        <w:rPr>
          <w:color w:val="000000" w:themeColor="text1"/>
        </w:rPr>
        <w:t xml:space="preserve">prodloužení nezměnil. </w:t>
      </w:r>
      <w:r w:rsidR="00120A38" w:rsidRPr="001C3EC8">
        <w:rPr>
          <w:color w:val="000000" w:themeColor="text1"/>
        </w:rPr>
        <w:t>V</w:t>
      </w:r>
      <w:r w:rsidR="00120A38">
        <w:rPr>
          <w:color w:val="000000" w:themeColor="text1"/>
        </w:rPr>
        <w:t> </w:t>
      </w:r>
      <w:r w:rsidRPr="001C3EC8">
        <w:rPr>
          <w:color w:val="000000" w:themeColor="text1"/>
        </w:rPr>
        <w:t xml:space="preserve">takovém případě je znalecký posudek třeba nahradit jiným důkazem, zejména písemnou zprávou ošetřujícího lékaře ve spojení </w:t>
      </w:r>
      <w:r w:rsidR="00120A38" w:rsidRPr="001C3EC8">
        <w:rPr>
          <w:color w:val="000000" w:themeColor="text1"/>
        </w:rPr>
        <w:t>s</w:t>
      </w:r>
      <w:r w:rsidR="00120A38">
        <w:rPr>
          <w:color w:val="000000" w:themeColor="text1"/>
        </w:rPr>
        <w:t> </w:t>
      </w:r>
      <w:r w:rsidRPr="001C3EC8">
        <w:rPr>
          <w:color w:val="000000" w:themeColor="text1"/>
        </w:rPr>
        <w:t>naposledy vypracovaným znaleckým posudkem (§</w:t>
      </w:r>
      <w:r w:rsidR="00120A38">
        <w:rPr>
          <w:color w:val="000000" w:themeColor="text1"/>
        </w:rPr>
        <w:t> </w:t>
      </w:r>
      <w:r w:rsidRPr="001C3EC8">
        <w:rPr>
          <w:color w:val="000000" w:themeColor="text1"/>
        </w:rPr>
        <w:t>38 odst.</w:t>
      </w:r>
      <w:r w:rsidR="00120A38">
        <w:rPr>
          <w:color w:val="000000" w:themeColor="text1"/>
        </w:rPr>
        <w:t> </w:t>
      </w:r>
      <w:r w:rsidRPr="001C3EC8">
        <w:rPr>
          <w:color w:val="000000" w:themeColor="text1"/>
        </w:rPr>
        <w:t>4 zákona o</w:t>
      </w:r>
      <w:r w:rsidR="00120A38">
        <w:rPr>
          <w:color w:val="000000" w:themeColor="text1"/>
        </w:rPr>
        <w:t> </w:t>
      </w:r>
      <w:r w:rsidRPr="001C3EC8">
        <w:rPr>
          <w:color w:val="000000" w:themeColor="text1"/>
        </w:rPr>
        <w:t>zvláštních řízeních soudních).</w:t>
      </w:r>
    </w:p>
    <w:p w14:paraId="663D54DC" w14:textId="0342EB9C" w:rsidR="008430BD" w:rsidRPr="001C3EC8" w:rsidRDefault="008430BD" w:rsidP="008430BD">
      <w:pPr>
        <w:pStyle w:val="OdstavecASR"/>
        <w:rPr>
          <w:color w:val="000000" w:themeColor="text1"/>
        </w:rPr>
      </w:pPr>
      <w:r w:rsidRPr="001C3EC8">
        <w:rPr>
          <w:color w:val="000000" w:themeColor="text1"/>
        </w:rPr>
        <w:t xml:space="preserve">Podle zkušeností soudů nová agenda samozřejmě představovala dodatečnou zátěž. Hlavní problém ale ležel ve vyhotovování znaleckých posudků potřebných pro přezkum svéprávnosti. Znalci byli natolik zahlceni, že odmítali zpracovávat nové věci do doby, než zpracovali ty, které jim byly přiděleny dříve. Na znalecké posudky soudy čekaly a dosud čekají šest měsíců, někdy i déle. To se samozřejmě promítlo do celkové délky řízení. Jak bylo zmíněno již dříve, reálné změny ve vyřizování agendy se do délky řízení promítají s určitým zpožděním. Nárůst v délce řízení je tedy patrný až v roce 2015 a 2016 </w:t>
      </w:r>
      <w:r w:rsidR="00CD2266" w:rsidRPr="001C3EC8">
        <w:rPr>
          <w:color w:val="000000" w:themeColor="text1"/>
        </w:rPr>
        <w:t>a</w:t>
      </w:r>
      <w:r w:rsidR="00CD2266">
        <w:rPr>
          <w:color w:val="000000" w:themeColor="text1"/>
        </w:rPr>
        <w:t> </w:t>
      </w:r>
      <w:r w:rsidRPr="001C3EC8">
        <w:rPr>
          <w:color w:val="000000" w:themeColor="text1"/>
        </w:rPr>
        <w:t xml:space="preserve">následuje pokles v letech 2017 </w:t>
      </w:r>
      <w:r w:rsidR="00CD2266" w:rsidRPr="001C3EC8">
        <w:rPr>
          <w:color w:val="000000" w:themeColor="text1"/>
        </w:rPr>
        <w:t>a</w:t>
      </w:r>
      <w:r w:rsidR="00CD2266">
        <w:rPr>
          <w:color w:val="000000" w:themeColor="text1"/>
        </w:rPr>
        <w:t> </w:t>
      </w:r>
      <w:r w:rsidRPr="001C3EC8">
        <w:rPr>
          <w:color w:val="000000" w:themeColor="text1"/>
        </w:rPr>
        <w:t xml:space="preserve">2018. V roce 2019 pokles pokračoval </w:t>
      </w:r>
      <w:r w:rsidR="00CD2266" w:rsidRPr="001C3EC8">
        <w:rPr>
          <w:color w:val="000000" w:themeColor="text1"/>
        </w:rPr>
        <w:t>a</w:t>
      </w:r>
      <w:r w:rsidR="00CD2266">
        <w:rPr>
          <w:color w:val="000000" w:themeColor="text1"/>
        </w:rPr>
        <w:t> </w:t>
      </w:r>
      <w:r w:rsidRPr="001C3EC8">
        <w:rPr>
          <w:color w:val="000000" w:themeColor="text1"/>
        </w:rPr>
        <w:t>délky řízení se již prakticky vrátily na úroveň před účinností o. z. Klesl především percentil 90 a průměr, což znamená, že relativně klesl počet věcí, které nejsou vyřízeny dlouhou dobu.</w:t>
      </w:r>
    </w:p>
    <w:p w14:paraId="6C04CE61" w14:textId="354A7978" w:rsidR="003E0093" w:rsidRPr="001C3EC8" w:rsidRDefault="003E0093" w:rsidP="008430BD">
      <w:pPr>
        <w:pStyle w:val="OdstavecASR"/>
        <w:rPr>
          <w:color w:val="000000" w:themeColor="text1"/>
        </w:rPr>
      </w:pPr>
      <w:r w:rsidRPr="001C3EC8">
        <w:rPr>
          <w:color w:val="000000" w:themeColor="text1"/>
        </w:rPr>
        <w:t xml:space="preserve">novelou zákona </w:t>
      </w:r>
      <w:r w:rsidR="00CD2266" w:rsidRPr="001C3EC8">
        <w:rPr>
          <w:color w:val="000000" w:themeColor="text1"/>
        </w:rPr>
        <w:t>o</w:t>
      </w:r>
      <w:r w:rsidR="00CD2266">
        <w:rPr>
          <w:color w:val="000000" w:themeColor="text1"/>
        </w:rPr>
        <w:t> </w:t>
      </w:r>
      <w:r w:rsidRPr="001C3EC8">
        <w:rPr>
          <w:color w:val="000000" w:themeColor="text1"/>
        </w:rPr>
        <w:t>zvláštních řízeních soudních, tj. zákonem č.</w:t>
      </w:r>
      <w:r w:rsidR="00CD2266">
        <w:rPr>
          <w:color w:val="000000" w:themeColor="text1"/>
        </w:rPr>
        <w:t> </w:t>
      </w:r>
      <w:r w:rsidRPr="001C3EC8">
        <w:rPr>
          <w:color w:val="000000" w:themeColor="text1"/>
        </w:rPr>
        <w:t>460/2016</w:t>
      </w:r>
      <w:r w:rsidR="00CD2266">
        <w:rPr>
          <w:color w:val="000000" w:themeColor="text1"/>
        </w:rPr>
        <w:t> </w:t>
      </w:r>
      <w:r w:rsidRPr="001C3EC8">
        <w:rPr>
          <w:color w:val="000000" w:themeColor="text1"/>
        </w:rPr>
        <w:t xml:space="preserve">Sb., došlo </w:t>
      </w:r>
      <w:r w:rsidR="00CD2266" w:rsidRPr="001C3EC8">
        <w:rPr>
          <w:color w:val="000000" w:themeColor="text1"/>
        </w:rPr>
        <w:t>k</w:t>
      </w:r>
      <w:r w:rsidR="00CD2266">
        <w:rPr>
          <w:color w:val="000000" w:themeColor="text1"/>
        </w:rPr>
        <w:t> </w:t>
      </w:r>
      <w:r w:rsidRPr="001C3EC8">
        <w:rPr>
          <w:color w:val="000000" w:themeColor="text1"/>
        </w:rPr>
        <w:t xml:space="preserve">možnosti upustit od provedení nového znaleckého posudku </w:t>
      </w:r>
      <w:r w:rsidR="00CD2266" w:rsidRPr="001C3EC8">
        <w:rPr>
          <w:color w:val="000000" w:themeColor="text1"/>
        </w:rPr>
        <w:t>a</w:t>
      </w:r>
      <w:r w:rsidR="00CD2266">
        <w:rPr>
          <w:color w:val="000000" w:themeColor="text1"/>
        </w:rPr>
        <w:t> </w:t>
      </w:r>
      <w:r w:rsidRPr="001C3EC8">
        <w:rPr>
          <w:color w:val="000000" w:themeColor="text1"/>
        </w:rPr>
        <w:t xml:space="preserve">výslechu znalce </w:t>
      </w:r>
      <w:r w:rsidR="00CD2266" w:rsidRPr="001C3EC8">
        <w:rPr>
          <w:color w:val="000000" w:themeColor="text1"/>
        </w:rPr>
        <w:t>v</w:t>
      </w:r>
      <w:r w:rsidR="00CD2266">
        <w:rPr>
          <w:color w:val="000000" w:themeColor="text1"/>
        </w:rPr>
        <w:t> </w:t>
      </w:r>
      <w:r w:rsidRPr="001C3EC8">
        <w:rPr>
          <w:color w:val="000000" w:themeColor="text1"/>
        </w:rPr>
        <w:t xml:space="preserve">případě, že je vedeno přezkumné řízení </w:t>
      </w:r>
      <w:r w:rsidR="00CD2266" w:rsidRPr="001C3EC8">
        <w:rPr>
          <w:color w:val="000000" w:themeColor="text1"/>
        </w:rPr>
        <w:t>o</w:t>
      </w:r>
      <w:r w:rsidR="00CD2266">
        <w:rPr>
          <w:color w:val="000000" w:themeColor="text1"/>
        </w:rPr>
        <w:t> </w:t>
      </w:r>
      <w:r w:rsidRPr="001C3EC8">
        <w:rPr>
          <w:color w:val="000000" w:themeColor="text1"/>
        </w:rPr>
        <w:t xml:space="preserve">svéprávnosti člověka </w:t>
      </w:r>
      <w:r w:rsidR="00CD2266" w:rsidRPr="001C3EC8">
        <w:rPr>
          <w:color w:val="000000" w:themeColor="text1"/>
        </w:rPr>
        <w:t>a</w:t>
      </w:r>
      <w:r w:rsidR="00CD2266">
        <w:rPr>
          <w:color w:val="000000" w:themeColor="text1"/>
        </w:rPr>
        <w:t> </w:t>
      </w:r>
      <w:r w:rsidRPr="001C3EC8">
        <w:rPr>
          <w:color w:val="000000" w:themeColor="text1"/>
        </w:rPr>
        <w:t xml:space="preserve">je zjevné, že stav posuzovaného se oproti rozhodnutí </w:t>
      </w:r>
      <w:r w:rsidR="00CD2266" w:rsidRPr="001C3EC8">
        <w:rPr>
          <w:color w:val="000000" w:themeColor="text1"/>
        </w:rPr>
        <w:t>o</w:t>
      </w:r>
      <w:r w:rsidR="00CD2266">
        <w:rPr>
          <w:color w:val="000000" w:themeColor="text1"/>
        </w:rPr>
        <w:t> </w:t>
      </w:r>
      <w:r w:rsidRPr="001C3EC8">
        <w:rPr>
          <w:color w:val="000000" w:themeColor="text1"/>
        </w:rPr>
        <w:t xml:space="preserve">omezení svéprávnosti či poslednímu rozhodnutí </w:t>
      </w:r>
      <w:r w:rsidR="00CD2266" w:rsidRPr="001C3EC8">
        <w:rPr>
          <w:color w:val="000000" w:themeColor="text1"/>
        </w:rPr>
        <w:t>o</w:t>
      </w:r>
      <w:r w:rsidR="00CD2266">
        <w:rPr>
          <w:color w:val="000000" w:themeColor="text1"/>
        </w:rPr>
        <w:t> </w:t>
      </w:r>
      <w:r w:rsidRPr="001C3EC8">
        <w:rPr>
          <w:color w:val="000000" w:themeColor="text1"/>
        </w:rPr>
        <w:t xml:space="preserve">prodloužení nezměnil. </w:t>
      </w:r>
      <w:r w:rsidR="00CD2266" w:rsidRPr="001C3EC8">
        <w:rPr>
          <w:color w:val="000000" w:themeColor="text1"/>
        </w:rPr>
        <w:t>V</w:t>
      </w:r>
      <w:r w:rsidR="00CD2266">
        <w:rPr>
          <w:color w:val="000000" w:themeColor="text1"/>
        </w:rPr>
        <w:t> </w:t>
      </w:r>
      <w:r w:rsidRPr="001C3EC8">
        <w:rPr>
          <w:color w:val="000000" w:themeColor="text1"/>
        </w:rPr>
        <w:t xml:space="preserve">takovém případě je znalecký posudek třeba nahradit jiným důkazem, zejména písemnou zprávou ošetřujícího lékaře ve spojení </w:t>
      </w:r>
      <w:r w:rsidR="00CD2266" w:rsidRPr="001C3EC8">
        <w:rPr>
          <w:color w:val="000000" w:themeColor="text1"/>
        </w:rPr>
        <w:t>s</w:t>
      </w:r>
      <w:r w:rsidR="00CD2266">
        <w:rPr>
          <w:color w:val="000000" w:themeColor="text1"/>
        </w:rPr>
        <w:t> </w:t>
      </w:r>
      <w:r w:rsidRPr="001C3EC8">
        <w:rPr>
          <w:color w:val="000000" w:themeColor="text1"/>
        </w:rPr>
        <w:t>naposledy vypracovaným znaleckým posudkem (§</w:t>
      </w:r>
      <w:r w:rsidR="00CD2266">
        <w:rPr>
          <w:color w:val="000000" w:themeColor="text1"/>
        </w:rPr>
        <w:t> </w:t>
      </w:r>
      <w:r w:rsidRPr="001C3EC8">
        <w:rPr>
          <w:color w:val="000000" w:themeColor="text1"/>
        </w:rPr>
        <w:t>38 odst. 4 zákona o</w:t>
      </w:r>
      <w:r w:rsidR="00CD2266">
        <w:rPr>
          <w:color w:val="000000" w:themeColor="text1"/>
        </w:rPr>
        <w:t> </w:t>
      </w:r>
      <w:r w:rsidRPr="001C3EC8">
        <w:rPr>
          <w:color w:val="000000" w:themeColor="text1"/>
        </w:rPr>
        <w:t>zvláštních řízeních soudních).</w:t>
      </w:r>
    </w:p>
    <w:p w14:paraId="59ED7C59" w14:textId="1A38B1E2" w:rsidR="008430BD" w:rsidRPr="001C3EC8" w:rsidRDefault="008430BD" w:rsidP="008430BD">
      <w:pPr>
        <w:pStyle w:val="OdstavecASR"/>
        <w:rPr>
          <w:color w:val="000000" w:themeColor="text1"/>
        </w:rPr>
      </w:pPr>
      <w:r w:rsidRPr="001C3EC8">
        <w:rPr>
          <w:color w:val="000000" w:themeColor="text1"/>
        </w:rPr>
        <w:t xml:space="preserve">Délky řízení byly ovlivněny </w:t>
      </w:r>
      <w:r w:rsidR="00B71937" w:rsidRPr="001C3EC8">
        <w:rPr>
          <w:color w:val="000000" w:themeColor="text1"/>
        </w:rPr>
        <w:t>skutečností</w:t>
      </w:r>
      <w:r w:rsidRPr="001C3EC8">
        <w:rPr>
          <w:color w:val="000000" w:themeColor="text1"/>
        </w:rPr>
        <w:t xml:space="preserve">, že v letech 2016 až 2018 převýšil počet vyřízených věcí počet věcí příchozích. Zdá se tedy, že výše popsané problémy v agendě, které nastaly po nabytí účinnosti o. z., se částečně podařilo vyřešit. Dílčí vliv může plynout i z opatření některých soudů </w:t>
      </w:r>
      <w:r w:rsidR="00B71937" w:rsidRPr="001C3EC8">
        <w:rPr>
          <w:color w:val="000000" w:themeColor="text1"/>
        </w:rPr>
        <w:t>k </w:t>
      </w:r>
      <w:r w:rsidRPr="001C3EC8">
        <w:rPr>
          <w:color w:val="000000" w:themeColor="text1"/>
        </w:rPr>
        <w:t>posílení opatrovnických oddělení.</w:t>
      </w:r>
    </w:p>
    <w:p w14:paraId="06C848EA" w14:textId="6A64CC1E" w:rsidR="008430BD" w:rsidRPr="001C3EC8" w:rsidRDefault="008430BD" w:rsidP="008430BD">
      <w:pPr>
        <w:pStyle w:val="OdstavecASR"/>
        <w:rPr>
          <w:color w:val="000000" w:themeColor="text1"/>
        </w:rPr>
      </w:pPr>
      <w:r w:rsidRPr="001C3EC8">
        <w:rPr>
          <w:color w:val="000000" w:themeColor="text1"/>
        </w:rPr>
        <w:t xml:space="preserve">V roce 2020 opět došlo k mírnému růstu v délkách řízení, což opět teoreticky může souviset s pandemií </w:t>
      </w:r>
      <w:r w:rsidR="000C3B1E">
        <w:rPr>
          <w:color w:val="000000" w:themeColor="text1"/>
        </w:rPr>
        <w:t>COVID</w:t>
      </w:r>
      <w:r w:rsidR="000C3B1E">
        <w:rPr>
          <w:color w:val="000000" w:themeColor="text1"/>
        </w:rPr>
        <w:noBreakHyphen/>
        <w:t>19</w:t>
      </w:r>
      <w:r w:rsidRPr="001C3EC8">
        <w:rPr>
          <w:color w:val="000000" w:themeColor="text1"/>
        </w:rPr>
        <w:t xml:space="preserve">, která činnost soudů zkomplikovala. Tuto teorii podporuje fakt, že medián vzrostl ve všech krajích </w:t>
      </w:r>
      <w:r w:rsidR="00CD2266" w:rsidRPr="001C3EC8">
        <w:rPr>
          <w:color w:val="000000" w:themeColor="text1"/>
        </w:rPr>
        <w:t>a</w:t>
      </w:r>
      <w:r w:rsidR="00CD2266">
        <w:rPr>
          <w:color w:val="000000" w:themeColor="text1"/>
        </w:rPr>
        <w:t> </w:t>
      </w:r>
      <w:r w:rsidR="00B71937" w:rsidRPr="001C3EC8">
        <w:rPr>
          <w:color w:val="000000" w:themeColor="text1"/>
        </w:rPr>
        <w:t xml:space="preserve">téměř ve všech krajích </w:t>
      </w:r>
      <w:r w:rsidR="00CD2266" w:rsidRPr="001C3EC8">
        <w:rPr>
          <w:color w:val="000000" w:themeColor="text1"/>
        </w:rPr>
        <w:t>s</w:t>
      </w:r>
      <w:r w:rsidR="00CD2266">
        <w:rPr>
          <w:color w:val="000000" w:themeColor="text1"/>
        </w:rPr>
        <w:t> </w:t>
      </w:r>
      <w:r w:rsidR="00B71937" w:rsidRPr="001C3EC8">
        <w:rPr>
          <w:color w:val="000000" w:themeColor="text1"/>
        </w:rPr>
        <w:t xml:space="preserve">výjimkou Severočeského vzrostl </w:t>
      </w:r>
      <w:r w:rsidR="00CD2266" w:rsidRPr="001C3EC8">
        <w:rPr>
          <w:color w:val="000000" w:themeColor="text1"/>
        </w:rPr>
        <w:t>i</w:t>
      </w:r>
      <w:r w:rsidR="00CD2266">
        <w:rPr>
          <w:color w:val="000000" w:themeColor="text1"/>
        </w:rPr>
        <w:t> </w:t>
      </w:r>
      <w:r w:rsidRPr="001C3EC8">
        <w:rPr>
          <w:color w:val="000000" w:themeColor="text1"/>
        </w:rPr>
        <w:t>percentil</w:t>
      </w:r>
      <w:r w:rsidR="00CD2266">
        <w:rPr>
          <w:color w:val="000000" w:themeColor="text1"/>
        </w:rPr>
        <w:t> </w:t>
      </w:r>
      <w:r w:rsidRPr="001C3EC8">
        <w:rPr>
          <w:color w:val="000000" w:themeColor="text1"/>
        </w:rPr>
        <w:t xml:space="preserve">90 </w:t>
      </w:r>
      <w:r w:rsidR="00CD2266" w:rsidRPr="001C3EC8">
        <w:rPr>
          <w:color w:val="000000" w:themeColor="text1"/>
        </w:rPr>
        <w:t>a</w:t>
      </w:r>
      <w:r w:rsidR="00CD2266">
        <w:rPr>
          <w:color w:val="000000" w:themeColor="text1"/>
        </w:rPr>
        <w:t> </w:t>
      </w:r>
      <w:r w:rsidRPr="001C3EC8">
        <w:rPr>
          <w:color w:val="000000" w:themeColor="text1"/>
        </w:rPr>
        <w:t xml:space="preserve">průměr. Je ale třeba dále prozkoumat, jak se vyvinul nápad, počet vyřízených </w:t>
      </w:r>
      <w:r w:rsidR="00CD2266" w:rsidRPr="001C3EC8">
        <w:rPr>
          <w:color w:val="000000" w:themeColor="text1"/>
        </w:rPr>
        <w:t>a</w:t>
      </w:r>
      <w:r w:rsidR="00CD2266">
        <w:rPr>
          <w:color w:val="000000" w:themeColor="text1"/>
        </w:rPr>
        <w:t> </w:t>
      </w:r>
      <w:r w:rsidRPr="001C3EC8">
        <w:rPr>
          <w:color w:val="000000" w:themeColor="text1"/>
        </w:rPr>
        <w:t>nevyřízených věcí.</w:t>
      </w:r>
    </w:p>
    <w:p w14:paraId="4CA1DFAC" w14:textId="283505FF" w:rsidR="008430BD" w:rsidRPr="001C3EC8" w:rsidRDefault="008430BD" w:rsidP="008430BD">
      <w:pPr>
        <w:pStyle w:val="Podnadpis"/>
        <w:rPr>
          <w:color w:val="000000" w:themeColor="text1"/>
        </w:rPr>
      </w:pPr>
      <w:bookmarkStart w:id="293" w:name="_Toc515871460"/>
      <w:bookmarkStart w:id="294" w:name="_Toc11133228"/>
      <w:bookmarkStart w:id="295" w:name="_Toc43931201"/>
      <w:bookmarkStart w:id="296" w:name="_Toc75952333"/>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30</w:t>
      </w:r>
      <w:r w:rsidRPr="001C3EC8">
        <w:rPr>
          <w:noProof/>
          <w:color w:val="000000" w:themeColor="text1"/>
        </w:rPr>
        <w:fldChar w:fldCharType="end"/>
      </w:r>
      <w:r w:rsidRPr="001C3EC8">
        <w:rPr>
          <w:color w:val="000000" w:themeColor="text1"/>
        </w:rPr>
        <w:t>: OS – délky řízení v opatrovnické agendě dle krajů</w:t>
      </w:r>
      <w:bookmarkEnd w:id="293"/>
      <w:bookmarkEnd w:id="294"/>
      <w:bookmarkEnd w:id="295"/>
      <w:bookmarkEnd w:id="296"/>
    </w:p>
    <w:tbl>
      <w:tblPr>
        <w:tblW w:w="8479" w:type="dxa"/>
        <w:tblCellMar>
          <w:left w:w="70" w:type="dxa"/>
          <w:right w:w="70" w:type="dxa"/>
        </w:tblCellMar>
        <w:tblLook w:val="04A0" w:firstRow="1" w:lastRow="0" w:firstColumn="1" w:lastColumn="0" w:noHBand="0" w:noVBand="1"/>
      </w:tblPr>
      <w:tblGrid>
        <w:gridCol w:w="2480"/>
        <w:gridCol w:w="1064"/>
        <w:gridCol w:w="851"/>
        <w:gridCol w:w="943"/>
        <w:gridCol w:w="1018"/>
        <w:gridCol w:w="7"/>
        <w:gridCol w:w="1099"/>
        <w:gridCol w:w="992"/>
        <w:gridCol w:w="11"/>
        <w:gridCol w:w="14"/>
      </w:tblGrid>
      <w:tr w:rsidR="008430BD" w:rsidRPr="001C3EC8" w14:paraId="5C52277F" w14:textId="77777777" w:rsidTr="0062147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90E98D5" w14:textId="77777777" w:rsidR="008430BD" w:rsidRPr="001C3EC8" w:rsidRDefault="008430BD" w:rsidP="00E077F3">
            <w:pPr>
              <w:spacing w:line="240" w:lineRule="auto"/>
              <w:jc w:val="center"/>
              <w:rPr>
                <w:rFonts w:eastAsia="Times New Roman"/>
                <w:b/>
                <w:bCs/>
                <w:color w:val="000000" w:themeColor="text1"/>
              </w:rPr>
            </w:pPr>
            <w:r w:rsidRPr="001C3EC8">
              <w:rPr>
                <w:b/>
                <w:bCs/>
                <w:color w:val="000000" w:themeColor="text1"/>
              </w:rPr>
              <w:t>Nadřízený soud</w:t>
            </w:r>
          </w:p>
        </w:tc>
        <w:tc>
          <w:tcPr>
            <w:tcW w:w="5999" w:type="dxa"/>
            <w:gridSpan w:val="9"/>
            <w:tcBorders>
              <w:top w:val="double" w:sz="6" w:space="0" w:color="auto"/>
              <w:left w:val="nil"/>
              <w:bottom w:val="nil"/>
              <w:right w:val="nil"/>
            </w:tcBorders>
            <w:shd w:val="clear" w:color="auto" w:fill="auto"/>
            <w:noWrap/>
            <w:vAlign w:val="center"/>
            <w:hideMark/>
          </w:tcPr>
          <w:p w14:paraId="400A0AEE" w14:textId="77777777" w:rsidR="008430BD" w:rsidRPr="001C3EC8" w:rsidRDefault="008430BD" w:rsidP="00E077F3">
            <w:pPr>
              <w:jc w:val="center"/>
              <w:rPr>
                <w:b/>
                <w:bCs/>
                <w:color w:val="000000" w:themeColor="text1"/>
              </w:rPr>
            </w:pPr>
            <w:r w:rsidRPr="001C3EC8">
              <w:rPr>
                <w:b/>
                <w:bCs/>
                <w:color w:val="000000" w:themeColor="text1"/>
              </w:rPr>
              <w:t>Délka řízení</w:t>
            </w:r>
          </w:p>
        </w:tc>
      </w:tr>
      <w:tr w:rsidR="008430BD" w:rsidRPr="001C3EC8" w14:paraId="454424CB" w14:textId="77777777" w:rsidTr="0062147A">
        <w:trPr>
          <w:gridAfter w:val="1"/>
          <w:wAfter w:w="14" w:type="dxa"/>
          <w:trHeight w:val="330"/>
        </w:trPr>
        <w:tc>
          <w:tcPr>
            <w:tcW w:w="2480" w:type="dxa"/>
            <w:vMerge/>
            <w:tcBorders>
              <w:top w:val="double" w:sz="6" w:space="0" w:color="auto"/>
              <w:left w:val="nil"/>
              <w:bottom w:val="double" w:sz="6" w:space="0" w:color="000000"/>
              <w:right w:val="nil"/>
            </w:tcBorders>
            <w:vAlign w:val="center"/>
            <w:hideMark/>
          </w:tcPr>
          <w:p w14:paraId="56C22793" w14:textId="77777777" w:rsidR="008430BD" w:rsidRPr="001C3EC8" w:rsidRDefault="008430BD" w:rsidP="00E077F3">
            <w:pPr>
              <w:rPr>
                <w:b/>
                <w:bCs/>
                <w:color w:val="000000" w:themeColor="text1"/>
                <w:szCs w:val="24"/>
              </w:rPr>
            </w:pPr>
          </w:p>
        </w:tc>
        <w:tc>
          <w:tcPr>
            <w:tcW w:w="1915" w:type="dxa"/>
            <w:gridSpan w:val="2"/>
            <w:tcBorders>
              <w:top w:val="nil"/>
              <w:left w:val="nil"/>
              <w:bottom w:val="double" w:sz="6" w:space="0" w:color="auto"/>
              <w:right w:val="nil"/>
            </w:tcBorders>
            <w:shd w:val="clear" w:color="auto" w:fill="auto"/>
            <w:noWrap/>
            <w:vAlign w:val="center"/>
            <w:hideMark/>
          </w:tcPr>
          <w:p w14:paraId="71751694" w14:textId="77777777" w:rsidR="008430BD" w:rsidRPr="001C3EC8" w:rsidRDefault="008430BD" w:rsidP="00E077F3">
            <w:pPr>
              <w:jc w:val="center"/>
              <w:rPr>
                <w:b/>
                <w:bCs/>
                <w:color w:val="000000" w:themeColor="text1"/>
              </w:rPr>
            </w:pPr>
            <w:r w:rsidRPr="001C3EC8">
              <w:rPr>
                <w:b/>
                <w:bCs/>
                <w:color w:val="000000" w:themeColor="text1"/>
              </w:rPr>
              <w:t>Průměr</w:t>
            </w:r>
          </w:p>
        </w:tc>
        <w:tc>
          <w:tcPr>
            <w:tcW w:w="1968"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33F02659" w14:textId="77777777" w:rsidR="008430BD" w:rsidRPr="001C3EC8" w:rsidRDefault="008430BD" w:rsidP="00E077F3">
            <w:pPr>
              <w:jc w:val="center"/>
              <w:rPr>
                <w:b/>
                <w:bCs/>
                <w:color w:val="000000" w:themeColor="text1"/>
              </w:rPr>
            </w:pPr>
            <w:r w:rsidRPr="001C3EC8">
              <w:rPr>
                <w:b/>
                <w:bCs/>
                <w:color w:val="000000" w:themeColor="text1"/>
              </w:rPr>
              <w:t>Medián</w:t>
            </w:r>
          </w:p>
        </w:tc>
        <w:tc>
          <w:tcPr>
            <w:tcW w:w="2102" w:type="dxa"/>
            <w:gridSpan w:val="3"/>
            <w:tcBorders>
              <w:top w:val="nil"/>
              <w:left w:val="nil"/>
              <w:bottom w:val="double" w:sz="6" w:space="0" w:color="auto"/>
              <w:right w:val="nil"/>
            </w:tcBorders>
            <w:shd w:val="clear" w:color="auto" w:fill="auto"/>
            <w:noWrap/>
            <w:vAlign w:val="center"/>
            <w:hideMark/>
          </w:tcPr>
          <w:p w14:paraId="1EFC0478" w14:textId="77777777" w:rsidR="008430BD" w:rsidRPr="001C3EC8" w:rsidRDefault="008430BD" w:rsidP="00E077F3">
            <w:pPr>
              <w:jc w:val="center"/>
              <w:rPr>
                <w:b/>
                <w:bCs/>
                <w:color w:val="000000" w:themeColor="text1"/>
              </w:rPr>
            </w:pPr>
            <w:r w:rsidRPr="001C3EC8">
              <w:rPr>
                <w:b/>
                <w:bCs/>
                <w:color w:val="000000" w:themeColor="text1"/>
              </w:rPr>
              <w:t>Percentil 90</w:t>
            </w:r>
          </w:p>
        </w:tc>
      </w:tr>
      <w:tr w:rsidR="008430BD" w:rsidRPr="001C3EC8" w14:paraId="15098F69" w14:textId="77777777" w:rsidTr="0062147A">
        <w:trPr>
          <w:gridAfter w:val="2"/>
          <w:wAfter w:w="25" w:type="dxa"/>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244583C" w14:textId="77777777" w:rsidR="008430BD" w:rsidRPr="001C3EC8" w:rsidRDefault="008430BD" w:rsidP="00E077F3">
            <w:pPr>
              <w:jc w:val="left"/>
              <w:rPr>
                <w:color w:val="000000" w:themeColor="text1"/>
              </w:rPr>
            </w:pPr>
            <w:r w:rsidRPr="001C3EC8">
              <w:rPr>
                <w:color w:val="000000" w:themeColor="text1"/>
              </w:rPr>
              <w:t>MS Praha</w:t>
            </w:r>
          </w:p>
        </w:tc>
        <w:tc>
          <w:tcPr>
            <w:tcW w:w="1064" w:type="dxa"/>
            <w:tcBorders>
              <w:top w:val="single" w:sz="4" w:space="0" w:color="auto"/>
              <w:left w:val="nil"/>
              <w:bottom w:val="single" w:sz="4" w:space="0" w:color="auto"/>
              <w:right w:val="nil"/>
            </w:tcBorders>
            <w:shd w:val="clear" w:color="auto" w:fill="auto"/>
            <w:noWrap/>
            <w:vAlign w:val="bottom"/>
            <w:hideMark/>
          </w:tcPr>
          <w:p w14:paraId="72F9E37D" w14:textId="77777777" w:rsidR="008430BD" w:rsidRPr="001C3EC8" w:rsidRDefault="008430BD" w:rsidP="00E077F3">
            <w:pPr>
              <w:jc w:val="center"/>
              <w:rPr>
                <w:color w:val="000000" w:themeColor="text1"/>
              </w:rPr>
            </w:pPr>
            <w:r w:rsidRPr="001C3EC8">
              <w:rPr>
                <w:color w:val="000000" w:themeColor="text1"/>
              </w:rPr>
              <w:t>163</w:t>
            </w:r>
          </w:p>
        </w:tc>
        <w:tc>
          <w:tcPr>
            <w:tcW w:w="851" w:type="dxa"/>
            <w:tcBorders>
              <w:top w:val="single" w:sz="4" w:space="0" w:color="auto"/>
              <w:left w:val="nil"/>
              <w:bottom w:val="single" w:sz="4" w:space="0" w:color="auto"/>
              <w:right w:val="nil"/>
            </w:tcBorders>
            <w:shd w:val="clear" w:color="auto" w:fill="auto"/>
            <w:noWrap/>
            <w:vAlign w:val="center"/>
            <w:hideMark/>
          </w:tcPr>
          <w:p w14:paraId="77992F9D" w14:textId="77777777" w:rsidR="008430BD" w:rsidRPr="001C3EC8" w:rsidRDefault="008430BD" w:rsidP="0062147A">
            <w:pPr>
              <w:jc w:val="center"/>
              <w:rPr>
                <w:color w:val="000000" w:themeColor="text1"/>
                <w:sz w:val="20"/>
                <w:szCs w:val="20"/>
              </w:rPr>
            </w:pPr>
            <w:r w:rsidRPr="001C3EC8">
              <w:rPr>
                <w:color w:val="000000" w:themeColor="text1"/>
                <w:sz w:val="20"/>
                <w:szCs w:val="20"/>
              </w:rPr>
              <w:t>+3 %</w:t>
            </w:r>
          </w:p>
        </w:tc>
        <w:tc>
          <w:tcPr>
            <w:tcW w:w="943" w:type="dxa"/>
            <w:tcBorders>
              <w:top w:val="nil"/>
              <w:left w:val="single" w:sz="4" w:space="0" w:color="auto"/>
              <w:bottom w:val="single" w:sz="4" w:space="0" w:color="auto"/>
              <w:right w:val="nil"/>
            </w:tcBorders>
            <w:shd w:val="clear" w:color="auto" w:fill="auto"/>
            <w:noWrap/>
            <w:vAlign w:val="bottom"/>
            <w:hideMark/>
          </w:tcPr>
          <w:p w14:paraId="4AC487F4" w14:textId="77777777" w:rsidR="008430BD" w:rsidRPr="001C3EC8" w:rsidRDefault="008430BD" w:rsidP="00E077F3">
            <w:pPr>
              <w:jc w:val="center"/>
              <w:rPr>
                <w:color w:val="000000" w:themeColor="text1"/>
                <w:szCs w:val="24"/>
              </w:rPr>
            </w:pPr>
            <w:r w:rsidRPr="001C3EC8">
              <w:rPr>
                <w:color w:val="000000" w:themeColor="text1"/>
              </w:rPr>
              <w:t>105</w:t>
            </w:r>
          </w:p>
        </w:tc>
        <w:tc>
          <w:tcPr>
            <w:tcW w:w="1018" w:type="dxa"/>
            <w:tcBorders>
              <w:top w:val="nil"/>
              <w:left w:val="nil"/>
              <w:bottom w:val="single" w:sz="4" w:space="0" w:color="auto"/>
              <w:right w:val="single" w:sz="4" w:space="0" w:color="auto"/>
            </w:tcBorders>
            <w:shd w:val="clear" w:color="auto" w:fill="auto"/>
            <w:noWrap/>
            <w:vAlign w:val="center"/>
            <w:hideMark/>
          </w:tcPr>
          <w:p w14:paraId="70A08776" w14:textId="77777777" w:rsidR="008430BD" w:rsidRPr="001C3EC8" w:rsidRDefault="008430BD" w:rsidP="0062147A">
            <w:pPr>
              <w:jc w:val="center"/>
              <w:rPr>
                <w:color w:val="000000" w:themeColor="text1"/>
                <w:sz w:val="20"/>
                <w:szCs w:val="20"/>
              </w:rPr>
            </w:pPr>
            <w:r w:rsidRPr="001C3EC8">
              <w:rPr>
                <w:color w:val="000000" w:themeColor="text1"/>
                <w:sz w:val="20"/>
                <w:szCs w:val="20"/>
              </w:rPr>
              <w:t>+27 %</w:t>
            </w:r>
          </w:p>
        </w:tc>
        <w:tc>
          <w:tcPr>
            <w:tcW w:w="1106" w:type="dxa"/>
            <w:gridSpan w:val="2"/>
            <w:tcBorders>
              <w:top w:val="single" w:sz="4" w:space="0" w:color="auto"/>
              <w:left w:val="nil"/>
              <w:bottom w:val="single" w:sz="4" w:space="0" w:color="auto"/>
              <w:right w:val="nil"/>
            </w:tcBorders>
            <w:shd w:val="clear" w:color="auto" w:fill="auto"/>
            <w:noWrap/>
            <w:vAlign w:val="bottom"/>
            <w:hideMark/>
          </w:tcPr>
          <w:p w14:paraId="5979A251" w14:textId="77777777" w:rsidR="008430BD" w:rsidRPr="001C3EC8" w:rsidRDefault="008430BD" w:rsidP="00E077F3">
            <w:pPr>
              <w:jc w:val="center"/>
              <w:rPr>
                <w:color w:val="000000" w:themeColor="text1"/>
                <w:szCs w:val="24"/>
              </w:rPr>
            </w:pPr>
            <w:r w:rsidRPr="001C3EC8">
              <w:rPr>
                <w:color w:val="000000" w:themeColor="text1"/>
              </w:rPr>
              <w:t>357</w:t>
            </w:r>
          </w:p>
        </w:tc>
        <w:tc>
          <w:tcPr>
            <w:tcW w:w="992" w:type="dxa"/>
            <w:tcBorders>
              <w:top w:val="single" w:sz="4" w:space="0" w:color="auto"/>
              <w:left w:val="nil"/>
              <w:bottom w:val="single" w:sz="4" w:space="0" w:color="auto"/>
              <w:right w:val="nil"/>
            </w:tcBorders>
            <w:shd w:val="clear" w:color="auto" w:fill="auto"/>
            <w:noWrap/>
            <w:vAlign w:val="center"/>
            <w:hideMark/>
          </w:tcPr>
          <w:p w14:paraId="2A54DF5C" w14:textId="77777777" w:rsidR="008430BD" w:rsidRPr="001C3EC8" w:rsidRDefault="008430BD" w:rsidP="0062147A">
            <w:pPr>
              <w:jc w:val="center"/>
              <w:rPr>
                <w:color w:val="000000" w:themeColor="text1"/>
                <w:sz w:val="20"/>
                <w:szCs w:val="20"/>
              </w:rPr>
            </w:pPr>
            <w:r w:rsidRPr="001C3EC8">
              <w:rPr>
                <w:color w:val="000000" w:themeColor="text1"/>
                <w:sz w:val="20"/>
                <w:szCs w:val="20"/>
              </w:rPr>
              <w:t>+1 %</w:t>
            </w:r>
          </w:p>
        </w:tc>
      </w:tr>
      <w:tr w:rsidR="008430BD" w:rsidRPr="001C3EC8" w14:paraId="142FBF60" w14:textId="77777777" w:rsidTr="0062147A">
        <w:trPr>
          <w:gridAfter w:val="2"/>
          <w:wAfter w:w="25" w:type="dxa"/>
          <w:trHeight w:val="315"/>
        </w:trPr>
        <w:tc>
          <w:tcPr>
            <w:tcW w:w="2480" w:type="dxa"/>
            <w:tcBorders>
              <w:top w:val="nil"/>
              <w:left w:val="nil"/>
              <w:bottom w:val="single" w:sz="4" w:space="0" w:color="auto"/>
              <w:right w:val="nil"/>
            </w:tcBorders>
            <w:shd w:val="clear" w:color="auto" w:fill="auto"/>
            <w:noWrap/>
            <w:vAlign w:val="bottom"/>
            <w:hideMark/>
          </w:tcPr>
          <w:p w14:paraId="2ACF7175" w14:textId="77777777" w:rsidR="008430BD" w:rsidRPr="001C3EC8" w:rsidRDefault="008430BD" w:rsidP="00E077F3">
            <w:pPr>
              <w:jc w:val="left"/>
              <w:rPr>
                <w:color w:val="000000" w:themeColor="text1"/>
                <w:szCs w:val="24"/>
              </w:rPr>
            </w:pPr>
            <w:r w:rsidRPr="001C3EC8">
              <w:rPr>
                <w:color w:val="000000" w:themeColor="text1"/>
              </w:rPr>
              <w:t>KS Praha</w:t>
            </w:r>
          </w:p>
        </w:tc>
        <w:tc>
          <w:tcPr>
            <w:tcW w:w="1064" w:type="dxa"/>
            <w:tcBorders>
              <w:top w:val="nil"/>
              <w:left w:val="nil"/>
              <w:bottom w:val="single" w:sz="4" w:space="0" w:color="auto"/>
              <w:right w:val="nil"/>
            </w:tcBorders>
            <w:shd w:val="clear" w:color="auto" w:fill="auto"/>
            <w:noWrap/>
            <w:vAlign w:val="bottom"/>
            <w:hideMark/>
          </w:tcPr>
          <w:p w14:paraId="734065D3" w14:textId="77777777" w:rsidR="008430BD" w:rsidRPr="001C3EC8" w:rsidRDefault="008430BD" w:rsidP="00E077F3">
            <w:pPr>
              <w:jc w:val="center"/>
              <w:rPr>
                <w:color w:val="000000" w:themeColor="text1"/>
              </w:rPr>
            </w:pPr>
            <w:r w:rsidRPr="001C3EC8">
              <w:rPr>
                <w:color w:val="000000" w:themeColor="text1"/>
              </w:rPr>
              <w:t>103</w:t>
            </w:r>
          </w:p>
        </w:tc>
        <w:tc>
          <w:tcPr>
            <w:tcW w:w="851" w:type="dxa"/>
            <w:tcBorders>
              <w:top w:val="nil"/>
              <w:left w:val="nil"/>
              <w:bottom w:val="single" w:sz="4" w:space="0" w:color="auto"/>
              <w:right w:val="nil"/>
            </w:tcBorders>
            <w:shd w:val="clear" w:color="auto" w:fill="auto"/>
            <w:noWrap/>
            <w:vAlign w:val="center"/>
            <w:hideMark/>
          </w:tcPr>
          <w:p w14:paraId="088F4512" w14:textId="77777777" w:rsidR="008430BD" w:rsidRPr="001C3EC8" w:rsidRDefault="008430BD" w:rsidP="0062147A">
            <w:pPr>
              <w:jc w:val="center"/>
              <w:rPr>
                <w:color w:val="000000" w:themeColor="text1"/>
                <w:sz w:val="20"/>
                <w:szCs w:val="20"/>
              </w:rPr>
            </w:pPr>
            <w:r w:rsidRPr="001C3EC8">
              <w:rPr>
                <w:color w:val="000000" w:themeColor="text1"/>
                <w:sz w:val="20"/>
                <w:szCs w:val="20"/>
              </w:rPr>
              <w:t>+6 %</w:t>
            </w:r>
          </w:p>
        </w:tc>
        <w:tc>
          <w:tcPr>
            <w:tcW w:w="943" w:type="dxa"/>
            <w:tcBorders>
              <w:top w:val="nil"/>
              <w:left w:val="single" w:sz="4" w:space="0" w:color="auto"/>
              <w:bottom w:val="single" w:sz="4" w:space="0" w:color="auto"/>
              <w:right w:val="nil"/>
            </w:tcBorders>
            <w:shd w:val="clear" w:color="auto" w:fill="auto"/>
            <w:noWrap/>
            <w:vAlign w:val="bottom"/>
            <w:hideMark/>
          </w:tcPr>
          <w:p w14:paraId="7B5968ED" w14:textId="77777777" w:rsidR="008430BD" w:rsidRPr="001C3EC8" w:rsidRDefault="008430BD" w:rsidP="00E077F3">
            <w:pPr>
              <w:jc w:val="center"/>
              <w:rPr>
                <w:color w:val="000000" w:themeColor="text1"/>
                <w:szCs w:val="24"/>
              </w:rPr>
            </w:pPr>
            <w:r w:rsidRPr="001C3EC8">
              <w:rPr>
                <w:color w:val="000000" w:themeColor="text1"/>
              </w:rPr>
              <w:t>70</w:t>
            </w:r>
          </w:p>
        </w:tc>
        <w:tc>
          <w:tcPr>
            <w:tcW w:w="1018" w:type="dxa"/>
            <w:tcBorders>
              <w:top w:val="nil"/>
              <w:left w:val="nil"/>
              <w:bottom w:val="single" w:sz="4" w:space="0" w:color="auto"/>
              <w:right w:val="single" w:sz="4" w:space="0" w:color="auto"/>
            </w:tcBorders>
            <w:shd w:val="clear" w:color="auto" w:fill="auto"/>
            <w:noWrap/>
            <w:vAlign w:val="center"/>
            <w:hideMark/>
          </w:tcPr>
          <w:p w14:paraId="301B3E71" w14:textId="77777777" w:rsidR="008430BD" w:rsidRPr="001C3EC8" w:rsidRDefault="008430BD" w:rsidP="0062147A">
            <w:pPr>
              <w:jc w:val="center"/>
              <w:rPr>
                <w:color w:val="000000" w:themeColor="text1"/>
                <w:sz w:val="20"/>
                <w:szCs w:val="20"/>
              </w:rPr>
            </w:pPr>
            <w:r w:rsidRPr="001C3EC8">
              <w:rPr>
                <w:color w:val="000000" w:themeColor="text1"/>
                <w:sz w:val="20"/>
                <w:szCs w:val="20"/>
              </w:rPr>
              <w:t>+11 %</w:t>
            </w:r>
          </w:p>
        </w:tc>
        <w:tc>
          <w:tcPr>
            <w:tcW w:w="1106" w:type="dxa"/>
            <w:gridSpan w:val="2"/>
            <w:tcBorders>
              <w:top w:val="nil"/>
              <w:left w:val="nil"/>
              <w:bottom w:val="single" w:sz="4" w:space="0" w:color="auto"/>
              <w:right w:val="nil"/>
            </w:tcBorders>
            <w:shd w:val="clear" w:color="auto" w:fill="auto"/>
            <w:noWrap/>
            <w:vAlign w:val="bottom"/>
            <w:hideMark/>
          </w:tcPr>
          <w:p w14:paraId="20372FB9" w14:textId="77777777" w:rsidR="008430BD" w:rsidRPr="001C3EC8" w:rsidRDefault="008430BD" w:rsidP="00E077F3">
            <w:pPr>
              <w:jc w:val="center"/>
              <w:rPr>
                <w:color w:val="000000" w:themeColor="text1"/>
                <w:szCs w:val="24"/>
              </w:rPr>
            </w:pPr>
            <w:r w:rsidRPr="001C3EC8">
              <w:rPr>
                <w:color w:val="000000" w:themeColor="text1"/>
              </w:rPr>
              <w:t>226</w:t>
            </w:r>
          </w:p>
        </w:tc>
        <w:tc>
          <w:tcPr>
            <w:tcW w:w="992" w:type="dxa"/>
            <w:tcBorders>
              <w:top w:val="nil"/>
              <w:left w:val="nil"/>
              <w:bottom w:val="single" w:sz="4" w:space="0" w:color="auto"/>
              <w:right w:val="nil"/>
            </w:tcBorders>
            <w:shd w:val="clear" w:color="auto" w:fill="auto"/>
            <w:noWrap/>
            <w:vAlign w:val="center"/>
            <w:hideMark/>
          </w:tcPr>
          <w:p w14:paraId="002E884E" w14:textId="77777777" w:rsidR="008430BD" w:rsidRPr="001C3EC8" w:rsidRDefault="008430BD" w:rsidP="0062147A">
            <w:pPr>
              <w:jc w:val="center"/>
              <w:rPr>
                <w:color w:val="000000" w:themeColor="text1"/>
                <w:sz w:val="20"/>
                <w:szCs w:val="20"/>
              </w:rPr>
            </w:pPr>
            <w:r w:rsidRPr="001C3EC8">
              <w:rPr>
                <w:color w:val="000000" w:themeColor="text1"/>
                <w:sz w:val="20"/>
                <w:szCs w:val="20"/>
              </w:rPr>
              <w:t>+7 %</w:t>
            </w:r>
          </w:p>
        </w:tc>
      </w:tr>
      <w:tr w:rsidR="008430BD" w:rsidRPr="001C3EC8" w14:paraId="04C27178" w14:textId="77777777" w:rsidTr="0062147A">
        <w:trPr>
          <w:gridAfter w:val="2"/>
          <w:wAfter w:w="25" w:type="dxa"/>
          <w:trHeight w:val="315"/>
        </w:trPr>
        <w:tc>
          <w:tcPr>
            <w:tcW w:w="2480" w:type="dxa"/>
            <w:tcBorders>
              <w:top w:val="nil"/>
              <w:left w:val="nil"/>
              <w:bottom w:val="single" w:sz="4" w:space="0" w:color="auto"/>
              <w:right w:val="nil"/>
            </w:tcBorders>
            <w:shd w:val="clear" w:color="auto" w:fill="auto"/>
            <w:noWrap/>
            <w:vAlign w:val="bottom"/>
            <w:hideMark/>
          </w:tcPr>
          <w:p w14:paraId="06CD91B5" w14:textId="77777777" w:rsidR="008430BD" w:rsidRPr="001C3EC8" w:rsidRDefault="008430BD" w:rsidP="00E077F3">
            <w:pPr>
              <w:jc w:val="left"/>
              <w:rPr>
                <w:color w:val="000000" w:themeColor="text1"/>
                <w:szCs w:val="24"/>
              </w:rPr>
            </w:pPr>
            <w:r w:rsidRPr="001C3EC8">
              <w:rPr>
                <w:color w:val="000000" w:themeColor="text1"/>
              </w:rPr>
              <w:t>KS Č. Budějovice</w:t>
            </w:r>
          </w:p>
        </w:tc>
        <w:tc>
          <w:tcPr>
            <w:tcW w:w="1064" w:type="dxa"/>
            <w:tcBorders>
              <w:top w:val="nil"/>
              <w:left w:val="nil"/>
              <w:bottom w:val="single" w:sz="4" w:space="0" w:color="auto"/>
              <w:right w:val="nil"/>
            </w:tcBorders>
            <w:shd w:val="clear" w:color="auto" w:fill="auto"/>
            <w:noWrap/>
            <w:vAlign w:val="bottom"/>
            <w:hideMark/>
          </w:tcPr>
          <w:p w14:paraId="175B87B5" w14:textId="77777777" w:rsidR="008430BD" w:rsidRPr="001C3EC8" w:rsidRDefault="008430BD" w:rsidP="00E077F3">
            <w:pPr>
              <w:jc w:val="center"/>
              <w:rPr>
                <w:color w:val="000000" w:themeColor="text1"/>
              </w:rPr>
            </w:pPr>
            <w:r w:rsidRPr="001C3EC8">
              <w:rPr>
                <w:color w:val="000000" w:themeColor="text1"/>
              </w:rPr>
              <w:t>84</w:t>
            </w:r>
          </w:p>
        </w:tc>
        <w:tc>
          <w:tcPr>
            <w:tcW w:w="851" w:type="dxa"/>
            <w:tcBorders>
              <w:top w:val="nil"/>
              <w:left w:val="nil"/>
              <w:bottom w:val="single" w:sz="4" w:space="0" w:color="auto"/>
              <w:right w:val="nil"/>
            </w:tcBorders>
            <w:shd w:val="clear" w:color="auto" w:fill="auto"/>
            <w:noWrap/>
            <w:vAlign w:val="center"/>
            <w:hideMark/>
          </w:tcPr>
          <w:p w14:paraId="2D71E435" w14:textId="77777777" w:rsidR="008430BD" w:rsidRPr="001C3EC8" w:rsidRDefault="008430BD" w:rsidP="0062147A">
            <w:pPr>
              <w:jc w:val="center"/>
              <w:rPr>
                <w:color w:val="000000" w:themeColor="text1"/>
                <w:sz w:val="20"/>
                <w:szCs w:val="20"/>
              </w:rPr>
            </w:pPr>
            <w:r w:rsidRPr="001C3EC8">
              <w:rPr>
                <w:color w:val="000000" w:themeColor="text1"/>
                <w:sz w:val="20"/>
                <w:szCs w:val="20"/>
              </w:rPr>
              <w:t>+17 %</w:t>
            </w:r>
          </w:p>
        </w:tc>
        <w:tc>
          <w:tcPr>
            <w:tcW w:w="943" w:type="dxa"/>
            <w:tcBorders>
              <w:top w:val="nil"/>
              <w:left w:val="single" w:sz="4" w:space="0" w:color="auto"/>
              <w:bottom w:val="single" w:sz="4" w:space="0" w:color="auto"/>
              <w:right w:val="nil"/>
            </w:tcBorders>
            <w:shd w:val="clear" w:color="auto" w:fill="auto"/>
            <w:noWrap/>
            <w:vAlign w:val="bottom"/>
            <w:hideMark/>
          </w:tcPr>
          <w:p w14:paraId="054C8CCC" w14:textId="77777777" w:rsidR="008430BD" w:rsidRPr="001C3EC8" w:rsidRDefault="008430BD" w:rsidP="00E077F3">
            <w:pPr>
              <w:jc w:val="center"/>
              <w:rPr>
                <w:color w:val="000000" w:themeColor="text1"/>
                <w:szCs w:val="24"/>
              </w:rPr>
            </w:pPr>
            <w:r w:rsidRPr="001C3EC8">
              <w:rPr>
                <w:color w:val="000000" w:themeColor="text1"/>
              </w:rPr>
              <w:t>50</w:t>
            </w:r>
          </w:p>
        </w:tc>
        <w:tc>
          <w:tcPr>
            <w:tcW w:w="1018" w:type="dxa"/>
            <w:tcBorders>
              <w:top w:val="nil"/>
              <w:left w:val="nil"/>
              <w:bottom w:val="single" w:sz="4" w:space="0" w:color="auto"/>
              <w:right w:val="single" w:sz="4" w:space="0" w:color="auto"/>
            </w:tcBorders>
            <w:shd w:val="clear" w:color="auto" w:fill="auto"/>
            <w:noWrap/>
            <w:vAlign w:val="center"/>
            <w:hideMark/>
          </w:tcPr>
          <w:p w14:paraId="64C214FF" w14:textId="77777777" w:rsidR="008430BD" w:rsidRPr="001C3EC8" w:rsidRDefault="008430BD" w:rsidP="0062147A">
            <w:pPr>
              <w:jc w:val="center"/>
              <w:rPr>
                <w:color w:val="000000" w:themeColor="text1"/>
                <w:sz w:val="20"/>
                <w:szCs w:val="20"/>
              </w:rPr>
            </w:pPr>
            <w:r w:rsidRPr="001C3EC8">
              <w:rPr>
                <w:color w:val="000000" w:themeColor="text1"/>
                <w:sz w:val="20"/>
                <w:szCs w:val="20"/>
              </w:rPr>
              <w:t>+9 %</w:t>
            </w:r>
          </w:p>
        </w:tc>
        <w:tc>
          <w:tcPr>
            <w:tcW w:w="1106" w:type="dxa"/>
            <w:gridSpan w:val="2"/>
            <w:tcBorders>
              <w:top w:val="nil"/>
              <w:left w:val="nil"/>
              <w:bottom w:val="single" w:sz="4" w:space="0" w:color="auto"/>
              <w:right w:val="nil"/>
            </w:tcBorders>
            <w:shd w:val="clear" w:color="auto" w:fill="auto"/>
            <w:noWrap/>
            <w:vAlign w:val="bottom"/>
            <w:hideMark/>
          </w:tcPr>
          <w:p w14:paraId="04AC5EE5" w14:textId="77777777" w:rsidR="008430BD" w:rsidRPr="001C3EC8" w:rsidRDefault="008430BD" w:rsidP="00E077F3">
            <w:pPr>
              <w:jc w:val="center"/>
              <w:rPr>
                <w:color w:val="000000" w:themeColor="text1"/>
                <w:szCs w:val="24"/>
              </w:rPr>
            </w:pPr>
            <w:r w:rsidRPr="001C3EC8">
              <w:rPr>
                <w:color w:val="000000" w:themeColor="text1"/>
              </w:rPr>
              <w:t>189</w:t>
            </w:r>
          </w:p>
        </w:tc>
        <w:tc>
          <w:tcPr>
            <w:tcW w:w="992" w:type="dxa"/>
            <w:tcBorders>
              <w:top w:val="nil"/>
              <w:left w:val="nil"/>
              <w:bottom w:val="single" w:sz="4" w:space="0" w:color="auto"/>
              <w:right w:val="nil"/>
            </w:tcBorders>
            <w:shd w:val="clear" w:color="auto" w:fill="auto"/>
            <w:noWrap/>
            <w:vAlign w:val="center"/>
            <w:hideMark/>
          </w:tcPr>
          <w:p w14:paraId="63C12C04" w14:textId="77777777" w:rsidR="008430BD" w:rsidRPr="001C3EC8" w:rsidRDefault="008430BD" w:rsidP="0062147A">
            <w:pPr>
              <w:jc w:val="center"/>
              <w:rPr>
                <w:color w:val="000000" w:themeColor="text1"/>
                <w:sz w:val="20"/>
                <w:szCs w:val="20"/>
              </w:rPr>
            </w:pPr>
            <w:r w:rsidRPr="001C3EC8">
              <w:rPr>
                <w:color w:val="000000" w:themeColor="text1"/>
                <w:sz w:val="20"/>
                <w:szCs w:val="20"/>
              </w:rPr>
              <w:t>+29 %</w:t>
            </w:r>
          </w:p>
        </w:tc>
      </w:tr>
      <w:tr w:rsidR="008430BD" w:rsidRPr="001C3EC8" w14:paraId="02D8D27A" w14:textId="77777777" w:rsidTr="0062147A">
        <w:trPr>
          <w:gridAfter w:val="2"/>
          <w:wAfter w:w="25" w:type="dxa"/>
          <w:trHeight w:val="315"/>
        </w:trPr>
        <w:tc>
          <w:tcPr>
            <w:tcW w:w="2480" w:type="dxa"/>
            <w:tcBorders>
              <w:top w:val="nil"/>
              <w:left w:val="nil"/>
              <w:bottom w:val="single" w:sz="4" w:space="0" w:color="auto"/>
              <w:right w:val="nil"/>
            </w:tcBorders>
            <w:shd w:val="clear" w:color="auto" w:fill="auto"/>
            <w:noWrap/>
            <w:vAlign w:val="bottom"/>
            <w:hideMark/>
          </w:tcPr>
          <w:p w14:paraId="3287BE2B" w14:textId="77777777" w:rsidR="008430BD" w:rsidRPr="001C3EC8" w:rsidRDefault="008430BD" w:rsidP="00E077F3">
            <w:pPr>
              <w:jc w:val="left"/>
              <w:rPr>
                <w:color w:val="000000" w:themeColor="text1"/>
                <w:szCs w:val="24"/>
              </w:rPr>
            </w:pPr>
            <w:r w:rsidRPr="001C3EC8">
              <w:rPr>
                <w:color w:val="000000" w:themeColor="text1"/>
              </w:rPr>
              <w:t>KS Plzeň</w:t>
            </w:r>
          </w:p>
        </w:tc>
        <w:tc>
          <w:tcPr>
            <w:tcW w:w="1064" w:type="dxa"/>
            <w:tcBorders>
              <w:top w:val="nil"/>
              <w:left w:val="nil"/>
              <w:bottom w:val="single" w:sz="4" w:space="0" w:color="auto"/>
              <w:right w:val="nil"/>
            </w:tcBorders>
            <w:shd w:val="clear" w:color="auto" w:fill="auto"/>
            <w:noWrap/>
            <w:vAlign w:val="bottom"/>
            <w:hideMark/>
          </w:tcPr>
          <w:p w14:paraId="1C974C98" w14:textId="77777777" w:rsidR="008430BD" w:rsidRPr="001C3EC8" w:rsidRDefault="008430BD" w:rsidP="00E077F3">
            <w:pPr>
              <w:jc w:val="center"/>
              <w:rPr>
                <w:color w:val="000000" w:themeColor="text1"/>
              </w:rPr>
            </w:pPr>
            <w:r w:rsidRPr="001C3EC8">
              <w:rPr>
                <w:color w:val="000000" w:themeColor="text1"/>
              </w:rPr>
              <w:t>120</w:t>
            </w:r>
          </w:p>
        </w:tc>
        <w:tc>
          <w:tcPr>
            <w:tcW w:w="851" w:type="dxa"/>
            <w:tcBorders>
              <w:top w:val="nil"/>
              <w:left w:val="nil"/>
              <w:bottom w:val="single" w:sz="4" w:space="0" w:color="auto"/>
              <w:right w:val="nil"/>
            </w:tcBorders>
            <w:shd w:val="clear" w:color="auto" w:fill="auto"/>
            <w:noWrap/>
            <w:vAlign w:val="center"/>
            <w:hideMark/>
          </w:tcPr>
          <w:p w14:paraId="736215F1" w14:textId="77777777" w:rsidR="008430BD" w:rsidRPr="001C3EC8" w:rsidRDefault="008430BD" w:rsidP="0062147A">
            <w:pPr>
              <w:jc w:val="center"/>
              <w:rPr>
                <w:color w:val="000000" w:themeColor="text1"/>
                <w:sz w:val="20"/>
                <w:szCs w:val="20"/>
              </w:rPr>
            </w:pPr>
            <w:r w:rsidRPr="001C3EC8">
              <w:rPr>
                <w:color w:val="000000" w:themeColor="text1"/>
                <w:sz w:val="20"/>
                <w:szCs w:val="20"/>
              </w:rPr>
              <w:t>+13 %</w:t>
            </w:r>
          </w:p>
        </w:tc>
        <w:tc>
          <w:tcPr>
            <w:tcW w:w="943" w:type="dxa"/>
            <w:tcBorders>
              <w:top w:val="nil"/>
              <w:left w:val="single" w:sz="4" w:space="0" w:color="auto"/>
              <w:bottom w:val="single" w:sz="4" w:space="0" w:color="auto"/>
              <w:right w:val="nil"/>
            </w:tcBorders>
            <w:shd w:val="clear" w:color="auto" w:fill="auto"/>
            <w:noWrap/>
            <w:vAlign w:val="bottom"/>
            <w:hideMark/>
          </w:tcPr>
          <w:p w14:paraId="14F0BDA2" w14:textId="77777777" w:rsidR="008430BD" w:rsidRPr="001C3EC8" w:rsidRDefault="008430BD" w:rsidP="00E077F3">
            <w:pPr>
              <w:jc w:val="center"/>
              <w:rPr>
                <w:color w:val="000000" w:themeColor="text1"/>
                <w:szCs w:val="24"/>
              </w:rPr>
            </w:pPr>
            <w:r w:rsidRPr="001C3EC8">
              <w:rPr>
                <w:color w:val="000000" w:themeColor="text1"/>
              </w:rPr>
              <w:t>78</w:t>
            </w:r>
          </w:p>
        </w:tc>
        <w:tc>
          <w:tcPr>
            <w:tcW w:w="1018" w:type="dxa"/>
            <w:tcBorders>
              <w:top w:val="nil"/>
              <w:left w:val="nil"/>
              <w:bottom w:val="single" w:sz="4" w:space="0" w:color="auto"/>
              <w:right w:val="single" w:sz="4" w:space="0" w:color="auto"/>
            </w:tcBorders>
            <w:shd w:val="clear" w:color="auto" w:fill="auto"/>
            <w:noWrap/>
            <w:vAlign w:val="center"/>
            <w:hideMark/>
          </w:tcPr>
          <w:p w14:paraId="72A7A5B9" w14:textId="77777777" w:rsidR="008430BD" w:rsidRPr="001C3EC8" w:rsidRDefault="008430BD" w:rsidP="0062147A">
            <w:pPr>
              <w:jc w:val="center"/>
              <w:rPr>
                <w:color w:val="000000" w:themeColor="text1"/>
                <w:sz w:val="20"/>
                <w:szCs w:val="20"/>
              </w:rPr>
            </w:pPr>
            <w:r w:rsidRPr="001C3EC8">
              <w:rPr>
                <w:color w:val="000000" w:themeColor="text1"/>
                <w:sz w:val="20"/>
                <w:szCs w:val="20"/>
              </w:rPr>
              <w:t>+13 %</w:t>
            </w:r>
          </w:p>
        </w:tc>
        <w:tc>
          <w:tcPr>
            <w:tcW w:w="1106" w:type="dxa"/>
            <w:gridSpan w:val="2"/>
            <w:tcBorders>
              <w:top w:val="nil"/>
              <w:left w:val="nil"/>
              <w:bottom w:val="single" w:sz="4" w:space="0" w:color="auto"/>
              <w:right w:val="nil"/>
            </w:tcBorders>
            <w:shd w:val="clear" w:color="auto" w:fill="auto"/>
            <w:noWrap/>
            <w:vAlign w:val="bottom"/>
            <w:hideMark/>
          </w:tcPr>
          <w:p w14:paraId="248D9B0D" w14:textId="77777777" w:rsidR="008430BD" w:rsidRPr="001C3EC8" w:rsidRDefault="008430BD" w:rsidP="00E077F3">
            <w:pPr>
              <w:jc w:val="center"/>
              <w:rPr>
                <w:color w:val="000000" w:themeColor="text1"/>
                <w:szCs w:val="24"/>
              </w:rPr>
            </w:pPr>
            <w:r w:rsidRPr="001C3EC8">
              <w:rPr>
                <w:color w:val="000000" w:themeColor="text1"/>
              </w:rPr>
              <w:t>260</w:t>
            </w:r>
          </w:p>
        </w:tc>
        <w:tc>
          <w:tcPr>
            <w:tcW w:w="992" w:type="dxa"/>
            <w:tcBorders>
              <w:top w:val="nil"/>
              <w:left w:val="nil"/>
              <w:bottom w:val="single" w:sz="4" w:space="0" w:color="auto"/>
              <w:right w:val="nil"/>
            </w:tcBorders>
            <w:shd w:val="clear" w:color="auto" w:fill="auto"/>
            <w:noWrap/>
            <w:vAlign w:val="center"/>
            <w:hideMark/>
          </w:tcPr>
          <w:p w14:paraId="67820A7A" w14:textId="77777777" w:rsidR="008430BD" w:rsidRPr="001C3EC8" w:rsidRDefault="008430BD" w:rsidP="0062147A">
            <w:pPr>
              <w:jc w:val="center"/>
              <w:rPr>
                <w:color w:val="000000" w:themeColor="text1"/>
                <w:sz w:val="20"/>
                <w:szCs w:val="20"/>
              </w:rPr>
            </w:pPr>
            <w:r w:rsidRPr="001C3EC8">
              <w:rPr>
                <w:color w:val="000000" w:themeColor="text1"/>
                <w:sz w:val="20"/>
                <w:szCs w:val="20"/>
              </w:rPr>
              <w:t>+16 %</w:t>
            </w:r>
          </w:p>
        </w:tc>
      </w:tr>
      <w:tr w:rsidR="008430BD" w:rsidRPr="001C3EC8" w14:paraId="47136A06" w14:textId="77777777" w:rsidTr="0062147A">
        <w:trPr>
          <w:gridAfter w:val="2"/>
          <w:wAfter w:w="25" w:type="dxa"/>
          <w:trHeight w:val="315"/>
        </w:trPr>
        <w:tc>
          <w:tcPr>
            <w:tcW w:w="2480" w:type="dxa"/>
            <w:tcBorders>
              <w:top w:val="nil"/>
              <w:left w:val="nil"/>
              <w:bottom w:val="single" w:sz="4" w:space="0" w:color="auto"/>
              <w:right w:val="nil"/>
            </w:tcBorders>
            <w:shd w:val="clear" w:color="auto" w:fill="auto"/>
            <w:noWrap/>
            <w:vAlign w:val="bottom"/>
            <w:hideMark/>
          </w:tcPr>
          <w:p w14:paraId="530F31DD" w14:textId="77777777" w:rsidR="008430BD" w:rsidRPr="001C3EC8" w:rsidRDefault="008430BD" w:rsidP="00E077F3">
            <w:pPr>
              <w:jc w:val="left"/>
              <w:rPr>
                <w:color w:val="000000" w:themeColor="text1"/>
                <w:szCs w:val="24"/>
              </w:rPr>
            </w:pPr>
            <w:r w:rsidRPr="001C3EC8">
              <w:rPr>
                <w:color w:val="000000" w:themeColor="text1"/>
              </w:rPr>
              <w:t>KS Ústí n. Labem</w:t>
            </w:r>
          </w:p>
        </w:tc>
        <w:tc>
          <w:tcPr>
            <w:tcW w:w="1064" w:type="dxa"/>
            <w:tcBorders>
              <w:top w:val="nil"/>
              <w:left w:val="nil"/>
              <w:bottom w:val="single" w:sz="4" w:space="0" w:color="auto"/>
              <w:right w:val="nil"/>
            </w:tcBorders>
            <w:shd w:val="clear" w:color="auto" w:fill="auto"/>
            <w:noWrap/>
            <w:vAlign w:val="bottom"/>
            <w:hideMark/>
          </w:tcPr>
          <w:p w14:paraId="08F8D730" w14:textId="77777777" w:rsidR="008430BD" w:rsidRPr="001C3EC8" w:rsidRDefault="008430BD" w:rsidP="00E077F3">
            <w:pPr>
              <w:jc w:val="center"/>
              <w:rPr>
                <w:color w:val="000000" w:themeColor="text1"/>
              </w:rPr>
            </w:pPr>
            <w:r w:rsidRPr="001C3EC8">
              <w:rPr>
                <w:color w:val="000000" w:themeColor="text1"/>
              </w:rPr>
              <w:t>147</w:t>
            </w:r>
          </w:p>
        </w:tc>
        <w:tc>
          <w:tcPr>
            <w:tcW w:w="851" w:type="dxa"/>
            <w:tcBorders>
              <w:top w:val="nil"/>
              <w:left w:val="nil"/>
              <w:bottom w:val="single" w:sz="4" w:space="0" w:color="auto"/>
              <w:right w:val="nil"/>
            </w:tcBorders>
            <w:shd w:val="clear" w:color="auto" w:fill="auto"/>
            <w:noWrap/>
            <w:vAlign w:val="center"/>
            <w:hideMark/>
          </w:tcPr>
          <w:p w14:paraId="4D640622" w14:textId="77777777" w:rsidR="008430BD" w:rsidRPr="001C3EC8" w:rsidRDefault="008430BD" w:rsidP="0062147A">
            <w:pPr>
              <w:jc w:val="center"/>
              <w:rPr>
                <w:color w:val="000000" w:themeColor="text1"/>
                <w:sz w:val="20"/>
                <w:szCs w:val="20"/>
              </w:rPr>
            </w:pPr>
            <w:r w:rsidRPr="001C3EC8">
              <w:rPr>
                <w:color w:val="000000" w:themeColor="text1"/>
                <w:sz w:val="20"/>
                <w:szCs w:val="20"/>
              </w:rPr>
              <w:t>-9 %</w:t>
            </w:r>
          </w:p>
        </w:tc>
        <w:tc>
          <w:tcPr>
            <w:tcW w:w="943" w:type="dxa"/>
            <w:tcBorders>
              <w:top w:val="nil"/>
              <w:left w:val="single" w:sz="4" w:space="0" w:color="auto"/>
              <w:bottom w:val="single" w:sz="4" w:space="0" w:color="auto"/>
              <w:right w:val="nil"/>
            </w:tcBorders>
            <w:shd w:val="clear" w:color="auto" w:fill="auto"/>
            <w:noWrap/>
            <w:vAlign w:val="bottom"/>
            <w:hideMark/>
          </w:tcPr>
          <w:p w14:paraId="114C1AF3" w14:textId="77777777" w:rsidR="008430BD" w:rsidRPr="001C3EC8" w:rsidRDefault="008430BD" w:rsidP="00E077F3">
            <w:pPr>
              <w:jc w:val="center"/>
              <w:rPr>
                <w:color w:val="000000" w:themeColor="text1"/>
                <w:szCs w:val="24"/>
              </w:rPr>
            </w:pPr>
            <w:r w:rsidRPr="001C3EC8">
              <w:rPr>
                <w:color w:val="000000" w:themeColor="text1"/>
              </w:rPr>
              <w:t>101</w:t>
            </w:r>
          </w:p>
        </w:tc>
        <w:tc>
          <w:tcPr>
            <w:tcW w:w="1018" w:type="dxa"/>
            <w:tcBorders>
              <w:top w:val="nil"/>
              <w:left w:val="nil"/>
              <w:bottom w:val="single" w:sz="4" w:space="0" w:color="auto"/>
              <w:right w:val="single" w:sz="4" w:space="0" w:color="auto"/>
            </w:tcBorders>
            <w:shd w:val="clear" w:color="auto" w:fill="auto"/>
            <w:noWrap/>
            <w:vAlign w:val="center"/>
            <w:hideMark/>
          </w:tcPr>
          <w:p w14:paraId="2FB29287" w14:textId="77777777" w:rsidR="008430BD" w:rsidRPr="001C3EC8" w:rsidRDefault="008430BD" w:rsidP="0062147A">
            <w:pPr>
              <w:jc w:val="center"/>
              <w:rPr>
                <w:color w:val="000000" w:themeColor="text1"/>
                <w:sz w:val="20"/>
                <w:szCs w:val="20"/>
              </w:rPr>
            </w:pPr>
            <w:r w:rsidRPr="001C3EC8">
              <w:rPr>
                <w:color w:val="000000" w:themeColor="text1"/>
                <w:sz w:val="20"/>
                <w:szCs w:val="20"/>
              </w:rPr>
              <w:t>+16 %</w:t>
            </w:r>
          </w:p>
        </w:tc>
        <w:tc>
          <w:tcPr>
            <w:tcW w:w="1106" w:type="dxa"/>
            <w:gridSpan w:val="2"/>
            <w:tcBorders>
              <w:top w:val="nil"/>
              <w:left w:val="nil"/>
              <w:bottom w:val="single" w:sz="4" w:space="0" w:color="auto"/>
              <w:right w:val="nil"/>
            </w:tcBorders>
            <w:shd w:val="clear" w:color="auto" w:fill="auto"/>
            <w:noWrap/>
            <w:vAlign w:val="bottom"/>
            <w:hideMark/>
          </w:tcPr>
          <w:p w14:paraId="70AC0BFF" w14:textId="77777777" w:rsidR="008430BD" w:rsidRPr="001C3EC8" w:rsidRDefault="008430BD" w:rsidP="00E077F3">
            <w:pPr>
              <w:jc w:val="center"/>
              <w:rPr>
                <w:color w:val="000000" w:themeColor="text1"/>
                <w:szCs w:val="24"/>
              </w:rPr>
            </w:pPr>
            <w:r w:rsidRPr="001C3EC8">
              <w:rPr>
                <w:color w:val="000000" w:themeColor="text1"/>
              </w:rPr>
              <w:t>300</w:t>
            </w:r>
          </w:p>
        </w:tc>
        <w:tc>
          <w:tcPr>
            <w:tcW w:w="992" w:type="dxa"/>
            <w:tcBorders>
              <w:top w:val="nil"/>
              <w:left w:val="nil"/>
              <w:bottom w:val="single" w:sz="4" w:space="0" w:color="auto"/>
              <w:right w:val="nil"/>
            </w:tcBorders>
            <w:shd w:val="clear" w:color="auto" w:fill="auto"/>
            <w:noWrap/>
            <w:vAlign w:val="center"/>
            <w:hideMark/>
          </w:tcPr>
          <w:p w14:paraId="1355365E" w14:textId="77777777" w:rsidR="008430BD" w:rsidRPr="001C3EC8" w:rsidRDefault="008430BD" w:rsidP="0062147A">
            <w:pPr>
              <w:jc w:val="center"/>
              <w:rPr>
                <w:color w:val="000000" w:themeColor="text1"/>
                <w:sz w:val="20"/>
                <w:szCs w:val="20"/>
              </w:rPr>
            </w:pPr>
            <w:r w:rsidRPr="001C3EC8">
              <w:rPr>
                <w:color w:val="000000" w:themeColor="text1"/>
                <w:sz w:val="20"/>
                <w:szCs w:val="20"/>
              </w:rPr>
              <w:t>-16 %</w:t>
            </w:r>
          </w:p>
        </w:tc>
      </w:tr>
      <w:tr w:rsidR="008430BD" w:rsidRPr="001C3EC8" w14:paraId="72EAA994" w14:textId="77777777" w:rsidTr="0062147A">
        <w:trPr>
          <w:gridAfter w:val="2"/>
          <w:wAfter w:w="25" w:type="dxa"/>
          <w:trHeight w:val="315"/>
        </w:trPr>
        <w:tc>
          <w:tcPr>
            <w:tcW w:w="2480" w:type="dxa"/>
            <w:tcBorders>
              <w:top w:val="nil"/>
              <w:left w:val="nil"/>
              <w:bottom w:val="single" w:sz="4" w:space="0" w:color="auto"/>
              <w:right w:val="nil"/>
            </w:tcBorders>
            <w:shd w:val="clear" w:color="auto" w:fill="auto"/>
            <w:noWrap/>
            <w:vAlign w:val="bottom"/>
            <w:hideMark/>
          </w:tcPr>
          <w:p w14:paraId="4ED732A8" w14:textId="77777777" w:rsidR="008430BD" w:rsidRPr="001C3EC8" w:rsidRDefault="008430BD" w:rsidP="00E077F3">
            <w:pPr>
              <w:jc w:val="left"/>
              <w:rPr>
                <w:color w:val="000000" w:themeColor="text1"/>
                <w:szCs w:val="24"/>
              </w:rPr>
            </w:pPr>
            <w:r w:rsidRPr="001C3EC8">
              <w:rPr>
                <w:color w:val="000000" w:themeColor="text1"/>
              </w:rPr>
              <w:t>KS Hr. Králové</w:t>
            </w:r>
          </w:p>
        </w:tc>
        <w:tc>
          <w:tcPr>
            <w:tcW w:w="1064" w:type="dxa"/>
            <w:tcBorders>
              <w:top w:val="nil"/>
              <w:left w:val="nil"/>
              <w:bottom w:val="single" w:sz="4" w:space="0" w:color="auto"/>
              <w:right w:val="nil"/>
            </w:tcBorders>
            <w:shd w:val="clear" w:color="auto" w:fill="auto"/>
            <w:noWrap/>
            <w:vAlign w:val="bottom"/>
            <w:hideMark/>
          </w:tcPr>
          <w:p w14:paraId="30BF4600" w14:textId="77777777" w:rsidR="008430BD" w:rsidRPr="001C3EC8" w:rsidRDefault="008430BD" w:rsidP="00E077F3">
            <w:pPr>
              <w:jc w:val="center"/>
              <w:rPr>
                <w:color w:val="000000" w:themeColor="text1"/>
              </w:rPr>
            </w:pPr>
            <w:r w:rsidRPr="001C3EC8">
              <w:rPr>
                <w:color w:val="000000" w:themeColor="text1"/>
              </w:rPr>
              <w:t>127</w:t>
            </w:r>
          </w:p>
        </w:tc>
        <w:tc>
          <w:tcPr>
            <w:tcW w:w="851" w:type="dxa"/>
            <w:tcBorders>
              <w:top w:val="nil"/>
              <w:left w:val="nil"/>
              <w:bottom w:val="single" w:sz="4" w:space="0" w:color="auto"/>
              <w:right w:val="nil"/>
            </w:tcBorders>
            <w:shd w:val="clear" w:color="auto" w:fill="auto"/>
            <w:noWrap/>
            <w:vAlign w:val="center"/>
            <w:hideMark/>
          </w:tcPr>
          <w:p w14:paraId="34ED4837" w14:textId="77777777" w:rsidR="008430BD" w:rsidRPr="001C3EC8" w:rsidRDefault="008430BD" w:rsidP="0062147A">
            <w:pPr>
              <w:jc w:val="center"/>
              <w:rPr>
                <w:color w:val="000000" w:themeColor="text1"/>
                <w:sz w:val="20"/>
                <w:szCs w:val="20"/>
              </w:rPr>
            </w:pPr>
            <w:r w:rsidRPr="001C3EC8">
              <w:rPr>
                <w:color w:val="000000" w:themeColor="text1"/>
                <w:sz w:val="20"/>
                <w:szCs w:val="20"/>
              </w:rPr>
              <w:t>+15 %</w:t>
            </w:r>
          </w:p>
        </w:tc>
        <w:tc>
          <w:tcPr>
            <w:tcW w:w="943" w:type="dxa"/>
            <w:tcBorders>
              <w:top w:val="nil"/>
              <w:left w:val="single" w:sz="4" w:space="0" w:color="auto"/>
              <w:bottom w:val="single" w:sz="4" w:space="0" w:color="auto"/>
              <w:right w:val="nil"/>
            </w:tcBorders>
            <w:shd w:val="clear" w:color="auto" w:fill="auto"/>
            <w:noWrap/>
            <w:vAlign w:val="bottom"/>
            <w:hideMark/>
          </w:tcPr>
          <w:p w14:paraId="0DF83422" w14:textId="77777777" w:rsidR="008430BD" w:rsidRPr="001C3EC8" w:rsidRDefault="008430BD" w:rsidP="00E077F3">
            <w:pPr>
              <w:jc w:val="center"/>
              <w:rPr>
                <w:color w:val="000000" w:themeColor="text1"/>
                <w:szCs w:val="24"/>
              </w:rPr>
            </w:pPr>
            <w:r w:rsidRPr="001C3EC8">
              <w:rPr>
                <w:color w:val="000000" w:themeColor="text1"/>
              </w:rPr>
              <w:t>81</w:t>
            </w:r>
          </w:p>
        </w:tc>
        <w:tc>
          <w:tcPr>
            <w:tcW w:w="1018" w:type="dxa"/>
            <w:tcBorders>
              <w:top w:val="nil"/>
              <w:left w:val="nil"/>
              <w:bottom w:val="single" w:sz="4" w:space="0" w:color="auto"/>
              <w:right w:val="single" w:sz="4" w:space="0" w:color="auto"/>
            </w:tcBorders>
            <w:shd w:val="clear" w:color="auto" w:fill="auto"/>
            <w:noWrap/>
            <w:vAlign w:val="center"/>
            <w:hideMark/>
          </w:tcPr>
          <w:p w14:paraId="05F4C124" w14:textId="77777777" w:rsidR="008430BD" w:rsidRPr="001C3EC8" w:rsidRDefault="008430BD" w:rsidP="0062147A">
            <w:pPr>
              <w:jc w:val="center"/>
              <w:rPr>
                <w:color w:val="000000" w:themeColor="text1"/>
                <w:sz w:val="20"/>
                <w:szCs w:val="20"/>
              </w:rPr>
            </w:pPr>
            <w:r w:rsidRPr="001C3EC8">
              <w:rPr>
                <w:color w:val="000000" w:themeColor="text1"/>
                <w:sz w:val="20"/>
                <w:szCs w:val="20"/>
              </w:rPr>
              <w:t>+16 %</w:t>
            </w:r>
          </w:p>
        </w:tc>
        <w:tc>
          <w:tcPr>
            <w:tcW w:w="1106" w:type="dxa"/>
            <w:gridSpan w:val="2"/>
            <w:tcBorders>
              <w:top w:val="nil"/>
              <w:left w:val="nil"/>
              <w:bottom w:val="single" w:sz="4" w:space="0" w:color="auto"/>
              <w:right w:val="nil"/>
            </w:tcBorders>
            <w:shd w:val="clear" w:color="auto" w:fill="auto"/>
            <w:noWrap/>
            <w:vAlign w:val="bottom"/>
            <w:hideMark/>
          </w:tcPr>
          <w:p w14:paraId="19A22BD1" w14:textId="77777777" w:rsidR="008430BD" w:rsidRPr="001C3EC8" w:rsidRDefault="008430BD" w:rsidP="00E077F3">
            <w:pPr>
              <w:jc w:val="center"/>
              <w:rPr>
                <w:color w:val="000000" w:themeColor="text1"/>
                <w:szCs w:val="24"/>
              </w:rPr>
            </w:pPr>
            <w:r w:rsidRPr="001C3EC8">
              <w:rPr>
                <w:color w:val="000000" w:themeColor="text1"/>
              </w:rPr>
              <w:t>273</w:t>
            </w:r>
          </w:p>
        </w:tc>
        <w:tc>
          <w:tcPr>
            <w:tcW w:w="992" w:type="dxa"/>
            <w:tcBorders>
              <w:top w:val="nil"/>
              <w:left w:val="nil"/>
              <w:bottom w:val="single" w:sz="4" w:space="0" w:color="auto"/>
              <w:right w:val="nil"/>
            </w:tcBorders>
            <w:shd w:val="clear" w:color="auto" w:fill="auto"/>
            <w:noWrap/>
            <w:vAlign w:val="center"/>
            <w:hideMark/>
          </w:tcPr>
          <w:p w14:paraId="7D77AB11" w14:textId="77777777" w:rsidR="008430BD" w:rsidRPr="001C3EC8" w:rsidRDefault="008430BD" w:rsidP="0062147A">
            <w:pPr>
              <w:jc w:val="center"/>
              <w:rPr>
                <w:color w:val="000000" w:themeColor="text1"/>
                <w:sz w:val="20"/>
                <w:szCs w:val="20"/>
              </w:rPr>
            </w:pPr>
            <w:r w:rsidRPr="001C3EC8">
              <w:rPr>
                <w:color w:val="000000" w:themeColor="text1"/>
                <w:sz w:val="20"/>
                <w:szCs w:val="20"/>
              </w:rPr>
              <w:t>+16 %</w:t>
            </w:r>
          </w:p>
        </w:tc>
      </w:tr>
      <w:tr w:rsidR="008430BD" w:rsidRPr="001C3EC8" w14:paraId="0565263C" w14:textId="77777777" w:rsidTr="0062147A">
        <w:trPr>
          <w:gridAfter w:val="2"/>
          <w:wAfter w:w="25" w:type="dxa"/>
          <w:trHeight w:val="315"/>
        </w:trPr>
        <w:tc>
          <w:tcPr>
            <w:tcW w:w="2480" w:type="dxa"/>
            <w:tcBorders>
              <w:top w:val="nil"/>
              <w:left w:val="nil"/>
              <w:bottom w:val="single" w:sz="4" w:space="0" w:color="auto"/>
              <w:right w:val="nil"/>
            </w:tcBorders>
            <w:shd w:val="clear" w:color="auto" w:fill="auto"/>
            <w:noWrap/>
            <w:vAlign w:val="bottom"/>
            <w:hideMark/>
          </w:tcPr>
          <w:p w14:paraId="2F787D17" w14:textId="77777777" w:rsidR="008430BD" w:rsidRPr="001C3EC8" w:rsidRDefault="008430BD" w:rsidP="00E077F3">
            <w:pPr>
              <w:jc w:val="left"/>
              <w:rPr>
                <w:color w:val="000000" w:themeColor="text1"/>
                <w:szCs w:val="24"/>
              </w:rPr>
            </w:pPr>
            <w:r w:rsidRPr="001C3EC8">
              <w:rPr>
                <w:color w:val="000000" w:themeColor="text1"/>
              </w:rPr>
              <w:t>KS Brno</w:t>
            </w:r>
          </w:p>
        </w:tc>
        <w:tc>
          <w:tcPr>
            <w:tcW w:w="1064" w:type="dxa"/>
            <w:tcBorders>
              <w:top w:val="nil"/>
              <w:left w:val="nil"/>
              <w:bottom w:val="single" w:sz="4" w:space="0" w:color="auto"/>
              <w:right w:val="nil"/>
            </w:tcBorders>
            <w:shd w:val="clear" w:color="auto" w:fill="auto"/>
            <w:noWrap/>
            <w:vAlign w:val="bottom"/>
            <w:hideMark/>
          </w:tcPr>
          <w:p w14:paraId="3C63AB9B" w14:textId="77777777" w:rsidR="008430BD" w:rsidRPr="001C3EC8" w:rsidRDefault="008430BD" w:rsidP="00E077F3">
            <w:pPr>
              <w:jc w:val="center"/>
              <w:rPr>
                <w:color w:val="000000" w:themeColor="text1"/>
              </w:rPr>
            </w:pPr>
            <w:r w:rsidRPr="001C3EC8">
              <w:rPr>
                <w:color w:val="000000" w:themeColor="text1"/>
              </w:rPr>
              <w:t>155</w:t>
            </w:r>
          </w:p>
        </w:tc>
        <w:tc>
          <w:tcPr>
            <w:tcW w:w="851" w:type="dxa"/>
            <w:tcBorders>
              <w:top w:val="nil"/>
              <w:left w:val="nil"/>
              <w:bottom w:val="single" w:sz="4" w:space="0" w:color="auto"/>
              <w:right w:val="nil"/>
            </w:tcBorders>
            <w:shd w:val="clear" w:color="auto" w:fill="auto"/>
            <w:noWrap/>
            <w:vAlign w:val="center"/>
            <w:hideMark/>
          </w:tcPr>
          <w:p w14:paraId="56BB2163" w14:textId="77777777" w:rsidR="008430BD" w:rsidRPr="001C3EC8" w:rsidRDefault="008430BD" w:rsidP="0062147A">
            <w:pPr>
              <w:jc w:val="center"/>
              <w:rPr>
                <w:color w:val="000000" w:themeColor="text1"/>
                <w:sz w:val="20"/>
                <w:szCs w:val="20"/>
              </w:rPr>
            </w:pPr>
            <w:r w:rsidRPr="001C3EC8">
              <w:rPr>
                <w:color w:val="000000" w:themeColor="text1"/>
                <w:sz w:val="20"/>
                <w:szCs w:val="20"/>
              </w:rPr>
              <w:t>+3 %</w:t>
            </w:r>
          </w:p>
        </w:tc>
        <w:tc>
          <w:tcPr>
            <w:tcW w:w="943" w:type="dxa"/>
            <w:tcBorders>
              <w:top w:val="nil"/>
              <w:left w:val="single" w:sz="4" w:space="0" w:color="auto"/>
              <w:bottom w:val="single" w:sz="4" w:space="0" w:color="auto"/>
              <w:right w:val="nil"/>
            </w:tcBorders>
            <w:shd w:val="clear" w:color="auto" w:fill="auto"/>
            <w:noWrap/>
            <w:vAlign w:val="bottom"/>
            <w:hideMark/>
          </w:tcPr>
          <w:p w14:paraId="63FCC920" w14:textId="77777777" w:rsidR="008430BD" w:rsidRPr="001C3EC8" w:rsidRDefault="008430BD" w:rsidP="00E077F3">
            <w:pPr>
              <w:jc w:val="center"/>
              <w:rPr>
                <w:color w:val="000000" w:themeColor="text1"/>
                <w:szCs w:val="24"/>
              </w:rPr>
            </w:pPr>
            <w:r w:rsidRPr="001C3EC8">
              <w:rPr>
                <w:color w:val="000000" w:themeColor="text1"/>
              </w:rPr>
              <w:t>109</w:t>
            </w:r>
          </w:p>
        </w:tc>
        <w:tc>
          <w:tcPr>
            <w:tcW w:w="1018" w:type="dxa"/>
            <w:tcBorders>
              <w:top w:val="nil"/>
              <w:left w:val="nil"/>
              <w:bottom w:val="single" w:sz="4" w:space="0" w:color="auto"/>
              <w:right w:val="single" w:sz="4" w:space="0" w:color="auto"/>
            </w:tcBorders>
            <w:shd w:val="clear" w:color="auto" w:fill="auto"/>
            <w:noWrap/>
            <w:vAlign w:val="center"/>
            <w:hideMark/>
          </w:tcPr>
          <w:p w14:paraId="73BCBB9F" w14:textId="77777777" w:rsidR="008430BD" w:rsidRPr="001C3EC8" w:rsidRDefault="008430BD" w:rsidP="0062147A">
            <w:pPr>
              <w:jc w:val="center"/>
              <w:rPr>
                <w:color w:val="000000" w:themeColor="text1"/>
                <w:sz w:val="20"/>
                <w:szCs w:val="20"/>
              </w:rPr>
            </w:pPr>
            <w:r w:rsidRPr="001C3EC8">
              <w:rPr>
                <w:color w:val="000000" w:themeColor="text1"/>
                <w:sz w:val="20"/>
                <w:szCs w:val="20"/>
              </w:rPr>
              <w:t>+14 %</w:t>
            </w:r>
          </w:p>
        </w:tc>
        <w:tc>
          <w:tcPr>
            <w:tcW w:w="1106" w:type="dxa"/>
            <w:gridSpan w:val="2"/>
            <w:tcBorders>
              <w:top w:val="nil"/>
              <w:left w:val="nil"/>
              <w:bottom w:val="single" w:sz="4" w:space="0" w:color="auto"/>
              <w:right w:val="nil"/>
            </w:tcBorders>
            <w:shd w:val="clear" w:color="auto" w:fill="auto"/>
            <w:noWrap/>
            <w:vAlign w:val="bottom"/>
            <w:hideMark/>
          </w:tcPr>
          <w:p w14:paraId="2A76AB4A" w14:textId="77777777" w:rsidR="008430BD" w:rsidRPr="001C3EC8" w:rsidRDefault="008430BD" w:rsidP="00E077F3">
            <w:pPr>
              <w:jc w:val="center"/>
              <w:rPr>
                <w:color w:val="000000" w:themeColor="text1"/>
                <w:szCs w:val="24"/>
              </w:rPr>
            </w:pPr>
            <w:r w:rsidRPr="001C3EC8">
              <w:rPr>
                <w:color w:val="000000" w:themeColor="text1"/>
              </w:rPr>
              <w:t>316</w:t>
            </w:r>
          </w:p>
        </w:tc>
        <w:tc>
          <w:tcPr>
            <w:tcW w:w="992" w:type="dxa"/>
            <w:tcBorders>
              <w:top w:val="nil"/>
              <w:left w:val="nil"/>
              <w:bottom w:val="single" w:sz="4" w:space="0" w:color="auto"/>
              <w:right w:val="nil"/>
            </w:tcBorders>
            <w:shd w:val="clear" w:color="auto" w:fill="auto"/>
            <w:noWrap/>
            <w:vAlign w:val="center"/>
            <w:hideMark/>
          </w:tcPr>
          <w:p w14:paraId="2595F859" w14:textId="77777777" w:rsidR="008430BD" w:rsidRPr="001C3EC8" w:rsidRDefault="008430BD" w:rsidP="0062147A">
            <w:pPr>
              <w:jc w:val="center"/>
              <w:rPr>
                <w:color w:val="000000" w:themeColor="text1"/>
                <w:sz w:val="20"/>
                <w:szCs w:val="20"/>
              </w:rPr>
            </w:pPr>
            <w:r w:rsidRPr="001C3EC8">
              <w:rPr>
                <w:color w:val="000000" w:themeColor="text1"/>
                <w:sz w:val="20"/>
                <w:szCs w:val="20"/>
              </w:rPr>
              <w:t>+2 %</w:t>
            </w:r>
          </w:p>
        </w:tc>
      </w:tr>
      <w:tr w:rsidR="008430BD" w:rsidRPr="001C3EC8" w14:paraId="1D2C7D0D" w14:textId="77777777" w:rsidTr="0062147A">
        <w:trPr>
          <w:gridAfter w:val="2"/>
          <w:wAfter w:w="25" w:type="dxa"/>
          <w:trHeight w:val="330"/>
        </w:trPr>
        <w:tc>
          <w:tcPr>
            <w:tcW w:w="2480" w:type="dxa"/>
            <w:tcBorders>
              <w:top w:val="nil"/>
              <w:left w:val="nil"/>
              <w:bottom w:val="double" w:sz="6" w:space="0" w:color="auto"/>
              <w:right w:val="nil"/>
            </w:tcBorders>
            <w:shd w:val="clear" w:color="auto" w:fill="auto"/>
            <w:noWrap/>
            <w:vAlign w:val="bottom"/>
            <w:hideMark/>
          </w:tcPr>
          <w:p w14:paraId="14786C3E" w14:textId="77777777" w:rsidR="008430BD" w:rsidRPr="001C3EC8" w:rsidRDefault="008430BD" w:rsidP="00E077F3">
            <w:pPr>
              <w:jc w:val="left"/>
              <w:rPr>
                <w:color w:val="000000" w:themeColor="text1"/>
                <w:szCs w:val="24"/>
              </w:rPr>
            </w:pPr>
            <w:r w:rsidRPr="001C3EC8">
              <w:rPr>
                <w:color w:val="000000" w:themeColor="text1"/>
              </w:rPr>
              <w:t>KS Ostrava</w:t>
            </w:r>
          </w:p>
        </w:tc>
        <w:tc>
          <w:tcPr>
            <w:tcW w:w="1064" w:type="dxa"/>
            <w:tcBorders>
              <w:top w:val="nil"/>
              <w:left w:val="nil"/>
              <w:bottom w:val="double" w:sz="6" w:space="0" w:color="auto"/>
              <w:right w:val="nil"/>
            </w:tcBorders>
            <w:shd w:val="clear" w:color="auto" w:fill="auto"/>
            <w:noWrap/>
            <w:vAlign w:val="bottom"/>
            <w:hideMark/>
          </w:tcPr>
          <w:p w14:paraId="6ADD52F3" w14:textId="77777777" w:rsidR="008430BD" w:rsidRPr="001C3EC8" w:rsidRDefault="008430BD" w:rsidP="00E077F3">
            <w:pPr>
              <w:jc w:val="center"/>
              <w:rPr>
                <w:color w:val="000000" w:themeColor="text1"/>
              </w:rPr>
            </w:pPr>
            <w:r w:rsidRPr="001C3EC8">
              <w:rPr>
                <w:color w:val="000000" w:themeColor="text1"/>
              </w:rPr>
              <w:t>138</w:t>
            </w:r>
          </w:p>
        </w:tc>
        <w:tc>
          <w:tcPr>
            <w:tcW w:w="851" w:type="dxa"/>
            <w:tcBorders>
              <w:top w:val="nil"/>
              <w:left w:val="nil"/>
              <w:bottom w:val="double" w:sz="6" w:space="0" w:color="auto"/>
              <w:right w:val="nil"/>
            </w:tcBorders>
            <w:shd w:val="clear" w:color="auto" w:fill="auto"/>
            <w:noWrap/>
            <w:vAlign w:val="center"/>
            <w:hideMark/>
          </w:tcPr>
          <w:p w14:paraId="47C4189B" w14:textId="77777777" w:rsidR="008430BD" w:rsidRPr="001C3EC8" w:rsidRDefault="008430BD" w:rsidP="0062147A">
            <w:pPr>
              <w:jc w:val="center"/>
              <w:rPr>
                <w:color w:val="000000" w:themeColor="text1"/>
                <w:sz w:val="20"/>
                <w:szCs w:val="20"/>
              </w:rPr>
            </w:pPr>
            <w:r w:rsidRPr="001C3EC8">
              <w:rPr>
                <w:color w:val="000000" w:themeColor="text1"/>
                <w:sz w:val="20"/>
                <w:szCs w:val="20"/>
              </w:rPr>
              <w:t>+12 %</w:t>
            </w:r>
          </w:p>
        </w:tc>
        <w:tc>
          <w:tcPr>
            <w:tcW w:w="943" w:type="dxa"/>
            <w:tcBorders>
              <w:top w:val="nil"/>
              <w:left w:val="single" w:sz="4" w:space="0" w:color="auto"/>
              <w:bottom w:val="double" w:sz="6" w:space="0" w:color="auto"/>
              <w:right w:val="nil"/>
            </w:tcBorders>
            <w:shd w:val="clear" w:color="auto" w:fill="auto"/>
            <w:noWrap/>
            <w:vAlign w:val="bottom"/>
            <w:hideMark/>
          </w:tcPr>
          <w:p w14:paraId="48F0D48A" w14:textId="77777777" w:rsidR="008430BD" w:rsidRPr="001C3EC8" w:rsidRDefault="008430BD" w:rsidP="00E077F3">
            <w:pPr>
              <w:jc w:val="center"/>
              <w:rPr>
                <w:color w:val="000000" w:themeColor="text1"/>
                <w:szCs w:val="24"/>
              </w:rPr>
            </w:pPr>
            <w:r w:rsidRPr="001C3EC8">
              <w:rPr>
                <w:color w:val="000000" w:themeColor="text1"/>
              </w:rPr>
              <w:t>101</w:t>
            </w:r>
          </w:p>
        </w:tc>
        <w:tc>
          <w:tcPr>
            <w:tcW w:w="1018" w:type="dxa"/>
            <w:tcBorders>
              <w:top w:val="nil"/>
              <w:left w:val="nil"/>
              <w:bottom w:val="double" w:sz="6" w:space="0" w:color="auto"/>
              <w:right w:val="single" w:sz="4" w:space="0" w:color="auto"/>
            </w:tcBorders>
            <w:shd w:val="clear" w:color="auto" w:fill="auto"/>
            <w:noWrap/>
            <w:vAlign w:val="center"/>
            <w:hideMark/>
          </w:tcPr>
          <w:p w14:paraId="5A1690FE" w14:textId="77777777" w:rsidR="008430BD" w:rsidRPr="001C3EC8" w:rsidRDefault="008430BD" w:rsidP="0062147A">
            <w:pPr>
              <w:jc w:val="center"/>
              <w:rPr>
                <w:color w:val="000000" w:themeColor="text1"/>
                <w:sz w:val="20"/>
                <w:szCs w:val="20"/>
              </w:rPr>
            </w:pPr>
            <w:r w:rsidRPr="001C3EC8">
              <w:rPr>
                <w:color w:val="000000" w:themeColor="text1"/>
                <w:sz w:val="20"/>
                <w:szCs w:val="20"/>
              </w:rPr>
              <w:t>+19 %</w:t>
            </w:r>
          </w:p>
        </w:tc>
        <w:tc>
          <w:tcPr>
            <w:tcW w:w="1106" w:type="dxa"/>
            <w:gridSpan w:val="2"/>
            <w:tcBorders>
              <w:top w:val="nil"/>
              <w:left w:val="nil"/>
              <w:bottom w:val="double" w:sz="6" w:space="0" w:color="auto"/>
              <w:right w:val="nil"/>
            </w:tcBorders>
            <w:shd w:val="clear" w:color="auto" w:fill="auto"/>
            <w:noWrap/>
            <w:vAlign w:val="bottom"/>
            <w:hideMark/>
          </w:tcPr>
          <w:p w14:paraId="2EC53877" w14:textId="77777777" w:rsidR="008430BD" w:rsidRPr="001C3EC8" w:rsidRDefault="008430BD" w:rsidP="00E077F3">
            <w:pPr>
              <w:jc w:val="center"/>
              <w:rPr>
                <w:color w:val="000000" w:themeColor="text1"/>
                <w:szCs w:val="24"/>
              </w:rPr>
            </w:pPr>
            <w:r w:rsidRPr="001C3EC8">
              <w:rPr>
                <w:color w:val="000000" w:themeColor="text1"/>
              </w:rPr>
              <w:t>283</w:t>
            </w:r>
          </w:p>
        </w:tc>
        <w:tc>
          <w:tcPr>
            <w:tcW w:w="992" w:type="dxa"/>
            <w:tcBorders>
              <w:top w:val="nil"/>
              <w:left w:val="nil"/>
              <w:bottom w:val="double" w:sz="6" w:space="0" w:color="auto"/>
              <w:right w:val="nil"/>
            </w:tcBorders>
            <w:shd w:val="clear" w:color="auto" w:fill="auto"/>
            <w:noWrap/>
            <w:vAlign w:val="center"/>
            <w:hideMark/>
          </w:tcPr>
          <w:p w14:paraId="5F13FF0D" w14:textId="77777777" w:rsidR="008430BD" w:rsidRPr="001C3EC8" w:rsidRDefault="008430BD" w:rsidP="0062147A">
            <w:pPr>
              <w:jc w:val="center"/>
              <w:rPr>
                <w:color w:val="000000" w:themeColor="text1"/>
                <w:sz w:val="20"/>
                <w:szCs w:val="20"/>
              </w:rPr>
            </w:pPr>
            <w:r w:rsidRPr="001C3EC8">
              <w:rPr>
                <w:color w:val="000000" w:themeColor="text1"/>
                <w:sz w:val="20"/>
                <w:szCs w:val="20"/>
              </w:rPr>
              <w:t>+14 %</w:t>
            </w:r>
          </w:p>
        </w:tc>
      </w:tr>
      <w:tr w:rsidR="008430BD" w:rsidRPr="001C3EC8" w14:paraId="1F800199" w14:textId="77777777" w:rsidTr="0062147A">
        <w:trPr>
          <w:gridAfter w:val="2"/>
          <w:wAfter w:w="25" w:type="dxa"/>
          <w:trHeight w:val="345"/>
        </w:trPr>
        <w:tc>
          <w:tcPr>
            <w:tcW w:w="2480" w:type="dxa"/>
            <w:tcBorders>
              <w:top w:val="nil"/>
              <w:left w:val="nil"/>
              <w:bottom w:val="double" w:sz="6" w:space="0" w:color="auto"/>
              <w:right w:val="nil"/>
            </w:tcBorders>
            <w:shd w:val="clear" w:color="auto" w:fill="auto"/>
            <w:noWrap/>
            <w:vAlign w:val="bottom"/>
            <w:hideMark/>
          </w:tcPr>
          <w:p w14:paraId="4EC621B5" w14:textId="77777777" w:rsidR="008430BD" w:rsidRPr="001C3EC8" w:rsidRDefault="008430BD" w:rsidP="00E077F3">
            <w:pPr>
              <w:jc w:val="left"/>
              <w:rPr>
                <w:b/>
                <w:bCs/>
                <w:color w:val="000000" w:themeColor="text1"/>
                <w:szCs w:val="24"/>
              </w:rPr>
            </w:pPr>
            <w:r w:rsidRPr="001C3EC8">
              <w:rPr>
                <w:b/>
                <w:bCs/>
                <w:color w:val="000000" w:themeColor="text1"/>
              </w:rPr>
              <w:t>Celkem ČR</w:t>
            </w:r>
          </w:p>
        </w:tc>
        <w:tc>
          <w:tcPr>
            <w:tcW w:w="1064" w:type="dxa"/>
            <w:tcBorders>
              <w:top w:val="nil"/>
              <w:left w:val="nil"/>
              <w:bottom w:val="double" w:sz="6" w:space="0" w:color="auto"/>
              <w:right w:val="nil"/>
            </w:tcBorders>
            <w:shd w:val="clear" w:color="auto" w:fill="auto"/>
            <w:noWrap/>
            <w:vAlign w:val="bottom"/>
            <w:hideMark/>
          </w:tcPr>
          <w:p w14:paraId="2207E942" w14:textId="77777777" w:rsidR="008430BD" w:rsidRPr="001C3EC8" w:rsidRDefault="008430BD" w:rsidP="00E077F3">
            <w:pPr>
              <w:jc w:val="center"/>
              <w:rPr>
                <w:b/>
                <w:bCs/>
                <w:color w:val="000000" w:themeColor="text1"/>
              </w:rPr>
            </w:pPr>
            <w:r w:rsidRPr="001C3EC8">
              <w:rPr>
                <w:b/>
                <w:bCs/>
                <w:color w:val="000000" w:themeColor="text1"/>
              </w:rPr>
              <w:t>133</w:t>
            </w:r>
          </w:p>
        </w:tc>
        <w:tc>
          <w:tcPr>
            <w:tcW w:w="851" w:type="dxa"/>
            <w:tcBorders>
              <w:top w:val="nil"/>
              <w:left w:val="nil"/>
              <w:bottom w:val="double" w:sz="6" w:space="0" w:color="auto"/>
              <w:right w:val="nil"/>
            </w:tcBorders>
            <w:shd w:val="clear" w:color="auto" w:fill="auto"/>
            <w:noWrap/>
            <w:vAlign w:val="center"/>
            <w:hideMark/>
          </w:tcPr>
          <w:p w14:paraId="248C4DEA" w14:textId="77777777" w:rsidR="008430BD" w:rsidRPr="001C3EC8" w:rsidRDefault="008430BD" w:rsidP="0062147A">
            <w:pPr>
              <w:jc w:val="center"/>
              <w:rPr>
                <w:b/>
                <w:bCs/>
                <w:color w:val="000000" w:themeColor="text1"/>
                <w:sz w:val="20"/>
                <w:szCs w:val="20"/>
              </w:rPr>
            </w:pPr>
            <w:r w:rsidRPr="001C3EC8">
              <w:rPr>
                <w:b/>
                <w:bCs/>
                <w:color w:val="000000" w:themeColor="text1"/>
                <w:sz w:val="20"/>
                <w:szCs w:val="20"/>
              </w:rPr>
              <w:t>+6 %</w:t>
            </w:r>
          </w:p>
        </w:tc>
        <w:tc>
          <w:tcPr>
            <w:tcW w:w="943" w:type="dxa"/>
            <w:tcBorders>
              <w:top w:val="nil"/>
              <w:left w:val="single" w:sz="4" w:space="0" w:color="auto"/>
              <w:bottom w:val="double" w:sz="6" w:space="0" w:color="auto"/>
              <w:right w:val="nil"/>
            </w:tcBorders>
            <w:shd w:val="clear" w:color="auto" w:fill="auto"/>
            <w:noWrap/>
            <w:vAlign w:val="bottom"/>
            <w:hideMark/>
          </w:tcPr>
          <w:p w14:paraId="3595C1AE" w14:textId="77777777" w:rsidR="008430BD" w:rsidRPr="001C3EC8" w:rsidRDefault="008430BD" w:rsidP="00E077F3">
            <w:pPr>
              <w:jc w:val="center"/>
              <w:rPr>
                <w:b/>
                <w:bCs/>
                <w:color w:val="000000" w:themeColor="text1"/>
                <w:szCs w:val="24"/>
              </w:rPr>
            </w:pPr>
            <w:r w:rsidRPr="001C3EC8">
              <w:rPr>
                <w:b/>
                <w:bCs/>
                <w:color w:val="000000" w:themeColor="text1"/>
              </w:rPr>
              <w:t>90</w:t>
            </w:r>
          </w:p>
        </w:tc>
        <w:tc>
          <w:tcPr>
            <w:tcW w:w="1018" w:type="dxa"/>
            <w:tcBorders>
              <w:top w:val="nil"/>
              <w:left w:val="nil"/>
              <w:bottom w:val="double" w:sz="6" w:space="0" w:color="auto"/>
              <w:right w:val="single" w:sz="4" w:space="0" w:color="auto"/>
            </w:tcBorders>
            <w:shd w:val="clear" w:color="auto" w:fill="auto"/>
            <w:noWrap/>
            <w:vAlign w:val="center"/>
            <w:hideMark/>
          </w:tcPr>
          <w:p w14:paraId="4D34087A" w14:textId="77777777" w:rsidR="008430BD" w:rsidRPr="001C3EC8" w:rsidRDefault="008430BD" w:rsidP="0062147A">
            <w:pPr>
              <w:jc w:val="center"/>
              <w:rPr>
                <w:b/>
                <w:bCs/>
                <w:color w:val="000000" w:themeColor="text1"/>
                <w:sz w:val="20"/>
                <w:szCs w:val="20"/>
              </w:rPr>
            </w:pPr>
            <w:r w:rsidRPr="001C3EC8">
              <w:rPr>
                <w:b/>
                <w:bCs/>
                <w:color w:val="000000" w:themeColor="text1"/>
                <w:sz w:val="20"/>
                <w:szCs w:val="20"/>
              </w:rPr>
              <w:t>+17 %</w:t>
            </w:r>
          </w:p>
        </w:tc>
        <w:tc>
          <w:tcPr>
            <w:tcW w:w="1106" w:type="dxa"/>
            <w:gridSpan w:val="2"/>
            <w:tcBorders>
              <w:top w:val="nil"/>
              <w:left w:val="nil"/>
              <w:bottom w:val="double" w:sz="6" w:space="0" w:color="auto"/>
              <w:right w:val="nil"/>
            </w:tcBorders>
            <w:shd w:val="clear" w:color="auto" w:fill="auto"/>
            <w:noWrap/>
            <w:vAlign w:val="bottom"/>
            <w:hideMark/>
          </w:tcPr>
          <w:p w14:paraId="6036091C" w14:textId="77777777" w:rsidR="008430BD" w:rsidRPr="001C3EC8" w:rsidRDefault="008430BD" w:rsidP="00E077F3">
            <w:pPr>
              <w:jc w:val="center"/>
              <w:rPr>
                <w:b/>
                <w:bCs/>
                <w:color w:val="000000" w:themeColor="text1"/>
                <w:szCs w:val="24"/>
              </w:rPr>
            </w:pPr>
            <w:r w:rsidRPr="001C3EC8">
              <w:rPr>
                <w:b/>
                <w:bCs/>
                <w:color w:val="000000" w:themeColor="text1"/>
              </w:rPr>
              <w:t>284</w:t>
            </w:r>
          </w:p>
        </w:tc>
        <w:tc>
          <w:tcPr>
            <w:tcW w:w="992" w:type="dxa"/>
            <w:tcBorders>
              <w:top w:val="nil"/>
              <w:left w:val="nil"/>
              <w:bottom w:val="double" w:sz="6" w:space="0" w:color="auto"/>
              <w:right w:val="nil"/>
            </w:tcBorders>
            <w:shd w:val="clear" w:color="auto" w:fill="auto"/>
            <w:noWrap/>
            <w:vAlign w:val="center"/>
            <w:hideMark/>
          </w:tcPr>
          <w:p w14:paraId="14085A61" w14:textId="77777777" w:rsidR="008430BD" w:rsidRPr="001C3EC8" w:rsidRDefault="008430BD" w:rsidP="0062147A">
            <w:pPr>
              <w:jc w:val="center"/>
              <w:rPr>
                <w:b/>
                <w:bCs/>
                <w:color w:val="000000" w:themeColor="text1"/>
                <w:sz w:val="20"/>
                <w:szCs w:val="20"/>
              </w:rPr>
            </w:pPr>
            <w:r w:rsidRPr="001C3EC8">
              <w:rPr>
                <w:b/>
                <w:bCs/>
                <w:color w:val="000000" w:themeColor="text1"/>
                <w:sz w:val="20"/>
                <w:szCs w:val="20"/>
              </w:rPr>
              <w:t>+7 %</w:t>
            </w:r>
          </w:p>
        </w:tc>
      </w:tr>
    </w:tbl>
    <w:p w14:paraId="40949F25" w14:textId="77777777" w:rsidR="008430BD" w:rsidRPr="001C3EC8" w:rsidRDefault="008430BD" w:rsidP="008430BD">
      <w:pPr>
        <w:pStyle w:val="OdstavecASR"/>
        <w:rPr>
          <w:color w:val="000000" w:themeColor="text1"/>
        </w:rPr>
      </w:pPr>
    </w:p>
    <w:p w14:paraId="20AA20DD" w14:textId="2226C0EC" w:rsidR="008430BD" w:rsidRPr="001C3EC8" w:rsidRDefault="008430BD" w:rsidP="008430BD">
      <w:pPr>
        <w:pStyle w:val="OdstavecASR"/>
        <w:rPr>
          <w:color w:val="000000" w:themeColor="text1"/>
        </w:rPr>
      </w:pPr>
      <w:r w:rsidRPr="001C3EC8">
        <w:rPr>
          <w:color w:val="000000" w:themeColor="text1"/>
        </w:rPr>
        <w:lastRenderedPageBreak/>
        <w:t xml:space="preserve">Z tabulky a kartogramu vyplývá, že situace v opatrovnické agendě je stále přibližně stejná jako v agendě občanskoprávní (délky v opatrovnických řízeních jsou však přibližně poloviční). Nejvyšší délky řízení tedy opětovně vykazují soudy v Severočeském a Jihomoravském kraji. V opatrovnické agendě k nim rovněž patří Praha, což je ale způsobeno tím, že v roce 2019 </w:t>
      </w:r>
      <w:r w:rsidR="00CD2266" w:rsidRPr="001C3EC8">
        <w:rPr>
          <w:color w:val="000000" w:themeColor="text1"/>
        </w:rPr>
        <w:t>v</w:t>
      </w:r>
      <w:r w:rsidR="00CD2266">
        <w:rPr>
          <w:color w:val="000000" w:themeColor="text1"/>
        </w:rPr>
        <w:t> </w:t>
      </w:r>
      <w:r w:rsidRPr="001C3EC8">
        <w:rPr>
          <w:color w:val="000000" w:themeColor="text1"/>
        </w:rPr>
        <w:t xml:space="preserve">obou krajích výrazně klesla délka řízení a Prahu tedy vlastně </w:t>
      </w:r>
      <w:r w:rsidR="00B71937" w:rsidRPr="001C3EC8">
        <w:rPr>
          <w:color w:val="000000" w:themeColor="text1"/>
        </w:rPr>
        <w:t>„</w:t>
      </w:r>
      <w:r w:rsidRPr="001C3EC8">
        <w:rPr>
          <w:color w:val="000000" w:themeColor="text1"/>
        </w:rPr>
        <w:t>dohnaly</w:t>
      </w:r>
      <w:r w:rsidR="00B71937" w:rsidRPr="001C3EC8">
        <w:rPr>
          <w:color w:val="000000" w:themeColor="text1"/>
        </w:rPr>
        <w:t>“</w:t>
      </w:r>
      <w:r w:rsidRPr="001C3EC8">
        <w:rPr>
          <w:color w:val="000000" w:themeColor="text1"/>
        </w:rPr>
        <w:t>. Celkově lze ale říct, že mezi kraji nejsou nyní příliš velké rozdíly s výjimkou Jihočeského kraje, kde jsou délky řízení výrazně nižší.</w:t>
      </w:r>
    </w:p>
    <w:p w14:paraId="35CD40EF" w14:textId="245526FF" w:rsidR="008430BD" w:rsidRPr="001C3EC8" w:rsidRDefault="008430BD" w:rsidP="008430BD">
      <w:pPr>
        <w:spacing w:line="240" w:lineRule="auto"/>
        <w:jc w:val="left"/>
        <w:rPr>
          <w:rFonts w:eastAsia="Times New Roman"/>
          <w:b/>
          <w:iCs/>
          <w:color w:val="000000" w:themeColor="text1"/>
          <w:spacing w:val="15"/>
          <w:szCs w:val="24"/>
        </w:rPr>
      </w:pPr>
    </w:p>
    <w:p w14:paraId="1E40E007" w14:textId="1A076FB5" w:rsidR="008430BD" w:rsidRPr="001C3EC8" w:rsidRDefault="008430BD" w:rsidP="008430BD">
      <w:pPr>
        <w:pStyle w:val="Podnadpis"/>
        <w:rPr>
          <w:color w:val="000000" w:themeColor="text1"/>
        </w:rPr>
      </w:pPr>
      <w:bookmarkStart w:id="297" w:name="_Toc7595221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39</w:t>
      </w:r>
      <w:r w:rsidRPr="001C3EC8">
        <w:rPr>
          <w:noProof/>
          <w:color w:val="000000" w:themeColor="text1"/>
        </w:rPr>
        <w:fldChar w:fldCharType="end"/>
      </w:r>
      <w:r w:rsidRPr="001C3EC8">
        <w:rPr>
          <w:color w:val="000000" w:themeColor="text1"/>
        </w:rPr>
        <w:t xml:space="preserve">: OS – mediánové délky </w:t>
      </w:r>
      <w:r w:rsidR="00B71937" w:rsidRPr="001C3EC8">
        <w:rPr>
          <w:color w:val="000000" w:themeColor="text1"/>
        </w:rPr>
        <w:t xml:space="preserve">opatrovnického </w:t>
      </w:r>
      <w:r w:rsidRPr="001C3EC8">
        <w:rPr>
          <w:color w:val="000000" w:themeColor="text1"/>
        </w:rPr>
        <w:t>řízení u jednotlivých soudů</w:t>
      </w:r>
      <w:bookmarkEnd w:id="297"/>
    </w:p>
    <w:p w14:paraId="39DF1FCB" w14:textId="072D54F3" w:rsidR="008430BD" w:rsidRPr="001C3EC8" w:rsidRDefault="001C0643" w:rsidP="008430BD">
      <w:pPr>
        <w:pStyle w:val="OdstavecASR"/>
        <w:rPr>
          <w:color w:val="000000" w:themeColor="text1"/>
        </w:rPr>
      </w:pPr>
      <w:r w:rsidRPr="001C3EC8">
        <w:rPr>
          <w:noProof/>
          <w:color w:val="000000" w:themeColor="text1"/>
          <w:lang w:eastAsia="cs-CZ"/>
        </w:rPr>
        <w:drawing>
          <wp:inline distT="0" distB="0" distL="0" distR="0" wp14:anchorId="76B3EEF0" wp14:editId="50BCBB72">
            <wp:extent cx="5759450" cy="3296019"/>
            <wp:effectExtent l="0" t="0" r="0" b="0"/>
            <wp:docPr id="307" name="Obráze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r w:rsidR="008430BD" w:rsidRPr="001C3EC8">
        <w:rPr>
          <w:noProof/>
          <w:color w:val="000000" w:themeColor="text1"/>
          <w:lang w:eastAsia="cs-CZ"/>
        </w:rPr>
        <w:drawing>
          <wp:anchor distT="0" distB="0" distL="114300" distR="114300" simplePos="0" relativeHeight="251673600" behindDoc="0" locked="0" layoutInCell="1" allowOverlap="1" wp14:anchorId="72AED5F2" wp14:editId="3852A1F8">
            <wp:simplePos x="0" y="0"/>
            <wp:positionH relativeFrom="margin">
              <wp:align>right</wp:align>
            </wp:positionH>
            <wp:positionV relativeFrom="paragraph">
              <wp:posOffset>61595</wp:posOffset>
            </wp:positionV>
            <wp:extent cx="1259840" cy="917575"/>
            <wp:effectExtent l="0" t="0" r="0" b="0"/>
            <wp:wrapNone/>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5984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A3FC82" w14:textId="134C3608" w:rsidR="00B07E76" w:rsidRDefault="008430BD" w:rsidP="008430BD">
      <w:pPr>
        <w:pStyle w:val="OdstavecASR"/>
        <w:rPr>
          <w:color w:val="000000" w:themeColor="text1"/>
        </w:rPr>
      </w:pPr>
      <w:r w:rsidRPr="001C3EC8">
        <w:rPr>
          <w:color w:val="000000" w:themeColor="text1"/>
        </w:rPr>
        <w:t>Nejrychleji vyřizovaly opatrovnickou agendu v roce 20</w:t>
      </w:r>
      <w:r w:rsidR="000F78E8" w:rsidRPr="001C3EC8">
        <w:rPr>
          <w:color w:val="000000" w:themeColor="text1"/>
        </w:rPr>
        <w:t>20</w:t>
      </w:r>
      <w:r w:rsidRPr="001C3EC8">
        <w:rPr>
          <w:color w:val="000000" w:themeColor="text1"/>
        </w:rPr>
        <w:t xml:space="preserve"> OS Jindřichův Hradec (mediánová délka řízení 33 dnů), OS Svitavy (37 dnů) </w:t>
      </w:r>
      <w:r w:rsidR="00CD2266" w:rsidRPr="001C3EC8">
        <w:rPr>
          <w:color w:val="000000" w:themeColor="text1"/>
        </w:rPr>
        <w:t>a</w:t>
      </w:r>
      <w:r w:rsidR="00CD2266">
        <w:rPr>
          <w:color w:val="000000" w:themeColor="text1"/>
        </w:rPr>
        <w:t> </w:t>
      </w:r>
      <w:r w:rsidRPr="001C3EC8">
        <w:rPr>
          <w:color w:val="000000" w:themeColor="text1"/>
        </w:rPr>
        <w:t>OS Tábor (40 dnů). Naopak nejpomalejší je OS pro Prahu 1, kde je mediánová délka řízení 228 dnů</w:t>
      </w:r>
      <w:r w:rsidR="00B71937" w:rsidRPr="001C3EC8">
        <w:rPr>
          <w:color w:val="000000" w:themeColor="text1"/>
        </w:rPr>
        <w:t>,</w:t>
      </w:r>
      <w:r w:rsidRPr="001C3EC8">
        <w:rPr>
          <w:color w:val="000000" w:themeColor="text1"/>
        </w:rPr>
        <w:t xml:space="preserve"> což je nárůst oproti roku 2019 </w:t>
      </w:r>
      <w:r w:rsidR="00CD2266" w:rsidRPr="001C3EC8">
        <w:rPr>
          <w:color w:val="000000" w:themeColor="text1"/>
        </w:rPr>
        <w:t>o</w:t>
      </w:r>
      <w:r w:rsidR="00CD2266">
        <w:rPr>
          <w:color w:val="000000" w:themeColor="text1"/>
        </w:rPr>
        <w:t> </w:t>
      </w:r>
      <w:r w:rsidRPr="001C3EC8">
        <w:rPr>
          <w:color w:val="000000" w:themeColor="text1"/>
        </w:rPr>
        <w:t>56 dnů</w:t>
      </w:r>
      <w:r w:rsidR="00B71937" w:rsidRPr="001C3EC8">
        <w:rPr>
          <w:color w:val="000000" w:themeColor="text1"/>
        </w:rPr>
        <w:t>;</w:t>
      </w:r>
      <w:r w:rsidRPr="001C3EC8">
        <w:rPr>
          <w:color w:val="000000" w:themeColor="text1"/>
        </w:rPr>
        <w:t xml:space="preserve"> soud </w:t>
      </w:r>
      <w:r w:rsidR="00B71937" w:rsidRPr="001C3EC8">
        <w:rPr>
          <w:color w:val="000000" w:themeColor="text1"/>
        </w:rPr>
        <w:t>ovšem</w:t>
      </w:r>
      <w:r w:rsidRPr="001C3EC8">
        <w:rPr>
          <w:color w:val="000000" w:themeColor="text1"/>
        </w:rPr>
        <w:t xml:space="preserve"> vyřizuje malé množství opatrovnických věcí. Následuje OS Znojmo (164 dnů) a OS </w:t>
      </w:r>
      <w:r w:rsidR="0053190F">
        <w:rPr>
          <w:color w:val="000000" w:themeColor="text1"/>
        </w:rPr>
        <w:t>Plzeň</w:t>
      </w:r>
      <w:r w:rsidR="0053190F">
        <w:rPr>
          <w:color w:val="000000" w:themeColor="text1"/>
        </w:rPr>
        <w:noBreakHyphen/>
      </w:r>
      <w:r w:rsidRPr="001C3EC8">
        <w:rPr>
          <w:color w:val="000000" w:themeColor="text1"/>
        </w:rPr>
        <w:t>sever (159 dnů).</w:t>
      </w:r>
    </w:p>
    <w:p w14:paraId="32902421" w14:textId="52C11734" w:rsidR="008430BD" w:rsidRPr="001C3EC8" w:rsidRDefault="008430BD" w:rsidP="008430BD">
      <w:pPr>
        <w:pStyle w:val="Podnadpis"/>
        <w:rPr>
          <w:color w:val="000000" w:themeColor="text1"/>
        </w:rPr>
      </w:pPr>
      <w:bookmarkStart w:id="298" w:name="_Toc11135099"/>
      <w:bookmarkStart w:id="299" w:name="_Toc43841417"/>
      <w:bookmarkStart w:id="300" w:name="_Toc75952220"/>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40</w:t>
      </w:r>
      <w:r w:rsidRPr="001C3EC8">
        <w:rPr>
          <w:noProof/>
          <w:color w:val="000000" w:themeColor="text1"/>
        </w:rPr>
        <w:fldChar w:fldCharType="end"/>
      </w:r>
      <w:r w:rsidRPr="001C3EC8">
        <w:rPr>
          <w:color w:val="000000" w:themeColor="text1"/>
        </w:rPr>
        <w:t>: OS – krabicové grafy, mediánové délky opatrovnického řízení</w:t>
      </w:r>
      <w:bookmarkEnd w:id="298"/>
      <w:bookmarkEnd w:id="299"/>
      <w:bookmarkEnd w:id="300"/>
    </w:p>
    <w:p w14:paraId="5EC6D317" w14:textId="77777777" w:rsidR="008430BD" w:rsidRPr="001C3EC8" w:rsidRDefault="008430BD" w:rsidP="008430BD">
      <w:pPr>
        <w:pStyle w:val="OdstavecASR"/>
        <w:rPr>
          <w:color w:val="000000" w:themeColor="text1"/>
          <w:highlight w:val="yellow"/>
        </w:rPr>
      </w:pPr>
      <w:r w:rsidRPr="001C3EC8">
        <w:rPr>
          <w:noProof/>
          <w:color w:val="000000" w:themeColor="text1"/>
          <w:lang w:eastAsia="cs-CZ"/>
        </w:rPr>
        <w:drawing>
          <wp:inline distT="0" distB="0" distL="0" distR="0" wp14:anchorId="6445268F" wp14:editId="4BE528E5">
            <wp:extent cx="5115560" cy="3743960"/>
            <wp:effectExtent l="0" t="0" r="0" b="889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C9CEFAD" w14:textId="33EE1B99" w:rsidR="008430BD" w:rsidRPr="001C3EC8" w:rsidRDefault="008430BD" w:rsidP="008430BD">
      <w:pPr>
        <w:pStyle w:val="OdstavecASR"/>
        <w:rPr>
          <w:color w:val="000000" w:themeColor="text1"/>
        </w:rPr>
      </w:pPr>
      <w:r w:rsidRPr="001C3EC8">
        <w:rPr>
          <w:color w:val="000000" w:themeColor="text1"/>
        </w:rPr>
        <w:t>Z krabicových grafů vidíme, že v rozdílech mezi soudy nedocházelo v průběhu let k žádným větším změnám. OS Chomutov (vždy nejvíce odlehlá hodnota) se v letech 2009 až 2013 dařilo postupně snižovat délku řízení. Občanský zákoník tento trend ale zvrátil a délka řízení v Chomutově v letech 2015 a 2016 opět rychle narůstala, až se v roce 2018 zařadil po bok ostatních OS. V roce 2019 byla již je</w:t>
      </w:r>
      <w:r w:rsidR="0045545A" w:rsidRPr="001C3EC8">
        <w:rPr>
          <w:color w:val="000000" w:themeColor="text1"/>
        </w:rPr>
        <w:t>n</w:t>
      </w:r>
      <w:r w:rsidRPr="001C3EC8">
        <w:rPr>
          <w:color w:val="000000" w:themeColor="text1"/>
        </w:rPr>
        <w:t xml:space="preserve"> jediná odlehlá hodnota – OS pro Prahu 1.</w:t>
      </w:r>
      <w:r w:rsidR="00E10CA4">
        <w:rPr>
          <w:color w:val="000000" w:themeColor="text1"/>
        </w:rPr>
        <w:t xml:space="preserve"> </w:t>
      </w:r>
      <w:r w:rsidRPr="001C3EC8">
        <w:rPr>
          <w:color w:val="000000" w:themeColor="text1"/>
        </w:rPr>
        <w:t>V roce 2020 se Praha</w:t>
      </w:r>
      <w:r w:rsidR="00B71937" w:rsidRPr="001C3EC8">
        <w:rPr>
          <w:color w:val="000000" w:themeColor="text1"/>
        </w:rPr>
        <w:t xml:space="preserve"> 1</w:t>
      </w:r>
      <w:r w:rsidRPr="001C3EC8">
        <w:rPr>
          <w:color w:val="000000" w:themeColor="text1"/>
        </w:rPr>
        <w:t xml:space="preserve"> oddálila od boxu </w:t>
      </w:r>
      <w:r w:rsidR="00CD2266" w:rsidRPr="001C3EC8">
        <w:rPr>
          <w:color w:val="000000" w:themeColor="text1"/>
        </w:rPr>
        <w:t>a</w:t>
      </w:r>
      <w:r w:rsidR="00CD2266">
        <w:rPr>
          <w:color w:val="000000" w:themeColor="text1"/>
        </w:rPr>
        <w:t> </w:t>
      </w:r>
      <w:r w:rsidRPr="001C3EC8">
        <w:rPr>
          <w:color w:val="000000" w:themeColor="text1"/>
        </w:rPr>
        <w:t xml:space="preserve">box </w:t>
      </w:r>
      <w:r w:rsidR="00CD2266" w:rsidRPr="001C3EC8">
        <w:rPr>
          <w:color w:val="000000" w:themeColor="text1"/>
        </w:rPr>
        <w:t>i</w:t>
      </w:r>
      <w:r w:rsidR="00CD2266">
        <w:rPr>
          <w:color w:val="000000" w:themeColor="text1"/>
        </w:rPr>
        <w:t> </w:t>
      </w:r>
      <w:r w:rsidRPr="001C3EC8">
        <w:rPr>
          <w:color w:val="000000" w:themeColor="text1"/>
        </w:rPr>
        <w:t xml:space="preserve">vousy se mírně zvětšily. Tedy, zvětšila se </w:t>
      </w:r>
      <w:r w:rsidR="00CD2266" w:rsidRPr="001C3EC8">
        <w:rPr>
          <w:color w:val="000000" w:themeColor="text1"/>
        </w:rPr>
        <w:t>i</w:t>
      </w:r>
      <w:r w:rsidR="00CD2266">
        <w:rPr>
          <w:color w:val="000000" w:themeColor="text1"/>
        </w:rPr>
        <w:t> </w:t>
      </w:r>
      <w:r w:rsidRPr="001C3EC8">
        <w:rPr>
          <w:color w:val="000000" w:themeColor="text1"/>
        </w:rPr>
        <w:t xml:space="preserve">variabilita. Situace </w:t>
      </w:r>
      <w:r w:rsidR="00CD2266" w:rsidRPr="001C3EC8">
        <w:rPr>
          <w:color w:val="000000" w:themeColor="text1"/>
        </w:rPr>
        <w:t>z</w:t>
      </w:r>
      <w:r w:rsidR="00CD2266">
        <w:rPr>
          <w:color w:val="000000" w:themeColor="text1"/>
        </w:rPr>
        <w:t> </w:t>
      </w:r>
      <w:r w:rsidRPr="001C3EC8">
        <w:rPr>
          <w:color w:val="000000" w:themeColor="text1"/>
        </w:rPr>
        <w:t>hlediska statistické variability ale stále vypadá relativně dobře.</w:t>
      </w:r>
    </w:p>
    <w:p w14:paraId="7BA37CE9" w14:textId="77777777" w:rsidR="008430BD" w:rsidRPr="001C3EC8" w:rsidRDefault="008430BD" w:rsidP="008430BD">
      <w:pPr>
        <w:pStyle w:val="Nadpis3"/>
        <w:keepNext w:val="0"/>
        <w:keepLines w:val="0"/>
        <w:numPr>
          <w:ilvl w:val="2"/>
          <w:numId w:val="1"/>
        </w:numPr>
        <w:rPr>
          <w:color w:val="000000" w:themeColor="text1"/>
        </w:rPr>
      </w:pPr>
      <w:bookmarkStart w:id="301" w:name="_Ref515022661"/>
      <w:bookmarkStart w:id="302" w:name="_Toc515871238"/>
      <w:bookmarkStart w:id="303" w:name="_Toc75952074"/>
      <w:r w:rsidRPr="001C3EC8">
        <w:rPr>
          <w:color w:val="000000" w:themeColor="text1"/>
        </w:rPr>
        <w:t>Vyřizování věcí</w:t>
      </w:r>
      <w:bookmarkEnd w:id="301"/>
      <w:bookmarkEnd w:id="302"/>
      <w:bookmarkEnd w:id="303"/>
    </w:p>
    <w:p w14:paraId="49FBF845" w14:textId="55629E44" w:rsidR="008430BD" w:rsidRPr="001C3EC8" w:rsidRDefault="008430BD" w:rsidP="008430BD">
      <w:pPr>
        <w:pStyle w:val="OdstavecASR"/>
        <w:rPr>
          <w:color w:val="000000" w:themeColor="text1"/>
        </w:rPr>
      </w:pPr>
      <w:r w:rsidRPr="001C3EC8">
        <w:rPr>
          <w:color w:val="000000" w:themeColor="text1"/>
        </w:rPr>
        <w:t xml:space="preserve">Z grafu níže je zřejmý výše zmíněný dopad občanského zákoníku. V počtu napadlých věcí se samozřejmě projevil již v roce 2014. Vidíme, že nárůst počtu napadlých věcí byl opravdu velmi významný – více než 40 %. Soudy byly schopny částečně reagovat a značně se zvýšil počet vyřízených věcí. Nárůst v počtu napadlých věcí byl ale </w:t>
      </w:r>
      <w:proofErr w:type="gramStart"/>
      <w:r w:rsidRPr="001C3EC8">
        <w:rPr>
          <w:color w:val="000000" w:themeColor="text1"/>
        </w:rPr>
        <w:t>větší</w:t>
      </w:r>
      <w:proofErr w:type="gramEnd"/>
      <w:r w:rsidRPr="001C3EC8">
        <w:rPr>
          <w:color w:val="000000" w:themeColor="text1"/>
        </w:rPr>
        <w:t xml:space="preserve"> než počet vyřízených věcí a počet nevyřízených věcí tak začal růst. Počet napadlých věcí poklesl až v roce 2016 </w:t>
      </w:r>
      <w:r w:rsidR="00CD2266" w:rsidRPr="001C3EC8">
        <w:rPr>
          <w:color w:val="000000" w:themeColor="text1"/>
        </w:rPr>
        <w:t>a</w:t>
      </w:r>
      <w:r w:rsidR="00CD2266">
        <w:rPr>
          <w:color w:val="000000" w:themeColor="text1"/>
        </w:rPr>
        <w:t> </w:t>
      </w:r>
      <w:r w:rsidRPr="001C3EC8">
        <w:rPr>
          <w:color w:val="000000" w:themeColor="text1"/>
        </w:rPr>
        <w:t xml:space="preserve">v roce 2017. To je zřejmě způsobeno hlavně tím, že všechny přezkumy svéprávnosti byly zahájeny v letech 2014 a 2015. Soudům se podařilo v roce 2016 udržet počet vyřízených věcí na úrovni z roku 2015 </w:t>
      </w:r>
      <w:r w:rsidR="00CD2266" w:rsidRPr="001C3EC8">
        <w:rPr>
          <w:color w:val="000000" w:themeColor="text1"/>
        </w:rPr>
        <w:t>a</w:t>
      </w:r>
      <w:r w:rsidR="00CD2266">
        <w:rPr>
          <w:color w:val="000000" w:themeColor="text1"/>
        </w:rPr>
        <w:t> </w:t>
      </w:r>
      <w:r w:rsidRPr="001C3EC8">
        <w:rPr>
          <w:color w:val="000000" w:themeColor="text1"/>
        </w:rPr>
        <w:t xml:space="preserve">také v roce 2017 udržet počet vyřízených věcí nad nápadem. Díky tomu počet nevyřízených věcí klesal. Soudům pomohlo prodloužení lhůty na přezkum svéprávnosti pro určité případy ze tří na pět let vyplývající z novely o. z. přijaté na konci roku 2016. Nicméně je třeba uvést, že počet osob (tedy celkový rozsah agendy přezkumů svéprávnosti) je jen cca 36 tisíc, což znamená, že se na nárůstu nápadu podílí jen asi jednou čtvrtinou, zbytek jsou další nové agendy zavedené o. z. Tyto nové agendy také stojí za růstem nápadu </w:t>
      </w:r>
      <w:r w:rsidR="00CD2266" w:rsidRPr="001C3EC8">
        <w:rPr>
          <w:color w:val="000000" w:themeColor="text1"/>
        </w:rPr>
        <w:t>v</w:t>
      </w:r>
      <w:r w:rsidR="00CD2266">
        <w:rPr>
          <w:color w:val="000000" w:themeColor="text1"/>
        </w:rPr>
        <w:t> </w:t>
      </w:r>
      <w:r w:rsidRPr="001C3EC8">
        <w:rPr>
          <w:color w:val="000000" w:themeColor="text1"/>
        </w:rPr>
        <w:t xml:space="preserve">letech 2018 </w:t>
      </w:r>
      <w:r w:rsidR="00CD2266" w:rsidRPr="001C3EC8">
        <w:rPr>
          <w:color w:val="000000" w:themeColor="text1"/>
        </w:rPr>
        <w:t>a</w:t>
      </w:r>
      <w:r w:rsidR="00CD2266">
        <w:rPr>
          <w:color w:val="000000" w:themeColor="text1"/>
        </w:rPr>
        <w:t> </w:t>
      </w:r>
      <w:r w:rsidRPr="001C3EC8">
        <w:rPr>
          <w:color w:val="000000" w:themeColor="text1"/>
        </w:rPr>
        <w:t>2019, protože, jak již bylo konstatováno, všechny přezkumy svéprávnosti byly zahájeny již v letech 2014 a 2015.</w:t>
      </w:r>
    </w:p>
    <w:p w14:paraId="62705232" w14:textId="1D73C8A7" w:rsidR="008430BD" w:rsidRPr="001C3EC8" w:rsidRDefault="008430BD" w:rsidP="008430BD">
      <w:pPr>
        <w:pStyle w:val="OdstavecASR"/>
        <w:rPr>
          <w:color w:val="000000" w:themeColor="text1"/>
        </w:rPr>
      </w:pPr>
      <w:r w:rsidRPr="001C3EC8">
        <w:rPr>
          <w:color w:val="000000" w:themeColor="text1"/>
        </w:rPr>
        <w:lastRenderedPageBreak/>
        <w:t xml:space="preserve">V roce 2019 mírně narostl nápad </w:t>
      </w:r>
      <w:r w:rsidR="00CD2266" w:rsidRPr="001C3EC8">
        <w:rPr>
          <w:color w:val="000000" w:themeColor="text1"/>
        </w:rPr>
        <w:t>a</w:t>
      </w:r>
      <w:r w:rsidR="00CD2266">
        <w:rPr>
          <w:color w:val="000000" w:themeColor="text1"/>
        </w:rPr>
        <w:t> </w:t>
      </w:r>
      <w:r w:rsidRPr="001C3EC8">
        <w:rPr>
          <w:color w:val="000000" w:themeColor="text1"/>
        </w:rPr>
        <w:t xml:space="preserve">soudy vyřídily méně věcí, než k nim přišlo, rozdíl byl nicméně malý – míra vyřizování byla 99 %. V roce 2020 vidíme stejně jako </w:t>
      </w:r>
      <w:r w:rsidR="00CD2266" w:rsidRPr="001C3EC8">
        <w:rPr>
          <w:color w:val="000000" w:themeColor="text1"/>
        </w:rPr>
        <w:t>u</w:t>
      </w:r>
      <w:r w:rsidR="00CD2266">
        <w:rPr>
          <w:color w:val="000000" w:themeColor="text1"/>
        </w:rPr>
        <w:t> </w:t>
      </w:r>
      <w:r w:rsidRPr="001C3EC8">
        <w:rPr>
          <w:color w:val="000000" w:themeColor="text1"/>
        </w:rPr>
        <w:t>ostatních agend značný pokles v počtu příchozích věcí. Dopad pandemie na funkčnost soudů tedy v opatrovnické agendě není nijak velký. Soudy vyřídily více věcí</w:t>
      </w:r>
      <w:r w:rsidR="00B71937" w:rsidRPr="001C3EC8">
        <w:rPr>
          <w:color w:val="000000" w:themeColor="text1"/>
        </w:rPr>
        <w:t>,</w:t>
      </w:r>
      <w:r w:rsidRPr="001C3EC8">
        <w:rPr>
          <w:color w:val="000000" w:themeColor="text1"/>
        </w:rPr>
        <w:t xml:space="preserve"> než </w:t>
      </w:r>
      <w:r w:rsidR="00CD2266" w:rsidRPr="001C3EC8">
        <w:rPr>
          <w:color w:val="000000" w:themeColor="text1"/>
        </w:rPr>
        <w:t>k</w:t>
      </w:r>
      <w:r w:rsidR="00CD2266">
        <w:rPr>
          <w:color w:val="000000" w:themeColor="text1"/>
        </w:rPr>
        <w:t> </w:t>
      </w:r>
      <w:r w:rsidR="00B71937" w:rsidRPr="001C3EC8">
        <w:rPr>
          <w:color w:val="000000" w:themeColor="text1"/>
        </w:rPr>
        <w:t>nim</w:t>
      </w:r>
      <w:r w:rsidR="00050FD5" w:rsidRPr="001C3EC8">
        <w:rPr>
          <w:color w:val="000000" w:themeColor="text1"/>
        </w:rPr>
        <w:t xml:space="preserve"> </w:t>
      </w:r>
      <w:r w:rsidRPr="001C3EC8">
        <w:rPr>
          <w:color w:val="000000" w:themeColor="text1"/>
        </w:rPr>
        <w:t xml:space="preserve">přišlo, </w:t>
      </w:r>
      <w:r w:rsidR="00CD2266" w:rsidRPr="001C3EC8">
        <w:rPr>
          <w:color w:val="000000" w:themeColor="text1"/>
        </w:rPr>
        <w:t>i</w:t>
      </w:r>
      <w:r w:rsidR="00CD2266">
        <w:rPr>
          <w:color w:val="000000" w:themeColor="text1"/>
        </w:rPr>
        <w:t> </w:t>
      </w:r>
      <w:r w:rsidRPr="001C3EC8">
        <w:rPr>
          <w:color w:val="000000" w:themeColor="text1"/>
        </w:rPr>
        <w:t xml:space="preserve">když jim to v průměru mohlo trvat </w:t>
      </w:r>
      <w:r w:rsidR="00CD2266" w:rsidRPr="001C3EC8">
        <w:rPr>
          <w:color w:val="000000" w:themeColor="text1"/>
        </w:rPr>
        <w:t>o</w:t>
      </w:r>
      <w:r w:rsidR="00CD2266">
        <w:rPr>
          <w:color w:val="000000" w:themeColor="text1"/>
        </w:rPr>
        <w:t> </w:t>
      </w:r>
      <w:r w:rsidRPr="001C3EC8">
        <w:rPr>
          <w:color w:val="000000" w:themeColor="text1"/>
        </w:rPr>
        <w:t>něco déle. Soudům rozhodně ulevil</w:t>
      </w:r>
      <w:r w:rsidR="00B71937" w:rsidRPr="001C3EC8">
        <w:rPr>
          <w:color w:val="000000" w:themeColor="text1"/>
        </w:rPr>
        <w:t>a skutečnost</w:t>
      </w:r>
      <w:r w:rsidRPr="001C3EC8">
        <w:rPr>
          <w:color w:val="000000" w:themeColor="text1"/>
        </w:rPr>
        <w:t xml:space="preserve">, že se v důsledku pandemie </w:t>
      </w:r>
      <w:r w:rsidR="000C3B1E">
        <w:rPr>
          <w:color w:val="000000" w:themeColor="text1"/>
        </w:rPr>
        <w:t>COVID</w:t>
      </w:r>
      <w:r w:rsidR="000C3B1E">
        <w:rPr>
          <w:color w:val="000000" w:themeColor="text1"/>
        </w:rPr>
        <w:noBreakHyphen/>
        <w:t>19</w:t>
      </w:r>
      <w:r w:rsidRPr="001C3EC8">
        <w:rPr>
          <w:color w:val="000000" w:themeColor="text1"/>
        </w:rPr>
        <w:t xml:space="preserve"> výrazně snížil nápad.</w:t>
      </w:r>
    </w:p>
    <w:p w14:paraId="0A0E2DEC" w14:textId="3B9BC404" w:rsidR="008430BD" w:rsidRPr="001C3EC8" w:rsidRDefault="008430BD" w:rsidP="008430BD">
      <w:pPr>
        <w:pStyle w:val="Podnadpis"/>
        <w:rPr>
          <w:color w:val="000000" w:themeColor="text1"/>
        </w:rPr>
      </w:pPr>
      <w:bookmarkStart w:id="304" w:name="_Toc515871368"/>
      <w:bookmarkStart w:id="305" w:name="_Toc11135100"/>
      <w:bookmarkStart w:id="306" w:name="_Toc43841418"/>
      <w:bookmarkStart w:id="307" w:name="_Toc7595222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41</w:t>
      </w:r>
      <w:r w:rsidRPr="001C3EC8">
        <w:rPr>
          <w:noProof/>
          <w:color w:val="000000" w:themeColor="text1"/>
        </w:rPr>
        <w:fldChar w:fldCharType="end"/>
      </w:r>
      <w:r w:rsidRPr="001C3EC8">
        <w:rPr>
          <w:color w:val="000000" w:themeColor="text1"/>
        </w:rPr>
        <w:t>: OS – vyřizování věcí v opatrovnické agendě v letech 2008–</w:t>
      </w:r>
      <w:bookmarkEnd w:id="304"/>
      <w:r w:rsidRPr="001C3EC8">
        <w:rPr>
          <w:color w:val="000000" w:themeColor="text1"/>
        </w:rPr>
        <w:t>20</w:t>
      </w:r>
      <w:bookmarkEnd w:id="305"/>
      <w:bookmarkEnd w:id="306"/>
      <w:r w:rsidRPr="001C3EC8">
        <w:rPr>
          <w:color w:val="000000" w:themeColor="text1"/>
        </w:rPr>
        <w:t>20</w:t>
      </w:r>
      <w:bookmarkEnd w:id="307"/>
    </w:p>
    <w:p w14:paraId="5D045D79"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315EB714" wp14:editId="19A24499">
            <wp:extent cx="5115560" cy="3743960"/>
            <wp:effectExtent l="0" t="0" r="0" b="889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B82C147" w14:textId="139A5DC9" w:rsidR="008430BD" w:rsidRPr="001C3EC8" w:rsidRDefault="008430BD" w:rsidP="008430BD">
      <w:pPr>
        <w:pStyle w:val="Podnadpis"/>
        <w:rPr>
          <w:color w:val="000000" w:themeColor="text1"/>
        </w:rPr>
      </w:pPr>
      <w:bookmarkStart w:id="308" w:name="_Toc11133229"/>
      <w:bookmarkStart w:id="309" w:name="_Toc43931202"/>
      <w:bookmarkStart w:id="310" w:name="_Toc75952334"/>
      <w:bookmarkStart w:id="311" w:name="_Toc515871461"/>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31</w:t>
      </w:r>
      <w:r w:rsidRPr="001C3EC8">
        <w:rPr>
          <w:noProof/>
          <w:color w:val="000000" w:themeColor="text1"/>
        </w:rPr>
        <w:fldChar w:fldCharType="end"/>
      </w:r>
      <w:r w:rsidRPr="001C3EC8">
        <w:rPr>
          <w:color w:val="000000" w:themeColor="text1"/>
        </w:rPr>
        <w:t>: OS – vyřizování opatrovnických věcí dle krajů</w:t>
      </w:r>
      <w:bookmarkEnd w:id="308"/>
      <w:bookmarkEnd w:id="309"/>
      <w:bookmarkEnd w:id="310"/>
    </w:p>
    <w:tbl>
      <w:tblPr>
        <w:tblW w:w="9140" w:type="dxa"/>
        <w:tblCellMar>
          <w:left w:w="70" w:type="dxa"/>
          <w:right w:w="70" w:type="dxa"/>
        </w:tblCellMar>
        <w:tblLook w:val="04A0" w:firstRow="1" w:lastRow="0" w:firstColumn="1" w:lastColumn="0" w:noHBand="0" w:noVBand="1"/>
      </w:tblPr>
      <w:tblGrid>
        <w:gridCol w:w="2020"/>
        <w:gridCol w:w="1095"/>
        <w:gridCol w:w="788"/>
        <w:gridCol w:w="1067"/>
        <w:gridCol w:w="787"/>
        <w:gridCol w:w="943"/>
        <w:gridCol w:w="900"/>
        <w:gridCol w:w="1540"/>
      </w:tblGrid>
      <w:tr w:rsidR="008430BD" w:rsidRPr="001C3EC8" w14:paraId="0B3D82FB"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23D7DD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7C123C2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629BBA0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2BDDEF3F"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51D68D22"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83" w:type="dxa"/>
            <w:gridSpan w:val="2"/>
            <w:tcBorders>
              <w:top w:val="nil"/>
              <w:left w:val="nil"/>
              <w:bottom w:val="double" w:sz="6" w:space="0" w:color="auto"/>
              <w:right w:val="nil"/>
            </w:tcBorders>
            <w:shd w:val="clear" w:color="auto" w:fill="auto"/>
            <w:noWrap/>
            <w:vAlign w:val="center"/>
            <w:hideMark/>
          </w:tcPr>
          <w:p w14:paraId="2EF122C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5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3D0D6F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843" w:type="dxa"/>
            <w:gridSpan w:val="2"/>
            <w:tcBorders>
              <w:top w:val="nil"/>
              <w:left w:val="nil"/>
              <w:bottom w:val="double" w:sz="6" w:space="0" w:color="auto"/>
              <w:right w:val="single" w:sz="4" w:space="0" w:color="000000"/>
            </w:tcBorders>
            <w:shd w:val="clear" w:color="auto" w:fill="auto"/>
            <w:noWrap/>
            <w:vAlign w:val="center"/>
            <w:hideMark/>
          </w:tcPr>
          <w:p w14:paraId="2DD34F9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1EA144ED"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7797437D"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C3011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95" w:type="dxa"/>
            <w:tcBorders>
              <w:top w:val="single" w:sz="4" w:space="0" w:color="auto"/>
              <w:left w:val="nil"/>
              <w:bottom w:val="single" w:sz="4" w:space="0" w:color="auto"/>
              <w:right w:val="nil"/>
            </w:tcBorders>
            <w:shd w:val="clear" w:color="auto" w:fill="auto"/>
            <w:noWrap/>
            <w:vAlign w:val="bottom"/>
            <w:hideMark/>
          </w:tcPr>
          <w:p w14:paraId="5B254EE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14 513</w:t>
            </w:r>
          </w:p>
        </w:tc>
        <w:tc>
          <w:tcPr>
            <w:tcW w:w="788" w:type="dxa"/>
            <w:tcBorders>
              <w:top w:val="single" w:sz="4" w:space="0" w:color="auto"/>
              <w:left w:val="nil"/>
              <w:bottom w:val="single" w:sz="4" w:space="0" w:color="auto"/>
              <w:right w:val="nil"/>
            </w:tcBorders>
            <w:shd w:val="clear" w:color="auto" w:fill="auto"/>
            <w:noWrap/>
            <w:vAlign w:val="center"/>
            <w:hideMark/>
          </w:tcPr>
          <w:p w14:paraId="4152078F" w14:textId="467B091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067" w:type="dxa"/>
            <w:tcBorders>
              <w:top w:val="single" w:sz="4" w:space="0" w:color="auto"/>
              <w:left w:val="single" w:sz="4" w:space="0" w:color="auto"/>
              <w:bottom w:val="single" w:sz="4" w:space="0" w:color="auto"/>
              <w:right w:val="nil"/>
            </w:tcBorders>
            <w:shd w:val="clear" w:color="auto" w:fill="auto"/>
            <w:noWrap/>
            <w:vAlign w:val="bottom"/>
            <w:hideMark/>
          </w:tcPr>
          <w:p w14:paraId="02F8BF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14 704</w:t>
            </w:r>
          </w:p>
        </w:tc>
        <w:tc>
          <w:tcPr>
            <w:tcW w:w="787" w:type="dxa"/>
            <w:tcBorders>
              <w:top w:val="single" w:sz="4" w:space="0" w:color="auto"/>
              <w:left w:val="nil"/>
              <w:bottom w:val="single" w:sz="4" w:space="0" w:color="auto"/>
              <w:right w:val="single" w:sz="4" w:space="0" w:color="auto"/>
            </w:tcBorders>
            <w:shd w:val="clear" w:color="auto" w:fill="auto"/>
            <w:noWrap/>
            <w:vAlign w:val="center"/>
            <w:hideMark/>
          </w:tcPr>
          <w:p w14:paraId="1BD8A24B" w14:textId="6549BE6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943" w:type="dxa"/>
            <w:tcBorders>
              <w:top w:val="single" w:sz="4" w:space="0" w:color="auto"/>
              <w:left w:val="nil"/>
              <w:bottom w:val="single" w:sz="4" w:space="0" w:color="auto"/>
              <w:right w:val="nil"/>
            </w:tcBorders>
            <w:shd w:val="clear" w:color="auto" w:fill="auto"/>
            <w:noWrap/>
            <w:vAlign w:val="bottom"/>
            <w:hideMark/>
          </w:tcPr>
          <w:p w14:paraId="60D6E19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5 207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E98BC70" w14:textId="625C5D4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3481EE14" w14:textId="06455A0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101,3 %</w:t>
            </w:r>
          </w:p>
        </w:tc>
      </w:tr>
      <w:tr w:rsidR="008430BD" w:rsidRPr="001C3EC8" w14:paraId="0331A4FF"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105048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95" w:type="dxa"/>
            <w:tcBorders>
              <w:top w:val="nil"/>
              <w:left w:val="nil"/>
              <w:bottom w:val="single" w:sz="4" w:space="0" w:color="auto"/>
              <w:right w:val="nil"/>
            </w:tcBorders>
            <w:shd w:val="clear" w:color="auto" w:fill="auto"/>
            <w:noWrap/>
            <w:vAlign w:val="bottom"/>
            <w:hideMark/>
          </w:tcPr>
          <w:p w14:paraId="388B7B1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18 500</w:t>
            </w:r>
          </w:p>
        </w:tc>
        <w:tc>
          <w:tcPr>
            <w:tcW w:w="788" w:type="dxa"/>
            <w:tcBorders>
              <w:top w:val="nil"/>
              <w:left w:val="nil"/>
              <w:bottom w:val="single" w:sz="4" w:space="0" w:color="auto"/>
              <w:right w:val="nil"/>
            </w:tcBorders>
            <w:shd w:val="clear" w:color="auto" w:fill="auto"/>
            <w:noWrap/>
            <w:vAlign w:val="center"/>
            <w:hideMark/>
          </w:tcPr>
          <w:p w14:paraId="59FE2F92" w14:textId="2F3DE9B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1067" w:type="dxa"/>
            <w:tcBorders>
              <w:top w:val="nil"/>
              <w:left w:val="single" w:sz="4" w:space="0" w:color="auto"/>
              <w:bottom w:val="single" w:sz="4" w:space="0" w:color="auto"/>
              <w:right w:val="nil"/>
            </w:tcBorders>
            <w:shd w:val="clear" w:color="auto" w:fill="auto"/>
            <w:noWrap/>
            <w:vAlign w:val="bottom"/>
            <w:hideMark/>
          </w:tcPr>
          <w:p w14:paraId="0773CF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18 520</w:t>
            </w:r>
          </w:p>
        </w:tc>
        <w:tc>
          <w:tcPr>
            <w:tcW w:w="787" w:type="dxa"/>
            <w:tcBorders>
              <w:top w:val="nil"/>
              <w:left w:val="nil"/>
              <w:bottom w:val="single" w:sz="4" w:space="0" w:color="auto"/>
              <w:right w:val="single" w:sz="4" w:space="0" w:color="auto"/>
            </w:tcBorders>
            <w:shd w:val="clear" w:color="auto" w:fill="auto"/>
            <w:noWrap/>
            <w:vAlign w:val="center"/>
            <w:hideMark/>
          </w:tcPr>
          <w:p w14:paraId="00FB9EEC" w14:textId="30EECCE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943" w:type="dxa"/>
            <w:tcBorders>
              <w:top w:val="nil"/>
              <w:left w:val="nil"/>
              <w:bottom w:val="single" w:sz="4" w:space="0" w:color="auto"/>
              <w:right w:val="nil"/>
            </w:tcBorders>
            <w:shd w:val="clear" w:color="auto" w:fill="auto"/>
            <w:noWrap/>
            <w:vAlign w:val="bottom"/>
            <w:hideMark/>
          </w:tcPr>
          <w:p w14:paraId="500C7A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4 875</w:t>
            </w:r>
          </w:p>
        </w:tc>
        <w:tc>
          <w:tcPr>
            <w:tcW w:w="900" w:type="dxa"/>
            <w:tcBorders>
              <w:top w:val="nil"/>
              <w:left w:val="nil"/>
              <w:bottom w:val="single" w:sz="4" w:space="0" w:color="auto"/>
              <w:right w:val="single" w:sz="4" w:space="0" w:color="auto"/>
            </w:tcBorders>
            <w:shd w:val="clear" w:color="auto" w:fill="auto"/>
            <w:noWrap/>
            <w:vAlign w:val="center"/>
            <w:hideMark/>
          </w:tcPr>
          <w:p w14:paraId="09C77E79" w14:textId="47F73CC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54BACD1" w14:textId="48E617D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100,1 %</w:t>
            </w:r>
          </w:p>
        </w:tc>
      </w:tr>
      <w:tr w:rsidR="008430BD" w:rsidRPr="001C3EC8" w14:paraId="50838135"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29380A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95" w:type="dxa"/>
            <w:tcBorders>
              <w:top w:val="nil"/>
              <w:left w:val="nil"/>
              <w:bottom w:val="single" w:sz="4" w:space="0" w:color="auto"/>
              <w:right w:val="nil"/>
            </w:tcBorders>
            <w:shd w:val="clear" w:color="auto" w:fill="auto"/>
            <w:noWrap/>
            <w:vAlign w:val="bottom"/>
            <w:hideMark/>
          </w:tcPr>
          <w:p w14:paraId="0FBBABD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8 109</w:t>
            </w:r>
          </w:p>
        </w:tc>
        <w:tc>
          <w:tcPr>
            <w:tcW w:w="788" w:type="dxa"/>
            <w:tcBorders>
              <w:top w:val="nil"/>
              <w:left w:val="nil"/>
              <w:bottom w:val="single" w:sz="4" w:space="0" w:color="auto"/>
              <w:right w:val="nil"/>
            </w:tcBorders>
            <w:shd w:val="clear" w:color="auto" w:fill="auto"/>
            <w:noWrap/>
            <w:vAlign w:val="center"/>
            <w:hideMark/>
          </w:tcPr>
          <w:p w14:paraId="2DBB21EE" w14:textId="3483222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c>
          <w:tcPr>
            <w:tcW w:w="1067" w:type="dxa"/>
            <w:tcBorders>
              <w:top w:val="nil"/>
              <w:left w:val="single" w:sz="4" w:space="0" w:color="auto"/>
              <w:bottom w:val="single" w:sz="4" w:space="0" w:color="auto"/>
              <w:right w:val="nil"/>
            </w:tcBorders>
            <w:shd w:val="clear" w:color="auto" w:fill="auto"/>
            <w:noWrap/>
            <w:vAlign w:val="bottom"/>
            <w:hideMark/>
          </w:tcPr>
          <w:p w14:paraId="7F1179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7 922</w:t>
            </w:r>
          </w:p>
        </w:tc>
        <w:tc>
          <w:tcPr>
            <w:tcW w:w="787" w:type="dxa"/>
            <w:tcBorders>
              <w:top w:val="nil"/>
              <w:left w:val="nil"/>
              <w:bottom w:val="single" w:sz="4" w:space="0" w:color="auto"/>
              <w:right w:val="single" w:sz="4" w:space="0" w:color="auto"/>
            </w:tcBorders>
            <w:shd w:val="clear" w:color="auto" w:fill="auto"/>
            <w:noWrap/>
            <w:vAlign w:val="center"/>
            <w:hideMark/>
          </w:tcPr>
          <w:p w14:paraId="5C69865A" w14:textId="141087A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943" w:type="dxa"/>
            <w:tcBorders>
              <w:top w:val="nil"/>
              <w:left w:val="nil"/>
              <w:bottom w:val="single" w:sz="4" w:space="0" w:color="auto"/>
              <w:right w:val="nil"/>
            </w:tcBorders>
            <w:shd w:val="clear" w:color="auto" w:fill="auto"/>
            <w:noWrap/>
            <w:vAlign w:val="bottom"/>
            <w:hideMark/>
          </w:tcPr>
          <w:p w14:paraId="575412E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1 912</w:t>
            </w:r>
          </w:p>
        </w:tc>
        <w:tc>
          <w:tcPr>
            <w:tcW w:w="900" w:type="dxa"/>
            <w:tcBorders>
              <w:top w:val="nil"/>
              <w:left w:val="nil"/>
              <w:bottom w:val="single" w:sz="4" w:space="0" w:color="auto"/>
              <w:right w:val="single" w:sz="4" w:space="0" w:color="auto"/>
            </w:tcBorders>
            <w:shd w:val="clear" w:color="auto" w:fill="auto"/>
            <w:noWrap/>
            <w:vAlign w:val="center"/>
            <w:hideMark/>
          </w:tcPr>
          <w:p w14:paraId="4F66B49C" w14:textId="1878EA3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322BAC73" w14:textId="3E2CD8E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97,7 %</w:t>
            </w:r>
          </w:p>
        </w:tc>
      </w:tr>
      <w:tr w:rsidR="008430BD" w:rsidRPr="001C3EC8" w14:paraId="1960A2FD"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6000A86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95" w:type="dxa"/>
            <w:tcBorders>
              <w:top w:val="nil"/>
              <w:left w:val="nil"/>
              <w:bottom w:val="single" w:sz="4" w:space="0" w:color="auto"/>
              <w:right w:val="nil"/>
            </w:tcBorders>
            <w:shd w:val="clear" w:color="auto" w:fill="auto"/>
            <w:noWrap/>
            <w:vAlign w:val="bottom"/>
            <w:hideMark/>
          </w:tcPr>
          <w:p w14:paraId="1448F1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11 436</w:t>
            </w:r>
          </w:p>
        </w:tc>
        <w:tc>
          <w:tcPr>
            <w:tcW w:w="788" w:type="dxa"/>
            <w:tcBorders>
              <w:top w:val="nil"/>
              <w:left w:val="nil"/>
              <w:bottom w:val="single" w:sz="4" w:space="0" w:color="auto"/>
              <w:right w:val="nil"/>
            </w:tcBorders>
            <w:shd w:val="clear" w:color="auto" w:fill="auto"/>
            <w:noWrap/>
            <w:vAlign w:val="center"/>
            <w:hideMark/>
          </w:tcPr>
          <w:p w14:paraId="4D73E748" w14:textId="29F9250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c>
          <w:tcPr>
            <w:tcW w:w="1067" w:type="dxa"/>
            <w:tcBorders>
              <w:top w:val="nil"/>
              <w:left w:val="single" w:sz="4" w:space="0" w:color="auto"/>
              <w:bottom w:val="single" w:sz="4" w:space="0" w:color="auto"/>
              <w:right w:val="nil"/>
            </w:tcBorders>
            <w:shd w:val="clear" w:color="auto" w:fill="auto"/>
            <w:noWrap/>
            <w:vAlign w:val="bottom"/>
            <w:hideMark/>
          </w:tcPr>
          <w:p w14:paraId="727C84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11 557</w:t>
            </w:r>
          </w:p>
        </w:tc>
        <w:tc>
          <w:tcPr>
            <w:tcW w:w="787" w:type="dxa"/>
            <w:tcBorders>
              <w:top w:val="nil"/>
              <w:left w:val="nil"/>
              <w:bottom w:val="single" w:sz="4" w:space="0" w:color="auto"/>
              <w:right w:val="single" w:sz="4" w:space="0" w:color="auto"/>
            </w:tcBorders>
            <w:shd w:val="clear" w:color="auto" w:fill="auto"/>
            <w:noWrap/>
            <w:vAlign w:val="center"/>
            <w:hideMark/>
          </w:tcPr>
          <w:p w14:paraId="2E028FC5" w14:textId="78B7E74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943" w:type="dxa"/>
            <w:tcBorders>
              <w:top w:val="nil"/>
              <w:left w:val="nil"/>
              <w:bottom w:val="single" w:sz="4" w:space="0" w:color="auto"/>
              <w:right w:val="nil"/>
            </w:tcBorders>
            <w:shd w:val="clear" w:color="auto" w:fill="auto"/>
            <w:noWrap/>
            <w:vAlign w:val="bottom"/>
            <w:hideMark/>
          </w:tcPr>
          <w:p w14:paraId="33523E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3 376</w:t>
            </w:r>
          </w:p>
        </w:tc>
        <w:tc>
          <w:tcPr>
            <w:tcW w:w="900" w:type="dxa"/>
            <w:tcBorders>
              <w:top w:val="nil"/>
              <w:left w:val="nil"/>
              <w:bottom w:val="single" w:sz="4" w:space="0" w:color="auto"/>
              <w:right w:val="single" w:sz="4" w:space="0" w:color="auto"/>
            </w:tcBorders>
            <w:shd w:val="clear" w:color="auto" w:fill="auto"/>
            <w:noWrap/>
            <w:vAlign w:val="center"/>
            <w:hideMark/>
          </w:tcPr>
          <w:p w14:paraId="7544D313" w14:textId="5D99CAF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C627CF5" w14:textId="5989512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101,1 %</w:t>
            </w:r>
          </w:p>
        </w:tc>
      </w:tr>
      <w:tr w:rsidR="008430BD" w:rsidRPr="001C3EC8" w14:paraId="7B7A6ECB"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B59919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95" w:type="dxa"/>
            <w:tcBorders>
              <w:top w:val="nil"/>
              <w:left w:val="nil"/>
              <w:bottom w:val="single" w:sz="4" w:space="0" w:color="auto"/>
              <w:right w:val="nil"/>
            </w:tcBorders>
            <w:shd w:val="clear" w:color="auto" w:fill="auto"/>
            <w:noWrap/>
            <w:vAlign w:val="bottom"/>
            <w:hideMark/>
          </w:tcPr>
          <w:p w14:paraId="2633F56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16 347</w:t>
            </w:r>
          </w:p>
        </w:tc>
        <w:tc>
          <w:tcPr>
            <w:tcW w:w="788" w:type="dxa"/>
            <w:tcBorders>
              <w:top w:val="nil"/>
              <w:left w:val="nil"/>
              <w:bottom w:val="single" w:sz="4" w:space="0" w:color="auto"/>
              <w:right w:val="nil"/>
            </w:tcBorders>
            <w:shd w:val="clear" w:color="auto" w:fill="auto"/>
            <w:noWrap/>
            <w:vAlign w:val="center"/>
            <w:hideMark/>
          </w:tcPr>
          <w:p w14:paraId="32592656" w14:textId="3E01A6E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1067" w:type="dxa"/>
            <w:tcBorders>
              <w:top w:val="nil"/>
              <w:left w:val="single" w:sz="4" w:space="0" w:color="auto"/>
              <w:bottom w:val="single" w:sz="4" w:space="0" w:color="auto"/>
              <w:right w:val="nil"/>
            </w:tcBorders>
            <w:shd w:val="clear" w:color="auto" w:fill="auto"/>
            <w:noWrap/>
            <w:vAlign w:val="bottom"/>
            <w:hideMark/>
          </w:tcPr>
          <w:p w14:paraId="21208F8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16 925</w:t>
            </w:r>
          </w:p>
        </w:tc>
        <w:tc>
          <w:tcPr>
            <w:tcW w:w="787" w:type="dxa"/>
            <w:tcBorders>
              <w:top w:val="nil"/>
              <w:left w:val="nil"/>
              <w:bottom w:val="single" w:sz="4" w:space="0" w:color="auto"/>
              <w:right w:val="single" w:sz="4" w:space="0" w:color="auto"/>
            </w:tcBorders>
            <w:shd w:val="clear" w:color="auto" w:fill="auto"/>
            <w:noWrap/>
            <w:vAlign w:val="center"/>
            <w:hideMark/>
          </w:tcPr>
          <w:p w14:paraId="792E0EAB" w14:textId="3034864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943" w:type="dxa"/>
            <w:tcBorders>
              <w:top w:val="nil"/>
              <w:left w:val="nil"/>
              <w:bottom w:val="single" w:sz="4" w:space="0" w:color="auto"/>
              <w:right w:val="nil"/>
            </w:tcBorders>
            <w:shd w:val="clear" w:color="auto" w:fill="auto"/>
            <w:noWrap/>
            <w:vAlign w:val="bottom"/>
            <w:hideMark/>
          </w:tcPr>
          <w:p w14:paraId="76F5A8E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5 993</w:t>
            </w:r>
          </w:p>
        </w:tc>
        <w:tc>
          <w:tcPr>
            <w:tcW w:w="900" w:type="dxa"/>
            <w:tcBorders>
              <w:top w:val="nil"/>
              <w:left w:val="nil"/>
              <w:bottom w:val="single" w:sz="4" w:space="0" w:color="auto"/>
              <w:right w:val="single" w:sz="4" w:space="0" w:color="auto"/>
            </w:tcBorders>
            <w:shd w:val="clear" w:color="auto" w:fill="auto"/>
            <w:noWrap/>
            <w:vAlign w:val="center"/>
            <w:hideMark/>
          </w:tcPr>
          <w:p w14:paraId="495DD6F9" w14:textId="141CFC2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300CF0B0" w14:textId="03FA68E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103,5 %</w:t>
            </w:r>
          </w:p>
        </w:tc>
      </w:tr>
      <w:tr w:rsidR="008430BD" w:rsidRPr="001C3EC8" w14:paraId="735E9D74"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2F9604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95" w:type="dxa"/>
            <w:tcBorders>
              <w:top w:val="nil"/>
              <w:left w:val="nil"/>
              <w:bottom w:val="single" w:sz="4" w:space="0" w:color="auto"/>
              <w:right w:val="nil"/>
            </w:tcBorders>
            <w:shd w:val="clear" w:color="auto" w:fill="auto"/>
            <w:noWrap/>
            <w:vAlign w:val="bottom"/>
            <w:hideMark/>
          </w:tcPr>
          <w:p w14:paraId="53F03B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13 212</w:t>
            </w:r>
          </w:p>
        </w:tc>
        <w:tc>
          <w:tcPr>
            <w:tcW w:w="788" w:type="dxa"/>
            <w:tcBorders>
              <w:top w:val="nil"/>
              <w:left w:val="nil"/>
              <w:bottom w:val="single" w:sz="4" w:space="0" w:color="auto"/>
              <w:right w:val="nil"/>
            </w:tcBorders>
            <w:shd w:val="clear" w:color="auto" w:fill="auto"/>
            <w:noWrap/>
            <w:vAlign w:val="center"/>
            <w:hideMark/>
          </w:tcPr>
          <w:p w14:paraId="4235A1F1" w14:textId="637D873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1067" w:type="dxa"/>
            <w:tcBorders>
              <w:top w:val="nil"/>
              <w:left w:val="single" w:sz="4" w:space="0" w:color="auto"/>
              <w:bottom w:val="single" w:sz="4" w:space="0" w:color="auto"/>
              <w:right w:val="nil"/>
            </w:tcBorders>
            <w:shd w:val="clear" w:color="auto" w:fill="auto"/>
            <w:noWrap/>
            <w:vAlign w:val="bottom"/>
            <w:hideMark/>
          </w:tcPr>
          <w:p w14:paraId="1E9282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13 888</w:t>
            </w:r>
          </w:p>
        </w:tc>
        <w:tc>
          <w:tcPr>
            <w:tcW w:w="787" w:type="dxa"/>
            <w:tcBorders>
              <w:top w:val="nil"/>
              <w:left w:val="nil"/>
              <w:bottom w:val="single" w:sz="4" w:space="0" w:color="auto"/>
              <w:right w:val="single" w:sz="4" w:space="0" w:color="auto"/>
            </w:tcBorders>
            <w:shd w:val="clear" w:color="auto" w:fill="auto"/>
            <w:noWrap/>
            <w:vAlign w:val="center"/>
            <w:hideMark/>
          </w:tcPr>
          <w:p w14:paraId="75AFD92B" w14:textId="0590A6B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943" w:type="dxa"/>
            <w:tcBorders>
              <w:top w:val="nil"/>
              <w:left w:val="nil"/>
              <w:bottom w:val="single" w:sz="4" w:space="0" w:color="auto"/>
              <w:right w:val="nil"/>
            </w:tcBorders>
            <w:shd w:val="clear" w:color="auto" w:fill="auto"/>
            <w:noWrap/>
            <w:vAlign w:val="bottom"/>
            <w:hideMark/>
          </w:tcPr>
          <w:p w14:paraId="762B2E6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3 973</w:t>
            </w:r>
          </w:p>
        </w:tc>
        <w:tc>
          <w:tcPr>
            <w:tcW w:w="900" w:type="dxa"/>
            <w:tcBorders>
              <w:top w:val="nil"/>
              <w:left w:val="nil"/>
              <w:bottom w:val="single" w:sz="4" w:space="0" w:color="auto"/>
              <w:right w:val="single" w:sz="4" w:space="0" w:color="auto"/>
            </w:tcBorders>
            <w:shd w:val="clear" w:color="auto" w:fill="auto"/>
            <w:noWrap/>
            <w:vAlign w:val="center"/>
            <w:hideMark/>
          </w:tcPr>
          <w:p w14:paraId="719FC88F" w14:textId="0625285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19DDF722" w14:textId="38985BA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105,1 %</w:t>
            </w:r>
          </w:p>
        </w:tc>
      </w:tr>
      <w:tr w:rsidR="008430BD" w:rsidRPr="001C3EC8" w14:paraId="7D048B86"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FCB5DA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95" w:type="dxa"/>
            <w:tcBorders>
              <w:top w:val="nil"/>
              <w:left w:val="nil"/>
              <w:bottom w:val="single" w:sz="4" w:space="0" w:color="auto"/>
              <w:right w:val="nil"/>
            </w:tcBorders>
            <w:shd w:val="clear" w:color="auto" w:fill="auto"/>
            <w:noWrap/>
            <w:vAlign w:val="bottom"/>
            <w:hideMark/>
          </w:tcPr>
          <w:p w14:paraId="07D3D8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18 861</w:t>
            </w:r>
          </w:p>
        </w:tc>
        <w:tc>
          <w:tcPr>
            <w:tcW w:w="788" w:type="dxa"/>
            <w:tcBorders>
              <w:top w:val="nil"/>
              <w:left w:val="nil"/>
              <w:bottom w:val="single" w:sz="4" w:space="0" w:color="auto"/>
              <w:right w:val="nil"/>
            </w:tcBorders>
            <w:shd w:val="clear" w:color="auto" w:fill="auto"/>
            <w:noWrap/>
            <w:vAlign w:val="center"/>
            <w:hideMark/>
          </w:tcPr>
          <w:p w14:paraId="651E1AF9" w14:textId="5E79D05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1067" w:type="dxa"/>
            <w:tcBorders>
              <w:top w:val="nil"/>
              <w:left w:val="single" w:sz="4" w:space="0" w:color="auto"/>
              <w:bottom w:val="single" w:sz="4" w:space="0" w:color="auto"/>
              <w:right w:val="nil"/>
            </w:tcBorders>
            <w:shd w:val="clear" w:color="auto" w:fill="auto"/>
            <w:noWrap/>
            <w:vAlign w:val="bottom"/>
            <w:hideMark/>
          </w:tcPr>
          <w:p w14:paraId="4EFDBF3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20 164</w:t>
            </w:r>
          </w:p>
        </w:tc>
        <w:tc>
          <w:tcPr>
            <w:tcW w:w="787" w:type="dxa"/>
            <w:tcBorders>
              <w:top w:val="nil"/>
              <w:left w:val="nil"/>
              <w:bottom w:val="single" w:sz="4" w:space="0" w:color="auto"/>
              <w:right w:val="single" w:sz="4" w:space="0" w:color="auto"/>
            </w:tcBorders>
            <w:shd w:val="clear" w:color="auto" w:fill="auto"/>
            <w:noWrap/>
            <w:vAlign w:val="center"/>
            <w:hideMark/>
          </w:tcPr>
          <w:p w14:paraId="779D6503" w14:textId="78A7907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943" w:type="dxa"/>
            <w:tcBorders>
              <w:top w:val="nil"/>
              <w:left w:val="nil"/>
              <w:bottom w:val="single" w:sz="4" w:space="0" w:color="auto"/>
              <w:right w:val="nil"/>
            </w:tcBorders>
            <w:shd w:val="clear" w:color="auto" w:fill="auto"/>
            <w:noWrap/>
            <w:vAlign w:val="bottom"/>
            <w:hideMark/>
          </w:tcPr>
          <w:p w14:paraId="6C3921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6 641</w:t>
            </w:r>
          </w:p>
        </w:tc>
        <w:tc>
          <w:tcPr>
            <w:tcW w:w="900" w:type="dxa"/>
            <w:tcBorders>
              <w:top w:val="nil"/>
              <w:left w:val="nil"/>
              <w:bottom w:val="single" w:sz="4" w:space="0" w:color="auto"/>
              <w:right w:val="single" w:sz="4" w:space="0" w:color="auto"/>
            </w:tcBorders>
            <w:shd w:val="clear" w:color="auto" w:fill="auto"/>
            <w:noWrap/>
            <w:vAlign w:val="center"/>
            <w:hideMark/>
          </w:tcPr>
          <w:p w14:paraId="66CAA7A6" w14:textId="3DAE384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078E66A5" w14:textId="48013D2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106,9 %</w:t>
            </w:r>
          </w:p>
        </w:tc>
      </w:tr>
      <w:tr w:rsidR="008430BD" w:rsidRPr="001C3EC8" w14:paraId="7C17870E"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32698DB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95" w:type="dxa"/>
            <w:tcBorders>
              <w:top w:val="nil"/>
              <w:left w:val="nil"/>
              <w:bottom w:val="double" w:sz="6" w:space="0" w:color="auto"/>
              <w:right w:val="nil"/>
            </w:tcBorders>
            <w:shd w:val="clear" w:color="auto" w:fill="auto"/>
            <w:noWrap/>
            <w:vAlign w:val="bottom"/>
            <w:hideMark/>
          </w:tcPr>
          <w:p w14:paraId="166F61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21 526</w:t>
            </w:r>
          </w:p>
        </w:tc>
        <w:tc>
          <w:tcPr>
            <w:tcW w:w="788" w:type="dxa"/>
            <w:tcBorders>
              <w:top w:val="nil"/>
              <w:left w:val="nil"/>
              <w:bottom w:val="double" w:sz="6" w:space="0" w:color="auto"/>
              <w:right w:val="nil"/>
            </w:tcBorders>
            <w:shd w:val="clear" w:color="auto" w:fill="auto"/>
            <w:noWrap/>
            <w:vAlign w:val="center"/>
            <w:hideMark/>
          </w:tcPr>
          <w:p w14:paraId="49FA7828" w14:textId="1BA96E5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1067" w:type="dxa"/>
            <w:tcBorders>
              <w:top w:val="nil"/>
              <w:left w:val="single" w:sz="4" w:space="0" w:color="auto"/>
              <w:bottom w:val="double" w:sz="6" w:space="0" w:color="auto"/>
              <w:right w:val="nil"/>
            </w:tcBorders>
            <w:shd w:val="clear" w:color="auto" w:fill="auto"/>
            <w:noWrap/>
            <w:vAlign w:val="bottom"/>
            <w:hideMark/>
          </w:tcPr>
          <w:p w14:paraId="28E068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22 221</w:t>
            </w:r>
          </w:p>
        </w:tc>
        <w:tc>
          <w:tcPr>
            <w:tcW w:w="787" w:type="dxa"/>
            <w:tcBorders>
              <w:top w:val="nil"/>
              <w:left w:val="nil"/>
              <w:bottom w:val="double" w:sz="6" w:space="0" w:color="auto"/>
              <w:right w:val="single" w:sz="4" w:space="0" w:color="auto"/>
            </w:tcBorders>
            <w:shd w:val="clear" w:color="auto" w:fill="auto"/>
            <w:noWrap/>
            <w:vAlign w:val="center"/>
            <w:hideMark/>
          </w:tcPr>
          <w:p w14:paraId="440D4C27" w14:textId="1C7748B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943" w:type="dxa"/>
            <w:tcBorders>
              <w:top w:val="nil"/>
              <w:left w:val="nil"/>
              <w:bottom w:val="double" w:sz="6" w:space="0" w:color="auto"/>
              <w:right w:val="nil"/>
            </w:tcBorders>
            <w:shd w:val="clear" w:color="auto" w:fill="auto"/>
            <w:noWrap/>
            <w:vAlign w:val="bottom"/>
            <w:hideMark/>
          </w:tcPr>
          <w:p w14:paraId="4D2F3E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7 631</w:t>
            </w:r>
          </w:p>
        </w:tc>
        <w:tc>
          <w:tcPr>
            <w:tcW w:w="900" w:type="dxa"/>
            <w:tcBorders>
              <w:top w:val="nil"/>
              <w:left w:val="nil"/>
              <w:bottom w:val="double" w:sz="6" w:space="0" w:color="auto"/>
              <w:right w:val="single" w:sz="4" w:space="0" w:color="auto"/>
            </w:tcBorders>
            <w:shd w:val="clear" w:color="auto" w:fill="auto"/>
            <w:noWrap/>
            <w:vAlign w:val="center"/>
            <w:hideMark/>
          </w:tcPr>
          <w:p w14:paraId="2874CF8F" w14:textId="33F44C2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244B6968" w14:textId="729319E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103,2 %</w:t>
            </w:r>
          </w:p>
        </w:tc>
      </w:tr>
      <w:tr w:rsidR="008430BD" w:rsidRPr="001C3EC8" w14:paraId="7E360997"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2DA520D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95" w:type="dxa"/>
            <w:tcBorders>
              <w:top w:val="nil"/>
              <w:left w:val="nil"/>
              <w:bottom w:val="double" w:sz="6" w:space="0" w:color="auto"/>
              <w:right w:val="nil"/>
            </w:tcBorders>
            <w:shd w:val="clear" w:color="auto" w:fill="auto"/>
            <w:noWrap/>
            <w:vAlign w:val="bottom"/>
            <w:hideMark/>
          </w:tcPr>
          <w:p w14:paraId="32E9C29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122 504</w:t>
            </w:r>
          </w:p>
        </w:tc>
        <w:tc>
          <w:tcPr>
            <w:tcW w:w="788" w:type="dxa"/>
            <w:tcBorders>
              <w:top w:val="nil"/>
              <w:left w:val="nil"/>
              <w:bottom w:val="double" w:sz="6" w:space="0" w:color="auto"/>
              <w:right w:val="nil"/>
            </w:tcBorders>
            <w:shd w:val="clear" w:color="auto" w:fill="auto"/>
            <w:noWrap/>
            <w:vAlign w:val="center"/>
            <w:hideMark/>
          </w:tcPr>
          <w:p w14:paraId="4CDA85E0" w14:textId="767C1371"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-18 </w:t>
            </w:r>
            <w:r w:rsidR="00B07E76">
              <w:rPr>
                <w:rFonts w:eastAsia="Times New Roman"/>
                <w:b/>
                <w:bCs/>
                <w:color w:val="000000" w:themeColor="text1"/>
                <w:sz w:val="20"/>
                <w:szCs w:val="20"/>
                <w:lang w:eastAsia="cs-CZ"/>
              </w:rPr>
              <w:t>%</w:t>
            </w:r>
          </w:p>
        </w:tc>
        <w:tc>
          <w:tcPr>
            <w:tcW w:w="1067" w:type="dxa"/>
            <w:tcBorders>
              <w:top w:val="nil"/>
              <w:left w:val="single" w:sz="4" w:space="0" w:color="auto"/>
              <w:bottom w:val="double" w:sz="6" w:space="0" w:color="auto"/>
              <w:right w:val="nil"/>
            </w:tcBorders>
            <w:shd w:val="clear" w:color="auto" w:fill="auto"/>
            <w:noWrap/>
            <w:vAlign w:val="bottom"/>
            <w:hideMark/>
          </w:tcPr>
          <w:p w14:paraId="764EC19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125 901</w:t>
            </w:r>
          </w:p>
        </w:tc>
        <w:tc>
          <w:tcPr>
            <w:tcW w:w="787" w:type="dxa"/>
            <w:tcBorders>
              <w:top w:val="nil"/>
              <w:left w:val="nil"/>
              <w:bottom w:val="double" w:sz="6" w:space="0" w:color="auto"/>
              <w:right w:val="single" w:sz="4" w:space="0" w:color="auto"/>
            </w:tcBorders>
            <w:shd w:val="clear" w:color="auto" w:fill="auto"/>
            <w:noWrap/>
            <w:vAlign w:val="center"/>
            <w:hideMark/>
          </w:tcPr>
          <w:p w14:paraId="46665257" w14:textId="34DF6D91"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-15 </w:t>
            </w:r>
            <w:r w:rsidR="00B07E76">
              <w:rPr>
                <w:rFonts w:eastAsia="Times New Roman"/>
                <w:b/>
                <w:bCs/>
                <w:color w:val="000000" w:themeColor="text1"/>
                <w:sz w:val="20"/>
                <w:szCs w:val="20"/>
                <w:lang w:eastAsia="cs-CZ"/>
              </w:rPr>
              <w:t>%</w:t>
            </w:r>
          </w:p>
        </w:tc>
        <w:tc>
          <w:tcPr>
            <w:tcW w:w="943" w:type="dxa"/>
            <w:tcBorders>
              <w:top w:val="nil"/>
              <w:left w:val="nil"/>
              <w:bottom w:val="double" w:sz="6" w:space="0" w:color="auto"/>
              <w:right w:val="nil"/>
            </w:tcBorders>
            <w:shd w:val="clear" w:color="auto" w:fill="auto"/>
            <w:noWrap/>
            <w:vAlign w:val="bottom"/>
            <w:hideMark/>
          </w:tcPr>
          <w:p w14:paraId="5E71B75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39 608</w:t>
            </w:r>
          </w:p>
        </w:tc>
        <w:tc>
          <w:tcPr>
            <w:tcW w:w="900" w:type="dxa"/>
            <w:tcBorders>
              <w:top w:val="nil"/>
              <w:left w:val="nil"/>
              <w:bottom w:val="double" w:sz="6" w:space="0" w:color="auto"/>
              <w:right w:val="single" w:sz="4" w:space="0" w:color="auto"/>
            </w:tcBorders>
            <w:shd w:val="clear" w:color="auto" w:fill="auto"/>
            <w:noWrap/>
            <w:vAlign w:val="center"/>
            <w:hideMark/>
          </w:tcPr>
          <w:p w14:paraId="4B932F04" w14:textId="5F71B67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687F7EF2" w14:textId="10561AAD"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102,8 %</w:t>
            </w:r>
          </w:p>
        </w:tc>
      </w:tr>
    </w:tbl>
    <w:p w14:paraId="7A1AD379" w14:textId="1B265DCA" w:rsidR="008430BD" w:rsidRPr="001C3EC8" w:rsidRDefault="008430BD" w:rsidP="008430BD">
      <w:pPr>
        <w:rPr>
          <w:color w:val="000000" w:themeColor="text1"/>
          <w:highlight w:val="yellow"/>
        </w:rPr>
      </w:pPr>
    </w:p>
    <w:p w14:paraId="32E2980B" w14:textId="778E5E90" w:rsidR="00B07E76" w:rsidRDefault="008430BD" w:rsidP="008430BD">
      <w:pPr>
        <w:rPr>
          <w:color w:val="000000" w:themeColor="text1"/>
        </w:rPr>
      </w:pPr>
      <w:r w:rsidRPr="001C3EC8">
        <w:rPr>
          <w:color w:val="000000" w:themeColor="text1"/>
        </w:rPr>
        <w:t xml:space="preserve">V tabulce vidíme, že nápad klesl ve všech krajích </w:t>
      </w:r>
      <w:r w:rsidR="00CD2266" w:rsidRPr="001C3EC8">
        <w:rPr>
          <w:color w:val="000000" w:themeColor="text1"/>
        </w:rPr>
        <w:t>a</w:t>
      </w:r>
      <w:r w:rsidR="00CD2266">
        <w:rPr>
          <w:color w:val="000000" w:themeColor="text1"/>
        </w:rPr>
        <w:t> </w:t>
      </w:r>
      <w:r w:rsidRPr="001C3EC8">
        <w:rPr>
          <w:color w:val="000000" w:themeColor="text1"/>
        </w:rPr>
        <w:t>že všechny kraje s výjimkou Jihočeského kraje měly míru vyřizování vyšší než 100 %. Obzvlášť dobře s</w:t>
      </w:r>
      <w:r w:rsidR="008A3367" w:rsidRPr="001C3EC8">
        <w:rPr>
          <w:color w:val="000000" w:themeColor="text1"/>
        </w:rPr>
        <w:t>i</w:t>
      </w:r>
      <w:r w:rsidRPr="001C3EC8">
        <w:rPr>
          <w:color w:val="000000" w:themeColor="text1"/>
        </w:rPr>
        <w:t xml:space="preserve"> vedl kraj Jihomoravský.</w:t>
      </w:r>
    </w:p>
    <w:p w14:paraId="3B4CEB59" w14:textId="7F0CA61E" w:rsidR="00B07E76" w:rsidRDefault="008430BD" w:rsidP="008430BD">
      <w:pPr>
        <w:rPr>
          <w:color w:val="000000" w:themeColor="text1"/>
        </w:rPr>
      </w:pPr>
      <w:r w:rsidRPr="001C3EC8">
        <w:rPr>
          <w:color w:val="000000" w:themeColor="text1"/>
        </w:rPr>
        <w:t xml:space="preserve">Nakonec </w:t>
      </w:r>
      <w:r w:rsidR="008A3367" w:rsidRPr="001C3EC8">
        <w:rPr>
          <w:color w:val="000000" w:themeColor="text1"/>
        </w:rPr>
        <w:t>j</w:t>
      </w:r>
      <w:r w:rsidRPr="001C3EC8">
        <w:rPr>
          <w:color w:val="000000" w:themeColor="text1"/>
        </w:rPr>
        <w:t xml:space="preserve">e stejně jako v civilní </w:t>
      </w:r>
      <w:r w:rsidR="00CD2266" w:rsidRPr="001C3EC8">
        <w:rPr>
          <w:color w:val="000000" w:themeColor="text1"/>
        </w:rPr>
        <w:t>a</w:t>
      </w:r>
      <w:r w:rsidR="00CD2266">
        <w:rPr>
          <w:color w:val="000000" w:themeColor="text1"/>
        </w:rPr>
        <w:t> </w:t>
      </w:r>
      <w:r w:rsidRPr="001C3EC8">
        <w:rPr>
          <w:color w:val="000000" w:themeColor="text1"/>
        </w:rPr>
        <w:t>trestní agendě zobrazen vývoj nápadu po měsících.</w:t>
      </w:r>
    </w:p>
    <w:p w14:paraId="4B280971" w14:textId="39EFB058" w:rsidR="008430BD" w:rsidRPr="001C3EC8" w:rsidRDefault="008430BD" w:rsidP="008430BD">
      <w:pPr>
        <w:pStyle w:val="Podnadpis"/>
        <w:rPr>
          <w:color w:val="000000" w:themeColor="text1"/>
        </w:rPr>
      </w:pPr>
      <w:bookmarkStart w:id="312" w:name="_Toc75952222"/>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42</w:t>
      </w:r>
      <w:r w:rsidRPr="001C3EC8">
        <w:rPr>
          <w:color w:val="000000" w:themeColor="text1"/>
        </w:rPr>
        <w:fldChar w:fldCharType="end"/>
      </w:r>
      <w:r w:rsidRPr="001C3EC8">
        <w:rPr>
          <w:color w:val="000000" w:themeColor="text1"/>
        </w:rPr>
        <w:t xml:space="preserve">: OS – měsíční nápad </w:t>
      </w:r>
      <w:r w:rsidR="00F35BB2" w:rsidRPr="001C3EC8">
        <w:rPr>
          <w:color w:val="000000" w:themeColor="text1"/>
        </w:rPr>
        <w:t xml:space="preserve">opatrovnických </w:t>
      </w:r>
      <w:r w:rsidRPr="001C3EC8">
        <w:rPr>
          <w:color w:val="000000" w:themeColor="text1"/>
        </w:rPr>
        <w:t>věcí</w:t>
      </w:r>
      <w:bookmarkEnd w:id="312"/>
    </w:p>
    <w:p w14:paraId="59FF2065"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012E5C41" wp14:editId="6A95E5B4">
            <wp:extent cx="5115560" cy="3743960"/>
            <wp:effectExtent l="0" t="0" r="0" b="889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197CE2EB" w14:textId="54A8F2BA" w:rsidR="00B07E76" w:rsidRDefault="008430BD" w:rsidP="008430BD">
      <w:pPr>
        <w:pStyle w:val="OdstavecASR"/>
        <w:rPr>
          <w:color w:val="000000" w:themeColor="text1"/>
        </w:rPr>
      </w:pPr>
      <w:r w:rsidRPr="001C3EC8">
        <w:rPr>
          <w:color w:val="000000" w:themeColor="text1"/>
        </w:rPr>
        <w:t xml:space="preserve">V grafu vidíme, že vývoj nápadu je velmi podobný vývoji v trestní agendě. </w:t>
      </w:r>
      <w:r w:rsidR="008A3367" w:rsidRPr="001C3EC8">
        <w:rPr>
          <w:color w:val="000000" w:themeColor="text1"/>
        </w:rPr>
        <w:t>V</w:t>
      </w:r>
      <w:r w:rsidRPr="001C3EC8">
        <w:rPr>
          <w:color w:val="000000" w:themeColor="text1"/>
        </w:rPr>
        <w:t xml:space="preserve"> době prvního </w:t>
      </w:r>
      <w:r w:rsidR="00CD2266" w:rsidRPr="001C3EC8">
        <w:rPr>
          <w:color w:val="000000" w:themeColor="text1"/>
        </w:rPr>
        <w:t>i</w:t>
      </w:r>
      <w:r w:rsidR="00CD2266">
        <w:rPr>
          <w:color w:val="000000" w:themeColor="text1"/>
        </w:rPr>
        <w:t> </w:t>
      </w:r>
      <w:r w:rsidRPr="001C3EC8">
        <w:rPr>
          <w:color w:val="000000" w:themeColor="text1"/>
        </w:rPr>
        <w:t xml:space="preserve">druhého nouzového stavu došlo k výraznému poklesu nápadu. Pokles byl silnější v době prvního nouzového stavu. Vliv mohl mít samotný nouzový stav, ale </w:t>
      </w:r>
      <w:r w:rsidR="00CD2266" w:rsidRPr="001C3EC8">
        <w:rPr>
          <w:color w:val="000000" w:themeColor="text1"/>
        </w:rPr>
        <w:t>i</w:t>
      </w:r>
      <w:r w:rsidR="00CD2266">
        <w:rPr>
          <w:color w:val="000000" w:themeColor="text1"/>
        </w:rPr>
        <w:t> </w:t>
      </w:r>
      <w:r w:rsidRPr="001C3EC8">
        <w:rPr>
          <w:color w:val="000000" w:themeColor="text1"/>
        </w:rPr>
        <w:t>přijatá opatření, která byla během nouzového stavu nejpřísnější.</w:t>
      </w:r>
    </w:p>
    <w:p w14:paraId="0363F3E3" w14:textId="3D51421D" w:rsidR="008430BD" w:rsidRPr="001C3EC8" w:rsidRDefault="008430BD" w:rsidP="008430BD">
      <w:pPr>
        <w:pStyle w:val="Nadpis3"/>
        <w:numPr>
          <w:ilvl w:val="2"/>
          <w:numId w:val="1"/>
        </w:numPr>
        <w:rPr>
          <w:color w:val="000000" w:themeColor="text1"/>
        </w:rPr>
      </w:pPr>
      <w:bookmarkStart w:id="313" w:name="_Toc75952075"/>
      <w:bookmarkEnd w:id="311"/>
      <w:r w:rsidRPr="001C3EC8">
        <w:rPr>
          <w:color w:val="000000" w:themeColor="text1"/>
        </w:rPr>
        <w:t>Vyřizování v přepočtu na soudce</w:t>
      </w:r>
      <w:bookmarkEnd w:id="313"/>
    </w:p>
    <w:p w14:paraId="2C900323" w14:textId="33230A38" w:rsidR="008430BD" w:rsidRPr="001C3EC8" w:rsidRDefault="008430BD" w:rsidP="008430BD">
      <w:pPr>
        <w:rPr>
          <w:color w:val="000000" w:themeColor="text1"/>
        </w:rPr>
      </w:pPr>
      <w:r w:rsidRPr="001C3EC8">
        <w:rPr>
          <w:color w:val="000000" w:themeColor="text1"/>
        </w:rPr>
        <w:t xml:space="preserve">Díky nově získaným datům je možné provést přepočet na soudce </w:t>
      </w:r>
      <w:r w:rsidR="00CD2266" w:rsidRPr="001C3EC8">
        <w:rPr>
          <w:color w:val="000000" w:themeColor="text1"/>
        </w:rPr>
        <w:t>i</w:t>
      </w:r>
      <w:r w:rsidR="00CD2266">
        <w:rPr>
          <w:color w:val="000000" w:themeColor="text1"/>
        </w:rPr>
        <w:t> </w:t>
      </w:r>
      <w:r w:rsidR="00CD2266" w:rsidRPr="001C3EC8">
        <w:rPr>
          <w:color w:val="000000" w:themeColor="text1"/>
        </w:rPr>
        <w:t>u</w:t>
      </w:r>
      <w:r w:rsidR="00CD2266">
        <w:rPr>
          <w:color w:val="000000" w:themeColor="text1"/>
        </w:rPr>
        <w:t> </w:t>
      </w:r>
      <w:r w:rsidRPr="001C3EC8">
        <w:rPr>
          <w:color w:val="000000" w:themeColor="text1"/>
        </w:rPr>
        <w:t xml:space="preserve">opatrovnické agendy. Bližší informace k novým datům </w:t>
      </w:r>
      <w:r w:rsidR="00CD2266" w:rsidRPr="001C3EC8">
        <w:rPr>
          <w:color w:val="000000" w:themeColor="text1"/>
        </w:rPr>
        <w:t>o</w:t>
      </w:r>
      <w:r w:rsidR="00CD2266">
        <w:rPr>
          <w:color w:val="000000" w:themeColor="text1"/>
        </w:rPr>
        <w:t> </w:t>
      </w:r>
      <w:r w:rsidRPr="001C3EC8">
        <w:rPr>
          <w:color w:val="000000" w:themeColor="text1"/>
        </w:rPr>
        <w:t>počtu soudcovských úvazků se nacházejí v podkapitole 2.2.3.</w:t>
      </w:r>
    </w:p>
    <w:p w14:paraId="2BD52DFB" w14:textId="77777777" w:rsidR="008430BD" w:rsidRPr="001C3EC8" w:rsidRDefault="008430BD" w:rsidP="008430BD">
      <w:pPr>
        <w:spacing w:line="240" w:lineRule="auto"/>
        <w:jc w:val="left"/>
        <w:rPr>
          <w:rFonts w:eastAsia="Times New Roman"/>
          <w:b/>
          <w:iCs/>
          <w:color w:val="000000" w:themeColor="text1"/>
          <w:spacing w:val="15"/>
          <w:szCs w:val="24"/>
        </w:rPr>
      </w:pPr>
      <w:bookmarkStart w:id="314" w:name="_Toc43931203"/>
      <w:r w:rsidRPr="001C3EC8">
        <w:rPr>
          <w:color w:val="000000" w:themeColor="text1"/>
        </w:rPr>
        <w:br w:type="page"/>
      </w:r>
    </w:p>
    <w:p w14:paraId="2C51CEFA" w14:textId="768EFCBE" w:rsidR="008430BD" w:rsidRPr="001C3EC8" w:rsidRDefault="008430BD" w:rsidP="008430BD">
      <w:pPr>
        <w:pStyle w:val="Podnadpis"/>
        <w:rPr>
          <w:color w:val="000000" w:themeColor="text1"/>
        </w:rPr>
      </w:pPr>
      <w:bookmarkStart w:id="315" w:name="_Toc75952335"/>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32</w:t>
      </w:r>
      <w:r w:rsidRPr="001C3EC8">
        <w:rPr>
          <w:color w:val="000000" w:themeColor="text1"/>
        </w:rPr>
        <w:fldChar w:fldCharType="end"/>
      </w:r>
      <w:r w:rsidRPr="001C3EC8">
        <w:rPr>
          <w:color w:val="000000" w:themeColor="text1"/>
        </w:rPr>
        <w:t xml:space="preserve">: OS – vyřizování opatrovnických věcí na </w:t>
      </w:r>
      <w:r w:rsidR="008A3367" w:rsidRPr="001C3EC8">
        <w:rPr>
          <w:color w:val="000000" w:themeColor="text1"/>
        </w:rPr>
        <w:t>skutečný úvazek</w:t>
      </w:r>
      <w:r w:rsidRPr="001C3EC8">
        <w:rPr>
          <w:color w:val="000000" w:themeColor="text1"/>
        </w:rPr>
        <w:t xml:space="preserve"> dle krajů</w:t>
      </w:r>
      <w:bookmarkEnd w:id="314"/>
      <w:bookmarkEnd w:id="315"/>
    </w:p>
    <w:tbl>
      <w:tblPr>
        <w:tblW w:w="8640" w:type="dxa"/>
        <w:tblCellMar>
          <w:left w:w="70" w:type="dxa"/>
          <w:right w:w="70" w:type="dxa"/>
        </w:tblCellMar>
        <w:tblLook w:val="04A0" w:firstRow="1" w:lastRow="0" w:firstColumn="1" w:lastColumn="0" w:noHBand="0" w:noVBand="1"/>
      </w:tblPr>
      <w:tblGrid>
        <w:gridCol w:w="1820"/>
        <w:gridCol w:w="1059"/>
        <w:gridCol w:w="1075"/>
        <w:gridCol w:w="812"/>
        <w:gridCol w:w="1075"/>
        <w:gridCol w:w="812"/>
        <w:gridCol w:w="1058"/>
        <w:gridCol w:w="929"/>
      </w:tblGrid>
      <w:tr w:rsidR="009F6F12" w:rsidRPr="001C3EC8" w14:paraId="30B31909" w14:textId="77777777" w:rsidTr="009F6F12">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5602735B" w14:textId="77777777" w:rsidR="009F6F12" w:rsidRPr="001C3EC8" w:rsidRDefault="009F6F12" w:rsidP="009F6F12">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059" w:type="dxa"/>
            <w:vMerge w:val="restart"/>
            <w:tcBorders>
              <w:top w:val="double" w:sz="6" w:space="0" w:color="auto"/>
              <w:left w:val="nil"/>
              <w:bottom w:val="double" w:sz="6" w:space="0" w:color="000000"/>
              <w:right w:val="nil"/>
            </w:tcBorders>
            <w:shd w:val="clear" w:color="auto" w:fill="auto"/>
            <w:vAlign w:val="center"/>
            <w:hideMark/>
          </w:tcPr>
          <w:p w14:paraId="37103B48"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5761" w:type="dxa"/>
            <w:gridSpan w:val="6"/>
            <w:tcBorders>
              <w:top w:val="double" w:sz="6" w:space="0" w:color="auto"/>
              <w:left w:val="nil"/>
              <w:bottom w:val="nil"/>
              <w:right w:val="nil"/>
            </w:tcBorders>
            <w:shd w:val="clear" w:color="auto" w:fill="auto"/>
            <w:noWrap/>
            <w:vAlign w:val="center"/>
            <w:hideMark/>
          </w:tcPr>
          <w:p w14:paraId="04BF0F1A"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9F6F12" w:rsidRPr="001C3EC8" w14:paraId="4BCA4D52" w14:textId="77777777" w:rsidTr="009F6F12">
        <w:trPr>
          <w:trHeight w:val="330"/>
        </w:trPr>
        <w:tc>
          <w:tcPr>
            <w:tcW w:w="1820" w:type="dxa"/>
            <w:vMerge/>
            <w:tcBorders>
              <w:top w:val="double" w:sz="6" w:space="0" w:color="auto"/>
              <w:left w:val="nil"/>
              <w:bottom w:val="double" w:sz="6" w:space="0" w:color="000000"/>
              <w:right w:val="nil"/>
            </w:tcBorders>
            <w:vAlign w:val="center"/>
            <w:hideMark/>
          </w:tcPr>
          <w:p w14:paraId="61D437C6" w14:textId="77777777" w:rsidR="009F6F12" w:rsidRPr="001C3EC8" w:rsidRDefault="009F6F12" w:rsidP="009F6F12">
            <w:pPr>
              <w:spacing w:line="240" w:lineRule="auto"/>
              <w:jc w:val="left"/>
              <w:rPr>
                <w:rFonts w:eastAsia="Times New Roman"/>
                <w:b/>
                <w:bCs/>
                <w:color w:val="000000" w:themeColor="text1"/>
                <w:szCs w:val="24"/>
                <w:lang w:eastAsia="cs-CZ"/>
              </w:rPr>
            </w:pPr>
          </w:p>
        </w:tc>
        <w:tc>
          <w:tcPr>
            <w:tcW w:w="1059" w:type="dxa"/>
            <w:vMerge/>
            <w:tcBorders>
              <w:top w:val="double" w:sz="6" w:space="0" w:color="auto"/>
              <w:left w:val="nil"/>
              <w:bottom w:val="double" w:sz="6" w:space="0" w:color="000000"/>
              <w:right w:val="nil"/>
            </w:tcBorders>
            <w:vAlign w:val="center"/>
            <w:hideMark/>
          </w:tcPr>
          <w:p w14:paraId="256C880A" w14:textId="77777777" w:rsidR="009F6F12" w:rsidRPr="001C3EC8" w:rsidRDefault="009F6F12" w:rsidP="009F6F12">
            <w:pPr>
              <w:spacing w:line="240" w:lineRule="auto"/>
              <w:jc w:val="left"/>
              <w:rPr>
                <w:rFonts w:eastAsia="Times New Roman"/>
                <w:b/>
                <w:bCs/>
                <w:color w:val="000000" w:themeColor="text1"/>
                <w:szCs w:val="24"/>
                <w:lang w:eastAsia="cs-CZ"/>
              </w:rPr>
            </w:pPr>
          </w:p>
        </w:tc>
        <w:tc>
          <w:tcPr>
            <w:tcW w:w="1887" w:type="dxa"/>
            <w:gridSpan w:val="2"/>
            <w:tcBorders>
              <w:top w:val="nil"/>
              <w:left w:val="nil"/>
              <w:bottom w:val="double" w:sz="6" w:space="0" w:color="auto"/>
              <w:right w:val="nil"/>
            </w:tcBorders>
            <w:shd w:val="clear" w:color="auto" w:fill="auto"/>
            <w:noWrap/>
            <w:vAlign w:val="center"/>
            <w:hideMark/>
          </w:tcPr>
          <w:p w14:paraId="4FABAAB1"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8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7C037F3"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87" w:type="dxa"/>
            <w:gridSpan w:val="2"/>
            <w:tcBorders>
              <w:top w:val="nil"/>
              <w:left w:val="nil"/>
              <w:bottom w:val="double" w:sz="6" w:space="0" w:color="auto"/>
              <w:right w:val="nil"/>
            </w:tcBorders>
            <w:shd w:val="clear" w:color="auto" w:fill="auto"/>
            <w:noWrap/>
            <w:vAlign w:val="center"/>
            <w:hideMark/>
          </w:tcPr>
          <w:p w14:paraId="742F0B1D"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9F6F12" w:rsidRPr="001C3EC8" w14:paraId="67F17F39" w14:textId="77777777" w:rsidTr="009F6F12">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2B05314F"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59" w:type="dxa"/>
            <w:tcBorders>
              <w:top w:val="single" w:sz="4" w:space="0" w:color="auto"/>
              <w:left w:val="nil"/>
              <w:bottom w:val="single" w:sz="4" w:space="0" w:color="auto"/>
              <w:right w:val="nil"/>
            </w:tcBorders>
            <w:shd w:val="clear" w:color="auto" w:fill="auto"/>
            <w:noWrap/>
            <w:vAlign w:val="bottom"/>
            <w:hideMark/>
          </w:tcPr>
          <w:p w14:paraId="01417A78" w14:textId="5D0766C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35,75</w:t>
            </w:r>
          </w:p>
        </w:tc>
        <w:tc>
          <w:tcPr>
            <w:tcW w:w="1075" w:type="dxa"/>
            <w:tcBorders>
              <w:top w:val="single" w:sz="4" w:space="0" w:color="auto"/>
              <w:left w:val="nil"/>
              <w:bottom w:val="single" w:sz="4" w:space="0" w:color="auto"/>
              <w:right w:val="nil"/>
            </w:tcBorders>
            <w:shd w:val="clear" w:color="auto" w:fill="auto"/>
            <w:noWrap/>
            <w:vAlign w:val="bottom"/>
            <w:hideMark/>
          </w:tcPr>
          <w:p w14:paraId="48040E1B" w14:textId="639D4811"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405,96</w:t>
            </w:r>
          </w:p>
        </w:tc>
        <w:tc>
          <w:tcPr>
            <w:tcW w:w="812" w:type="dxa"/>
            <w:tcBorders>
              <w:top w:val="single" w:sz="4" w:space="0" w:color="auto"/>
              <w:left w:val="nil"/>
              <w:bottom w:val="single" w:sz="4" w:space="0" w:color="auto"/>
              <w:right w:val="nil"/>
            </w:tcBorders>
            <w:shd w:val="clear" w:color="auto" w:fill="auto"/>
            <w:noWrap/>
            <w:vAlign w:val="center"/>
            <w:hideMark/>
          </w:tcPr>
          <w:p w14:paraId="5E9E0AB5" w14:textId="6863C9D7"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700DB272" w14:textId="4654F6C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411,30</w:t>
            </w:r>
          </w:p>
        </w:tc>
        <w:tc>
          <w:tcPr>
            <w:tcW w:w="812" w:type="dxa"/>
            <w:tcBorders>
              <w:top w:val="nil"/>
              <w:left w:val="nil"/>
              <w:bottom w:val="single" w:sz="4" w:space="0" w:color="auto"/>
              <w:right w:val="single" w:sz="4" w:space="0" w:color="auto"/>
            </w:tcBorders>
            <w:shd w:val="clear" w:color="auto" w:fill="auto"/>
            <w:noWrap/>
            <w:vAlign w:val="center"/>
            <w:hideMark/>
          </w:tcPr>
          <w:p w14:paraId="5883A072" w14:textId="476BEA34"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1058" w:type="dxa"/>
            <w:tcBorders>
              <w:top w:val="single" w:sz="4" w:space="0" w:color="auto"/>
              <w:left w:val="nil"/>
              <w:bottom w:val="single" w:sz="4" w:space="0" w:color="auto"/>
              <w:right w:val="nil"/>
            </w:tcBorders>
            <w:shd w:val="clear" w:color="auto" w:fill="auto"/>
            <w:noWrap/>
            <w:vAlign w:val="bottom"/>
            <w:hideMark/>
          </w:tcPr>
          <w:p w14:paraId="4CAF17F2" w14:textId="4DB231E6"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145,65</w:t>
            </w:r>
          </w:p>
        </w:tc>
        <w:tc>
          <w:tcPr>
            <w:tcW w:w="929" w:type="dxa"/>
            <w:tcBorders>
              <w:top w:val="single" w:sz="4" w:space="0" w:color="auto"/>
              <w:left w:val="nil"/>
              <w:bottom w:val="single" w:sz="4" w:space="0" w:color="auto"/>
              <w:right w:val="nil"/>
            </w:tcBorders>
            <w:shd w:val="clear" w:color="auto" w:fill="auto"/>
            <w:noWrap/>
            <w:vAlign w:val="center"/>
            <w:hideMark/>
          </w:tcPr>
          <w:p w14:paraId="74367348" w14:textId="5543FF36"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9F6F12" w:rsidRPr="001C3EC8" w14:paraId="4FEA8958"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36AAA777"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59" w:type="dxa"/>
            <w:tcBorders>
              <w:top w:val="nil"/>
              <w:left w:val="nil"/>
              <w:bottom w:val="single" w:sz="4" w:space="0" w:color="auto"/>
              <w:right w:val="nil"/>
            </w:tcBorders>
            <w:shd w:val="clear" w:color="auto" w:fill="auto"/>
            <w:noWrap/>
            <w:vAlign w:val="bottom"/>
            <w:hideMark/>
          </w:tcPr>
          <w:p w14:paraId="4BE76070" w14:textId="2111473A"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45,65</w:t>
            </w:r>
          </w:p>
        </w:tc>
        <w:tc>
          <w:tcPr>
            <w:tcW w:w="1075" w:type="dxa"/>
            <w:tcBorders>
              <w:top w:val="nil"/>
              <w:left w:val="nil"/>
              <w:bottom w:val="single" w:sz="4" w:space="0" w:color="auto"/>
              <w:right w:val="nil"/>
            </w:tcBorders>
            <w:shd w:val="clear" w:color="auto" w:fill="auto"/>
            <w:noWrap/>
            <w:vAlign w:val="bottom"/>
            <w:hideMark/>
          </w:tcPr>
          <w:p w14:paraId="066B8B39" w14:textId="503F199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405,26</w:t>
            </w:r>
          </w:p>
        </w:tc>
        <w:tc>
          <w:tcPr>
            <w:tcW w:w="812" w:type="dxa"/>
            <w:tcBorders>
              <w:top w:val="nil"/>
              <w:left w:val="nil"/>
              <w:bottom w:val="single" w:sz="4" w:space="0" w:color="auto"/>
              <w:right w:val="nil"/>
            </w:tcBorders>
            <w:shd w:val="clear" w:color="auto" w:fill="auto"/>
            <w:noWrap/>
            <w:vAlign w:val="center"/>
            <w:hideMark/>
          </w:tcPr>
          <w:p w14:paraId="66C8B7B6" w14:textId="75A18D1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3D3CAF30" w14:textId="6DEBF2A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405,70</w:t>
            </w:r>
          </w:p>
        </w:tc>
        <w:tc>
          <w:tcPr>
            <w:tcW w:w="812" w:type="dxa"/>
            <w:tcBorders>
              <w:top w:val="nil"/>
              <w:left w:val="nil"/>
              <w:bottom w:val="single" w:sz="4" w:space="0" w:color="auto"/>
              <w:right w:val="single" w:sz="4" w:space="0" w:color="auto"/>
            </w:tcBorders>
            <w:shd w:val="clear" w:color="auto" w:fill="auto"/>
            <w:noWrap/>
            <w:vAlign w:val="center"/>
            <w:hideMark/>
          </w:tcPr>
          <w:p w14:paraId="5C1997C2" w14:textId="451DE4B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058" w:type="dxa"/>
            <w:tcBorders>
              <w:top w:val="nil"/>
              <w:left w:val="nil"/>
              <w:bottom w:val="single" w:sz="4" w:space="0" w:color="auto"/>
              <w:right w:val="nil"/>
            </w:tcBorders>
            <w:shd w:val="clear" w:color="auto" w:fill="auto"/>
            <w:noWrap/>
            <w:vAlign w:val="bottom"/>
            <w:hideMark/>
          </w:tcPr>
          <w:p w14:paraId="5CDFC6B7" w14:textId="32E8CF6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106,79</w:t>
            </w:r>
          </w:p>
        </w:tc>
        <w:tc>
          <w:tcPr>
            <w:tcW w:w="929" w:type="dxa"/>
            <w:tcBorders>
              <w:top w:val="nil"/>
              <w:left w:val="nil"/>
              <w:bottom w:val="single" w:sz="4" w:space="0" w:color="auto"/>
              <w:right w:val="nil"/>
            </w:tcBorders>
            <w:shd w:val="clear" w:color="auto" w:fill="auto"/>
            <w:noWrap/>
            <w:vAlign w:val="center"/>
            <w:hideMark/>
          </w:tcPr>
          <w:p w14:paraId="0FD74123" w14:textId="746C3ADC"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9F6F12" w:rsidRPr="001C3EC8" w14:paraId="4AACC4D2"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73A3E68F"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59" w:type="dxa"/>
            <w:tcBorders>
              <w:top w:val="nil"/>
              <w:left w:val="nil"/>
              <w:bottom w:val="single" w:sz="4" w:space="0" w:color="auto"/>
              <w:right w:val="nil"/>
            </w:tcBorders>
            <w:shd w:val="clear" w:color="auto" w:fill="auto"/>
            <w:noWrap/>
            <w:vAlign w:val="bottom"/>
            <w:hideMark/>
          </w:tcPr>
          <w:p w14:paraId="71D0E3DF" w14:textId="5895C43E"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23,7</w:t>
            </w:r>
          </w:p>
        </w:tc>
        <w:tc>
          <w:tcPr>
            <w:tcW w:w="1075" w:type="dxa"/>
            <w:tcBorders>
              <w:top w:val="nil"/>
              <w:left w:val="nil"/>
              <w:bottom w:val="single" w:sz="4" w:space="0" w:color="auto"/>
              <w:right w:val="nil"/>
            </w:tcBorders>
            <w:shd w:val="clear" w:color="auto" w:fill="auto"/>
            <w:noWrap/>
            <w:vAlign w:val="bottom"/>
            <w:hideMark/>
          </w:tcPr>
          <w:p w14:paraId="75C2DFD0" w14:textId="18E2414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342,15</w:t>
            </w:r>
          </w:p>
        </w:tc>
        <w:tc>
          <w:tcPr>
            <w:tcW w:w="812" w:type="dxa"/>
            <w:tcBorders>
              <w:top w:val="nil"/>
              <w:left w:val="nil"/>
              <w:bottom w:val="single" w:sz="4" w:space="0" w:color="auto"/>
              <w:right w:val="nil"/>
            </w:tcBorders>
            <w:shd w:val="clear" w:color="auto" w:fill="auto"/>
            <w:noWrap/>
            <w:vAlign w:val="center"/>
            <w:hideMark/>
          </w:tcPr>
          <w:p w14:paraId="50112DDD" w14:textId="614C775F"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3E196881" w14:textId="7B8B335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334,26</w:t>
            </w:r>
          </w:p>
        </w:tc>
        <w:tc>
          <w:tcPr>
            <w:tcW w:w="812" w:type="dxa"/>
            <w:tcBorders>
              <w:top w:val="nil"/>
              <w:left w:val="nil"/>
              <w:bottom w:val="single" w:sz="4" w:space="0" w:color="auto"/>
              <w:right w:val="single" w:sz="4" w:space="0" w:color="auto"/>
            </w:tcBorders>
            <w:shd w:val="clear" w:color="auto" w:fill="auto"/>
            <w:noWrap/>
            <w:vAlign w:val="center"/>
            <w:hideMark/>
          </w:tcPr>
          <w:p w14:paraId="6FCAE1F2" w14:textId="1C672C5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058" w:type="dxa"/>
            <w:tcBorders>
              <w:top w:val="nil"/>
              <w:left w:val="nil"/>
              <w:bottom w:val="single" w:sz="4" w:space="0" w:color="auto"/>
              <w:right w:val="nil"/>
            </w:tcBorders>
            <w:shd w:val="clear" w:color="auto" w:fill="auto"/>
            <w:noWrap/>
            <w:vAlign w:val="bottom"/>
            <w:hideMark/>
          </w:tcPr>
          <w:p w14:paraId="554AECE2" w14:textId="1458EEC2"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80,68</w:t>
            </w:r>
          </w:p>
        </w:tc>
        <w:tc>
          <w:tcPr>
            <w:tcW w:w="929" w:type="dxa"/>
            <w:tcBorders>
              <w:top w:val="nil"/>
              <w:left w:val="nil"/>
              <w:bottom w:val="single" w:sz="4" w:space="0" w:color="auto"/>
              <w:right w:val="nil"/>
            </w:tcBorders>
            <w:shd w:val="clear" w:color="auto" w:fill="auto"/>
            <w:noWrap/>
            <w:vAlign w:val="center"/>
            <w:hideMark/>
          </w:tcPr>
          <w:p w14:paraId="366E9090" w14:textId="3D3B79E1"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r>
      <w:tr w:rsidR="009F6F12" w:rsidRPr="001C3EC8" w14:paraId="73BC864E"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61078454"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59" w:type="dxa"/>
            <w:tcBorders>
              <w:top w:val="nil"/>
              <w:left w:val="nil"/>
              <w:bottom w:val="single" w:sz="4" w:space="0" w:color="auto"/>
              <w:right w:val="nil"/>
            </w:tcBorders>
            <w:shd w:val="clear" w:color="auto" w:fill="auto"/>
            <w:noWrap/>
            <w:vAlign w:val="bottom"/>
            <w:hideMark/>
          </w:tcPr>
          <w:p w14:paraId="786C74C3" w14:textId="640A446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32,3</w:t>
            </w:r>
          </w:p>
        </w:tc>
        <w:tc>
          <w:tcPr>
            <w:tcW w:w="1075" w:type="dxa"/>
            <w:tcBorders>
              <w:top w:val="nil"/>
              <w:left w:val="nil"/>
              <w:bottom w:val="single" w:sz="4" w:space="0" w:color="auto"/>
              <w:right w:val="nil"/>
            </w:tcBorders>
            <w:shd w:val="clear" w:color="auto" w:fill="auto"/>
            <w:noWrap/>
            <w:vAlign w:val="bottom"/>
            <w:hideMark/>
          </w:tcPr>
          <w:p w14:paraId="73C84C68" w14:textId="358DBDBA"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354,06</w:t>
            </w:r>
          </w:p>
        </w:tc>
        <w:tc>
          <w:tcPr>
            <w:tcW w:w="812" w:type="dxa"/>
            <w:tcBorders>
              <w:top w:val="nil"/>
              <w:left w:val="nil"/>
              <w:bottom w:val="single" w:sz="4" w:space="0" w:color="auto"/>
              <w:right w:val="nil"/>
            </w:tcBorders>
            <w:shd w:val="clear" w:color="auto" w:fill="auto"/>
            <w:noWrap/>
            <w:vAlign w:val="center"/>
            <w:hideMark/>
          </w:tcPr>
          <w:p w14:paraId="66281D74" w14:textId="2783AE79"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2BFEC5BB" w14:textId="36EE364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357,80</w:t>
            </w:r>
          </w:p>
        </w:tc>
        <w:tc>
          <w:tcPr>
            <w:tcW w:w="812" w:type="dxa"/>
            <w:tcBorders>
              <w:top w:val="nil"/>
              <w:left w:val="nil"/>
              <w:bottom w:val="single" w:sz="4" w:space="0" w:color="auto"/>
              <w:right w:val="single" w:sz="4" w:space="0" w:color="auto"/>
            </w:tcBorders>
            <w:shd w:val="clear" w:color="auto" w:fill="auto"/>
            <w:noWrap/>
            <w:vAlign w:val="center"/>
            <w:hideMark/>
          </w:tcPr>
          <w:p w14:paraId="67F4618F" w14:textId="1DA7FADF"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1058" w:type="dxa"/>
            <w:tcBorders>
              <w:top w:val="nil"/>
              <w:left w:val="nil"/>
              <w:bottom w:val="single" w:sz="4" w:space="0" w:color="auto"/>
              <w:right w:val="nil"/>
            </w:tcBorders>
            <w:shd w:val="clear" w:color="auto" w:fill="auto"/>
            <w:noWrap/>
            <w:vAlign w:val="bottom"/>
            <w:hideMark/>
          </w:tcPr>
          <w:p w14:paraId="254FA7DB" w14:textId="5ABD18F1"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104,52</w:t>
            </w:r>
          </w:p>
        </w:tc>
        <w:tc>
          <w:tcPr>
            <w:tcW w:w="929" w:type="dxa"/>
            <w:tcBorders>
              <w:top w:val="nil"/>
              <w:left w:val="nil"/>
              <w:bottom w:val="single" w:sz="4" w:space="0" w:color="auto"/>
              <w:right w:val="nil"/>
            </w:tcBorders>
            <w:shd w:val="clear" w:color="auto" w:fill="auto"/>
            <w:noWrap/>
            <w:vAlign w:val="center"/>
            <w:hideMark/>
          </w:tcPr>
          <w:p w14:paraId="7BE74E87" w14:textId="27E63BC6"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9F6F12" w:rsidRPr="001C3EC8" w14:paraId="39BEE783"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22794284"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59" w:type="dxa"/>
            <w:tcBorders>
              <w:top w:val="nil"/>
              <w:left w:val="nil"/>
              <w:bottom w:val="single" w:sz="4" w:space="0" w:color="auto"/>
              <w:right w:val="nil"/>
            </w:tcBorders>
            <w:shd w:val="clear" w:color="auto" w:fill="auto"/>
            <w:noWrap/>
            <w:vAlign w:val="bottom"/>
            <w:hideMark/>
          </w:tcPr>
          <w:p w14:paraId="20F99640" w14:textId="0140E6B2"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51,12</w:t>
            </w:r>
          </w:p>
        </w:tc>
        <w:tc>
          <w:tcPr>
            <w:tcW w:w="1075" w:type="dxa"/>
            <w:tcBorders>
              <w:top w:val="nil"/>
              <w:left w:val="nil"/>
              <w:bottom w:val="single" w:sz="4" w:space="0" w:color="auto"/>
              <w:right w:val="nil"/>
            </w:tcBorders>
            <w:shd w:val="clear" w:color="auto" w:fill="auto"/>
            <w:noWrap/>
            <w:vAlign w:val="bottom"/>
            <w:hideMark/>
          </w:tcPr>
          <w:p w14:paraId="2205D5FD" w14:textId="4EBEFFA2"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319,78</w:t>
            </w:r>
          </w:p>
        </w:tc>
        <w:tc>
          <w:tcPr>
            <w:tcW w:w="812" w:type="dxa"/>
            <w:tcBorders>
              <w:top w:val="nil"/>
              <w:left w:val="nil"/>
              <w:bottom w:val="single" w:sz="4" w:space="0" w:color="auto"/>
              <w:right w:val="nil"/>
            </w:tcBorders>
            <w:shd w:val="clear" w:color="auto" w:fill="auto"/>
            <w:noWrap/>
            <w:vAlign w:val="center"/>
            <w:hideMark/>
          </w:tcPr>
          <w:p w14:paraId="54EF225A" w14:textId="19217899"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7505AF8F" w14:textId="117380E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331,08</w:t>
            </w:r>
          </w:p>
        </w:tc>
        <w:tc>
          <w:tcPr>
            <w:tcW w:w="812" w:type="dxa"/>
            <w:tcBorders>
              <w:top w:val="nil"/>
              <w:left w:val="nil"/>
              <w:bottom w:val="single" w:sz="4" w:space="0" w:color="auto"/>
              <w:right w:val="single" w:sz="4" w:space="0" w:color="auto"/>
            </w:tcBorders>
            <w:shd w:val="clear" w:color="auto" w:fill="auto"/>
            <w:noWrap/>
            <w:vAlign w:val="center"/>
            <w:hideMark/>
          </w:tcPr>
          <w:p w14:paraId="762CEB1F" w14:textId="3BEACD6C"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1058" w:type="dxa"/>
            <w:tcBorders>
              <w:top w:val="nil"/>
              <w:left w:val="nil"/>
              <w:bottom w:val="single" w:sz="4" w:space="0" w:color="auto"/>
              <w:right w:val="nil"/>
            </w:tcBorders>
            <w:shd w:val="clear" w:color="auto" w:fill="auto"/>
            <w:noWrap/>
            <w:vAlign w:val="bottom"/>
            <w:hideMark/>
          </w:tcPr>
          <w:p w14:paraId="3444ECF0" w14:textId="672C000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117,23</w:t>
            </w:r>
          </w:p>
        </w:tc>
        <w:tc>
          <w:tcPr>
            <w:tcW w:w="929" w:type="dxa"/>
            <w:tcBorders>
              <w:top w:val="nil"/>
              <w:left w:val="nil"/>
              <w:bottom w:val="single" w:sz="4" w:space="0" w:color="auto"/>
              <w:right w:val="nil"/>
            </w:tcBorders>
            <w:shd w:val="clear" w:color="auto" w:fill="auto"/>
            <w:noWrap/>
            <w:vAlign w:val="center"/>
            <w:hideMark/>
          </w:tcPr>
          <w:p w14:paraId="53428396" w14:textId="189AE7A0"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9F6F12" w:rsidRPr="001C3EC8" w14:paraId="18960533"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6BC45425"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59" w:type="dxa"/>
            <w:tcBorders>
              <w:top w:val="nil"/>
              <w:left w:val="nil"/>
              <w:bottom w:val="single" w:sz="4" w:space="0" w:color="auto"/>
              <w:right w:val="nil"/>
            </w:tcBorders>
            <w:shd w:val="clear" w:color="auto" w:fill="auto"/>
            <w:noWrap/>
            <w:vAlign w:val="bottom"/>
            <w:hideMark/>
          </w:tcPr>
          <w:p w14:paraId="65DCFB30" w14:textId="3067BD6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39,4</w:t>
            </w:r>
          </w:p>
        </w:tc>
        <w:tc>
          <w:tcPr>
            <w:tcW w:w="1075" w:type="dxa"/>
            <w:tcBorders>
              <w:top w:val="nil"/>
              <w:left w:val="nil"/>
              <w:bottom w:val="single" w:sz="4" w:space="0" w:color="auto"/>
              <w:right w:val="nil"/>
            </w:tcBorders>
            <w:shd w:val="clear" w:color="auto" w:fill="auto"/>
            <w:noWrap/>
            <w:vAlign w:val="bottom"/>
            <w:hideMark/>
          </w:tcPr>
          <w:p w14:paraId="699D4211" w14:textId="4BFFEE9E"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335,33</w:t>
            </w:r>
          </w:p>
        </w:tc>
        <w:tc>
          <w:tcPr>
            <w:tcW w:w="812" w:type="dxa"/>
            <w:tcBorders>
              <w:top w:val="nil"/>
              <w:left w:val="nil"/>
              <w:bottom w:val="single" w:sz="4" w:space="0" w:color="auto"/>
              <w:right w:val="nil"/>
            </w:tcBorders>
            <w:shd w:val="clear" w:color="auto" w:fill="auto"/>
            <w:noWrap/>
            <w:vAlign w:val="center"/>
            <w:hideMark/>
          </w:tcPr>
          <w:p w14:paraId="50FC7A04" w14:textId="70E1B705"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00E1BE41" w14:textId="14A2581C"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352,49</w:t>
            </w:r>
          </w:p>
        </w:tc>
        <w:tc>
          <w:tcPr>
            <w:tcW w:w="812" w:type="dxa"/>
            <w:tcBorders>
              <w:top w:val="nil"/>
              <w:left w:val="nil"/>
              <w:bottom w:val="single" w:sz="4" w:space="0" w:color="auto"/>
              <w:right w:val="single" w:sz="4" w:space="0" w:color="auto"/>
            </w:tcBorders>
            <w:shd w:val="clear" w:color="auto" w:fill="auto"/>
            <w:noWrap/>
            <w:vAlign w:val="center"/>
            <w:hideMark/>
          </w:tcPr>
          <w:p w14:paraId="6F4C6C12" w14:textId="450E80F3"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1058" w:type="dxa"/>
            <w:tcBorders>
              <w:top w:val="nil"/>
              <w:left w:val="nil"/>
              <w:bottom w:val="single" w:sz="4" w:space="0" w:color="auto"/>
              <w:right w:val="nil"/>
            </w:tcBorders>
            <w:shd w:val="clear" w:color="auto" w:fill="auto"/>
            <w:noWrap/>
            <w:vAlign w:val="bottom"/>
            <w:hideMark/>
          </w:tcPr>
          <w:p w14:paraId="61DAF20A" w14:textId="2B062056"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100,84</w:t>
            </w:r>
          </w:p>
        </w:tc>
        <w:tc>
          <w:tcPr>
            <w:tcW w:w="929" w:type="dxa"/>
            <w:tcBorders>
              <w:top w:val="nil"/>
              <w:left w:val="nil"/>
              <w:bottom w:val="single" w:sz="4" w:space="0" w:color="auto"/>
              <w:right w:val="nil"/>
            </w:tcBorders>
            <w:shd w:val="clear" w:color="auto" w:fill="auto"/>
            <w:noWrap/>
            <w:vAlign w:val="center"/>
            <w:hideMark/>
          </w:tcPr>
          <w:p w14:paraId="2784469F" w14:textId="38A9A7C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9F6F12" w:rsidRPr="001C3EC8" w14:paraId="1B336CBA"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4E523B49"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59" w:type="dxa"/>
            <w:tcBorders>
              <w:top w:val="nil"/>
              <w:left w:val="nil"/>
              <w:bottom w:val="single" w:sz="4" w:space="0" w:color="auto"/>
              <w:right w:val="nil"/>
            </w:tcBorders>
            <w:shd w:val="clear" w:color="auto" w:fill="auto"/>
            <w:noWrap/>
            <w:vAlign w:val="bottom"/>
            <w:hideMark/>
          </w:tcPr>
          <w:p w14:paraId="43B93D7B" w14:textId="7217C99C"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59,95</w:t>
            </w:r>
          </w:p>
        </w:tc>
        <w:tc>
          <w:tcPr>
            <w:tcW w:w="1075" w:type="dxa"/>
            <w:tcBorders>
              <w:top w:val="nil"/>
              <w:left w:val="nil"/>
              <w:bottom w:val="single" w:sz="4" w:space="0" w:color="auto"/>
              <w:right w:val="nil"/>
            </w:tcBorders>
            <w:shd w:val="clear" w:color="auto" w:fill="auto"/>
            <w:noWrap/>
            <w:vAlign w:val="bottom"/>
            <w:hideMark/>
          </w:tcPr>
          <w:p w14:paraId="347868FB" w14:textId="771EE67C"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314,61</w:t>
            </w:r>
          </w:p>
        </w:tc>
        <w:tc>
          <w:tcPr>
            <w:tcW w:w="812" w:type="dxa"/>
            <w:tcBorders>
              <w:top w:val="nil"/>
              <w:left w:val="nil"/>
              <w:bottom w:val="single" w:sz="4" w:space="0" w:color="auto"/>
              <w:right w:val="nil"/>
            </w:tcBorders>
            <w:shd w:val="clear" w:color="auto" w:fill="auto"/>
            <w:noWrap/>
            <w:vAlign w:val="center"/>
            <w:hideMark/>
          </w:tcPr>
          <w:p w14:paraId="0A604219" w14:textId="4BF7AB1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c>
          <w:tcPr>
            <w:tcW w:w="1075" w:type="dxa"/>
            <w:tcBorders>
              <w:top w:val="nil"/>
              <w:left w:val="single" w:sz="4" w:space="0" w:color="auto"/>
              <w:bottom w:val="single" w:sz="4" w:space="0" w:color="auto"/>
              <w:right w:val="nil"/>
            </w:tcBorders>
            <w:shd w:val="clear" w:color="auto" w:fill="auto"/>
            <w:noWrap/>
            <w:vAlign w:val="bottom"/>
            <w:hideMark/>
          </w:tcPr>
          <w:p w14:paraId="29D4758D" w14:textId="136E261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336,35</w:t>
            </w:r>
          </w:p>
        </w:tc>
        <w:tc>
          <w:tcPr>
            <w:tcW w:w="812" w:type="dxa"/>
            <w:tcBorders>
              <w:top w:val="nil"/>
              <w:left w:val="nil"/>
              <w:bottom w:val="single" w:sz="4" w:space="0" w:color="auto"/>
              <w:right w:val="single" w:sz="4" w:space="0" w:color="auto"/>
            </w:tcBorders>
            <w:shd w:val="clear" w:color="auto" w:fill="auto"/>
            <w:noWrap/>
            <w:vAlign w:val="center"/>
            <w:hideMark/>
          </w:tcPr>
          <w:p w14:paraId="56AE6C1A" w14:textId="16D0041F"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058" w:type="dxa"/>
            <w:tcBorders>
              <w:top w:val="nil"/>
              <w:left w:val="nil"/>
              <w:bottom w:val="single" w:sz="4" w:space="0" w:color="auto"/>
              <w:right w:val="nil"/>
            </w:tcBorders>
            <w:shd w:val="clear" w:color="auto" w:fill="auto"/>
            <w:noWrap/>
            <w:vAlign w:val="bottom"/>
            <w:hideMark/>
          </w:tcPr>
          <w:p w14:paraId="7C75FF07" w14:textId="2FFB5FE8"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110,78</w:t>
            </w:r>
          </w:p>
        </w:tc>
        <w:tc>
          <w:tcPr>
            <w:tcW w:w="929" w:type="dxa"/>
            <w:tcBorders>
              <w:top w:val="nil"/>
              <w:left w:val="nil"/>
              <w:bottom w:val="single" w:sz="4" w:space="0" w:color="auto"/>
              <w:right w:val="nil"/>
            </w:tcBorders>
            <w:shd w:val="clear" w:color="auto" w:fill="auto"/>
            <w:noWrap/>
            <w:vAlign w:val="center"/>
            <w:hideMark/>
          </w:tcPr>
          <w:p w14:paraId="55C5AAB9" w14:textId="7B9982A8"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r>
      <w:tr w:rsidR="009F6F12" w:rsidRPr="001C3EC8" w14:paraId="45616C10" w14:textId="77777777" w:rsidTr="009F6F12">
        <w:trPr>
          <w:trHeight w:val="330"/>
        </w:trPr>
        <w:tc>
          <w:tcPr>
            <w:tcW w:w="1820" w:type="dxa"/>
            <w:tcBorders>
              <w:top w:val="nil"/>
              <w:left w:val="nil"/>
              <w:bottom w:val="double" w:sz="6" w:space="0" w:color="auto"/>
              <w:right w:val="nil"/>
            </w:tcBorders>
            <w:shd w:val="clear" w:color="auto" w:fill="auto"/>
            <w:noWrap/>
            <w:vAlign w:val="bottom"/>
            <w:hideMark/>
          </w:tcPr>
          <w:p w14:paraId="1EDED62B"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59" w:type="dxa"/>
            <w:tcBorders>
              <w:top w:val="nil"/>
              <w:left w:val="nil"/>
              <w:bottom w:val="double" w:sz="6" w:space="0" w:color="auto"/>
              <w:right w:val="nil"/>
            </w:tcBorders>
            <w:shd w:val="clear" w:color="auto" w:fill="auto"/>
            <w:noWrap/>
            <w:vAlign w:val="bottom"/>
            <w:hideMark/>
          </w:tcPr>
          <w:p w14:paraId="65CAE4BE" w14:textId="2D0DCE0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68,3</w:t>
            </w:r>
          </w:p>
        </w:tc>
        <w:tc>
          <w:tcPr>
            <w:tcW w:w="1075" w:type="dxa"/>
            <w:tcBorders>
              <w:top w:val="nil"/>
              <w:left w:val="nil"/>
              <w:bottom w:val="double" w:sz="6" w:space="0" w:color="auto"/>
              <w:right w:val="nil"/>
            </w:tcBorders>
            <w:shd w:val="clear" w:color="auto" w:fill="auto"/>
            <w:noWrap/>
            <w:vAlign w:val="bottom"/>
            <w:hideMark/>
          </w:tcPr>
          <w:p w14:paraId="33B644E9" w14:textId="6E6AD03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315,17</w:t>
            </w:r>
          </w:p>
        </w:tc>
        <w:tc>
          <w:tcPr>
            <w:tcW w:w="812" w:type="dxa"/>
            <w:tcBorders>
              <w:top w:val="nil"/>
              <w:left w:val="nil"/>
              <w:bottom w:val="double" w:sz="6" w:space="0" w:color="auto"/>
              <w:right w:val="nil"/>
            </w:tcBorders>
            <w:shd w:val="clear" w:color="auto" w:fill="auto"/>
            <w:noWrap/>
            <w:vAlign w:val="center"/>
            <w:hideMark/>
          </w:tcPr>
          <w:p w14:paraId="727E6A18" w14:textId="00B03FB9"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075" w:type="dxa"/>
            <w:tcBorders>
              <w:top w:val="nil"/>
              <w:left w:val="single" w:sz="4" w:space="0" w:color="auto"/>
              <w:bottom w:val="double" w:sz="6" w:space="0" w:color="auto"/>
              <w:right w:val="nil"/>
            </w:tcBorders>
            <w:shd w:val="clear" w:color="auto" w:fill="auto"/>
            <w:noWrap/>
            <w:vAlign w:val="bottom"/>
            <w:hideMark/>
          </w:tcPr>
          <w:p w14:paraId="76B9178C" w14:textId="7FAD97A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325,34</w:t>
            </w:r>
          </w:p>
        </w:tc>
        <w:tc>
          <w:tcPr>
            <w:tcW w:w="812" w:type="dxa"/>
            <w:tcBorders>
              <w:top w:val="nil"/>
              <w:left w:val="nil"/>
              <w:bottom w:val="double" w:sz="6" w:space="0" w:color="auto"/>
              <w:right w:val="single" w:sz="4" w:space="0" w:color="auto"/>
            </w:tcBorders>
            <w:shd w:val="clear" w:color="auto" w:fill="auto"/>
            <w:noWrap/>
            <w:vAlign w:val="center"/>
            <w:hideMark/>
          </w:tcPr>
          <w:p w14:paraId="35C94760" w14:textId="1FB2018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058" w:type="dxa"/>
            <w:tcBorders>
              <w:top w:val="nil"/>
              <w:left w:val="nil"/>
              <w:bottom w:val="double" w:sz="6" w:space="0" w:color="auto"/>
              <w:right w:val="nil"/>
            </w:tcBorders>
            <w:shd w:val="clear" w:color="auto" w:fill="auto"/>
            <w:noWrap/>
            <w:vAlign w:val="bottom"/>
            <w:hideMark/>
          </w:tcPr>
          <w:p w14:paraId="05C40EE9" w14:textId="4D4A6D5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111,73</w:t>
            </w:r>
          </w:p>
        </w:tc>
        <w:tc>
          <w:tcPr>
            <w:tcW w:w="929" w:type="dxa"/>
            <w:tcBorders>
              <w:top w:val="nil"/>
              <w:left w:val="nil"/>
              <w:bottom w:val="double" w:sz="6" w:space="0" w:color="auto"/>
              <w:right w:val="nil"/>
            </w:tcBorders>
            <w:shd w:val="clear" w:color="auto" w:fill="auto"/>
            <w:noWrap/>
            <w:vAlign w:val="center"/>
            <w:hideMark/>
          </w:tcPr>
          <w:p w14:paraId="4D7CBCBD" w14:textId="11B108CF"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9F6F12" w:rsidRPr="001C3EC8" w14:paraId="214ADC5C" w14:textId="77777777" w:rsidTr="009F6F12">
        <w:trPr>
          <w:trHeight w:val="345"/>
        </w:trPr>
        <w:tc>
          <w:tcPr>
            <w:tcW w:w="1820" w:type="dxa"/>
            <w:tcBorders>
              <w:top w:val="nil"/>
              <w:left w:val="nil"/>
              <w:bottom w:val="double" w:sz="6" w:space="0" w:color="auto"/>
              <w:right w:val="nil"/>
            </w:tcBorders>
            <w:shd w:val="clear" w:color="auto" w:fill="auto"/>
            <w:noWrap/>
            <w:vAlign w:val="bottom"/>
            <w:hideMark/>
          </w:tcPr>
          <w:p w14:paraId="457B6DA4" w14:textId="77777777" w:rsidR="009F6F12" w:rsidRPr="001C3EC8" w:rsidRDefault="009F6F12" w:rsidP="009F6F12">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59" w:type="dxa"/>
            <w:tcBorders>
              <w:top w:val="nil"/>
              <w:left w:val="nil"/>
              <w:bottom w:val="double" w:sz="6" w:space="0" w:color="auto"/>
              <w:right w:val="nil"/>
            </w:tcBorders>
            <w:shd w:val="clear" w:color="auto" w:fill="auto"/>
            <w:noWrap/>
            <w:vAlign w:val="bottom"/>
            <w:hideMark/>
          </w:tcPr>
          <w:p w14:paraId="2B29FF86" w14:textId="704E6825"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356,17</w:t>
            </w:r>
          </w:p>
        </w:tc>
        <w:tc>
          <w:tcPr>
            <w:tcW w:w="1075" w:type="dxa"/>
            <w:tcBorders>
              <w:top w:val="nil"/>
              <w:left w:val="nil"/>
              <w:bottom w:val="double" w:sz="6" w:space="0" w:color="auto"/>
              <w:right w:val="nil"/>
            </w:tcBorders>
            <w:shd w:val="clear" w:color="auto" w:fill="auto"/>
            <w:noWrap/>
            <w:vAlign w:val="bottom"/>
            <w:hideMark/>
          </w:tcPr>
          <w:p w14:paraId="053C9472" w14:textId="5A180FE5"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343,95</w:t>
            </w:r>
          </w:p>
        </w:tc>
        <w:tc>
          <w:tcPr>
            <w:tcW w:w="812" w:type="dxa"/>
            <w:tcBorders>
              <w:top w:val="nil"/>
              <w:left w:val="nil"/>
              <w:bottom w:val="double" w:sz="6" w:space="0" w:color="auto"/>
              <w:right w:val="nil"/>
            </w:tcBorders>
            <w:shd w:val="clear" w:color="auto" w:fill="auto"/>
            <w:noWrap/>
            <w:vAlign w:val="center"/>
            <w:hideMark/>
          </w:tcPr>
          <w:p w14:paraId="001787F3" w14:textId="074402D2"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-15 </w:t>
            </w:r>
            <w:r w:rsidR="00B07E76">
              <w:rPr>
                <w:rFonts w:eastAsia="Times New Roman"/>
                <w:b/>
                <w:bCs/>
                <w:color w:val="000000" w:themeColor="text1"/>
                <w:sz w:val="20"/>
                <w:szCs w:val="20"/>
                <w:lang w:eastAsia="cs-CZ"/>
              </w:rPr>
              <w:t>%</w:t>
            </w:r>
          </w:p>
        </w:tc>
        <w:tc>
          <w:tcPr>
            <w:tcW w:w="1075" w:type="dxa"/>
            <w:tcBorders>
              <w:top w:val="nil"/>
              <w:left w:val="single" w:sz="4" w:space="0" w:color="auto"/>
              <w:bottom w:val="double" w:sz="6" w:space="0" w:color="auto"/>
              <w:right w:val="nil"/>
            </w:tcBorders>
            <w:shd w:val="clear" w:color="auto" w:fill="auto"/>
            <w:noWrap/>
            <w:vAlign w:val="bottom"/>
            <w:hideMark/>
          </w:tcPr>
          <w:p w14:paraId="21C7210A" w14:textId="30BF5A15"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353,49</w:t>
            </w:r>
          </w:p>
        </w:tc>
        <w:tc>
          <w:tcPr>
            <w:tcW w:w="812" w:type="dxa"/>
            <w:tcBorders>
              <w:top w:val="nil"/>
              <w:left w:val="nil"/>
              <w:bottom w:val="double" w:sz="6" w:space="0" w:color="auto"/>
              <w:right w:val="single" w:sz="4" w:space="0" w:color="auto"/>
            </w:tcBorders>
            <w:shd w:val="clear" w:color="auto" w:fill="auto"/>
            <w:noWrap/>
            <w:vAlign w:val="center"/>
            <w:hideMark/>
          </w:tcPr>
          <w:p w14:paraId="6F4B331B" w14:textId="6F215143"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-12 </w:t>
            </w:r>
            <w:r w:rsidR="00B07E76">
              <w:rPr>
                <w:rFonts w:eastAsia="Times New Roman"/>
                <w:b/>
                <w:bCs/>
                <w:color w:val="000000" w:themeColor="text1"/>
                <w:sz w:val="20"/>
                <w:szCs w:val="20"/>
                <w:lang w:eastAsia="cs-CZ"/>
              </w:rPr>
              <w:t>%</w:t>
            </w:r>
          </w:p>
        </w:tc>
        <w:tc>
          <w:tcPr>
            <w:tcW w:w="1058" w:type="dxa"/>
            <w:tcBorders>
              <w:top w:val="nil"/>
              <w:left w:val="nil"/>
              <w:bottom w:val="double" w:sz="6" w:space="0" w:color="auto"/>
              <w:right w:val="nil"/>
            </w:tcBorders>
            <w:shd w:val="clear" w:color="auto" w:fill="auto"/>
            <w:noWrap/>
            <w:vAlign w:val="bottom"/>
            <w:hideMark/>
          </w:tcPr>
          <w:p w14:paraId="32F47C4F" w14:textId="7FC60DCA"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111,21</w:t>
            </w:r>
          </w:p>
        </w:tc>
        <w:tc>
          <w:tcPr>
            <w:tcW w:w="929" w:type="dxa"/>
            <w:tcBorders>
              <w:top w:val="nil"/>
              <w:left w:val="nil"/>
              <w:bottom w:val="double" w:sz="6" w:space="0" w:color="auto"/>
              <w:right w:val="nil"/>
            </w:tcBorders>
            <w:shd w:val="clear" w:color="auto" w:fill="auto"/>
            <w:noWrap/>
            <w:vAlign w:val="center"/>
            <w:hideMark/>
          </w:tcPr>
          <w:p w14:paraId="6851B2F2" w14:textId="25A19073"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-5 </w:t>
            </w:r>
            <w:r w:rsidR="00B07E76">
              <w:rPr>
                <w:rFonts w:eastAsia="Times New Roman"/>
                <w:b/>
                <w:bCs/>
                <w:color w:val="000000" w:themeColor="text1"/>
                <w:sz w:val="20"/>
                <w:szCs w:val="20"/>
                <w:lang w:eastAsia="cs-CZ"/>
              </w:rPr>
              <w:t>%</w:t>
            </w:r>
          </w:p>
        </w:tc>
      </w:tr>
    </w:tbl>
    <w:p w14:paraId="5A179B99" w14:textId="77777777" w:rsidR="008430BD" w:rsidRPr="001C3EC8" w:rsidRDefault="008430BD" w:rsidP="008430BD">
      <w:pPr>
        <w:rPr>
          <w:color w:val="000000" w:themeColor="text1"/>
          <w:highlight w:val="yellow"/>
        </w:rPr>
      </w:pPr>
    </w:p>
    <w:p w14:paraId="68BAFDA0" w14:textId="226D3F21" w:rsidR="00B07E76" w:rsidRDefault="00CD2266" w:rsidP="008430BD">
      <w:pPr>
        <w:rPr>
          <w:color w:val="000000" w:themeColor="text1"/>
        </w:rPr>
      </w:pPr>
      <w:r w:rsidRPr="001C3EC8">
        <w:rPr>
          <w:color w:val="000000" w:themeColor="text1"/>
        </w:rPr>
        <w:t>U</w:t>
      </w:r>
      <w:r>
        <w:rPr>
          <w:color w:val="000000" w:themeColor="text1"/>
        </w:rPr>
        <w:t> </w:t>
      </w:r>
      <w:r w:rsidR="008430BD" w:rsidRPr="001C3EC8">
        <w:rPr>
          <w:color w:val="000000" w:themeColor="text1"/>
        </w:rPr>
        <w:t xml:space="preserve">nevyřízených věcí na soudce jsou na tom </w:t>
      </w:r>
      <w:r w:rsidR="003845F0">
        <w:rPr>
          <w:color w:val="000000" w:themeColor="text1"/>
        </w:rPr>
        <w:t>nej</w:t>
      </w:r>
      <w:r w:rsidR="008430BD" w:rsidRPr="001C3EC8">
        <w:rPr>
          <w:color w:val="000000" w:themeColor="text1"/>
        </w:rPr>
        <w:t xml:space="preserve">lépe OS spadající KS České Budějovice (obdobně jako </w:t>
      </w:r>
      <w:r w:rsidRPr="001C3EC8">
        <w:rPr>
          <w:color w:val="000000" w:themeColor="text1"/>
        </w:rPr>
        <w:t>u</w:t>
      </w:r>
      <w:r>
        <w:rPr>
          <w:color w:val="000000" w:themeColor="text1"/>
        </w:rPr>
        <w:t> </w:t>
      </w:r>
      <w:r w:rsidR="008430BD" w:rsidRPr="001C3EC8">
        <w:rPr>
          <w:color w:val="000000" w:themeColor="text1"/>
        </w:rPr>
        <w:t>délek řízení</w:t>
      </w:r>
      <w:proofErr w:type="gramStart"/>
      <w:r w:rsidR="008430BD" w:rsidRPr="001C3EC8">
        <w:rPr>
          <w:color w:val="000000" w:themeColor="text1"/>
        </w:rPr>
        <w:t>)</w:t>
      </w:r>
      <w:r w:rsidR="003845F0">
        <w:rPr>
          <w:color w:val="000000" w:themeColor="text1"/>
        </w:rPr>
        <w:t>.</w:t>
      </w:r>
      <w:r w:rsidR="008430BD" w:rsidRPr="001C3EC8">
        <w:rPr>
          <w:color w:val="000000" w:themeColor="text1"/>
        </w:rPr>
        <w:t>.</w:t>
      </w:r>
      <w:proofErr w:type="gramEnd"/>
      <w:r w:rsidR="008430BD" w:rsidRPr="001C3EC8">
        <w:rPr>
          <w:color w:val="000000" w:themeColor="text1"/>
        </w:rPr>
        <w:t xml:space="preserve"> Změny v přepočtu nevyřízených věcí na soudce se liší kraj od kraje</w:t>
      </w:r>
      <w:r w:rsidR="008A3367" w:rsidRPr="001C3EC8">
        <w:rPr>
          <w:color w:val="000000" w:themeColor="text1"/>
        </w:rPr>
        <w:t xml:space="preserve">, což </w:t>
      </w:r>
      <w:r w:rsidR="008430BD" w:rsidRPr="001C3EC8">
        <w:rPr>
          <w:color w:val="000000" w:themeColor="text1"/>
        </w:rPr>
        <w:t>spíše plyne ze změn v počtu úvazků soudců, neboť počet nevyřízených věcí klesl téměř ve všech krajích.</w:t>
      </w:r>
    </w:p>
    <w:p w14:paraId="17F10423" w14:textId="0536EDF4" w:rsidR="008430BD" w:rsidRPr="001C3EC8" w:rsidRDefault="008430BD" w:rsidP="008430BD">
      <w:pPr>
        <w:rPr>
          <w:color w:val="000000" w:themeColor="text1"/>
        </w:rPr>
      </w:pPr>
      <w:r w:rsidRPr="001C3EC8">
        <w:rPr>
          <w:color w:val="000000" w:themeColor="text1"/>
        </w:rPr>
        <w:t xml:space="preserve">Z jednotlivých soudů jsou pak na tom nejlépe Prachatice (42), Rakovník (47) </w:t>
      </w:r>
      <w:r w:rsidR="00CD2266" w:rsidRPr="001C3EC8">
        <w:rPr>
          <w:color w:val="000000" w:themeColor="text1"/>
        </w:rPr>
        <w:t>a</w:t>
      </w:r>
      <w:r w:rsidR="00CD2266">
        <w:rPr>
          <w:color w:val="000000" w:themeColor="text1"/>
        </w:rPr>
        <w:t> </w:t>
      </w:r>
      <w:r w:rsidRPr="001C3EC8">
        <w:rPr>
          <w:color w:val="000000" w:themeColor="text1"/>
        </w:rPr>
        <w:t xml:space="preserve">Tachov (48). Nejvyšší počet věcí na soudce naopak vykazují Semily (231), Praha </w:t>
      </w:r>
      <w:r w:rsidR="00CD2266" w:rsidRPr="001C3EC8">
        <w:rPr>
          <w:color w:val="000000" w:themeColor="text1"/>
        </w:rPr>
        <w:t>7</w:t>
      </w:r>
      <w:r w:rsidR="00CD2266">
        <w:rPr>
          <w:color w:val="000000" w:themeColor="text1"/>
        </w:rPr>
        <w:t xml:space="preserve"> </w:t>
      </w:r>
      <w:r w:rsidRPr="001C3EC8">
        <w:rPr>
          <w:color w:val="000000" w:themeColor="text1"/>
        </w:rPr>
        <w:t xml:space="preserve">(201) </w:t>
      </w:r>
      <w:r w:rsidR="00CD2266" w:rsidRPr="001C3EC8">
        <w:rPr>
          <w:color w:val="000000" w:themeColor="text1"/>
        </w:rPr>
        <w:t>a</w:t>
      </w:r>
      <w:r w:rsidR="00CD2266">
        <w:rPr>
          <w:color w:val="000000" w:themeColor="text1"/>
        </w:rPr>
        <w:t> </w:t>
      </w:r>
      <w:r w:rsidRPr="001C3EC8">
        <w:rPr>
          <w:color w:val="000000" w:themeColor="text1"/>
        </w:rPr>
        <w:t>Děčín (184).</w:t>
      </w:r>
    </w:p>
    <w:p w14:paraId="1438830A" w14:textId="24546390" w:rsidR="008430BD" w:rsidRPr="001C3EC8" w:rsidRDefault="008430BD" w:rsidP="008430BD">
      <w:pPr>
        <w:pStyle w:val="Podnadpis"/>
        <w:rPr>
          <w:color w:val="000000" w:themeColor="text1"/>
        </w:rPr>
      </w:pPr>
      <w:bookmarkStart w:id="316" w:name="_Toc43841419"/>
      <w:bookmarkStart w:id="317" w:name="_Toc7595222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43</w:t>
      </w:r>
      <w:r w:rsidRPr="001C3EC8">
        <w:rPr>
          <w:noProof/>
          <w:color w:val="000000" w:themeColor="text1"/>
        </w:rPr>
        <w:fldChar w:fldCharType="end"/>
      </w:r>
      <w:r w:rsidRPr="001C3EC8">
        <w:rPr>
          <w:color w:val="000000" w:themeColor="text1"/>
        </w:rPr>
        <w:t xml:space="preserve">: OS – počet </w:t>
      </w:r>
      <w:proofErr w:type="spellStart"/>
      <w:r w:rsidRPr="001C3EC8">
        <w:rPr>
          <w:color w:val="000000" w:themeColor="text1"/>
        </w:rPr>
        <w:t>nevyříz</w:t>
      </w:r>
      <w:proofErr w:type="spellEnd"/>
      <w:r w:rsidRPr="001C3EC8">
        <w:rPr>
          <w:color w:val="000000" w:themeColor="text1"/>
        </w:rPr>
        <w:t xml:space="preserve">. </w:t>
      </w:r>
      <w:proofErr w:type="spellStart"/>
      <w:r w:rsidRPr="001C3EC8">
        <w:rPr>
          <w:color w:val="000000" w:themeColor="text1"/>
        </w:rPr>
        <w:t>opatrov</w:t>
      </w:r>
      <w:proofErr w:type="spellEnd"/>
      <w:r w:rsidRPr="001C3EC8">
        <w:rPr>
          <w:color w:val="000000" w:themeColor="text1"/>
        </w:rPr>
        <w:t xml:space="preserve">. věcí na </w:t>
      </w:r>
      <w:r w:rsidR="00E93C1B" w:rsidRPr="001C3EC8">
        <w:rPr>
          <w:color w:val="000000" w:themeColor="text1"/>
        </w:rPr>
        <w:t xml:space="preserve">úvazky </w:t>
      </w:r>
      <w:r w:rsidRPr="001C3EC8">
        <w:rPr>
          <w:color w:val="000000" w:themeColor="text1"/>
        </w:rPr>
        <w:t>soudce u jednotlivých soudů</w:t>
      </w:r>
      <w:bookmarkEnd w:id="316"/>
      <w:bookmarkEnd w:id="317"/>
    </w:p>
    <w:p w14:paraId="5707E5AE" w14:textId="77777777" w:rsidR="008430BD" w:rsidRPr="001C3EC8" w:rsidRDefault="008430BD" w:rsidP="008430BD">
      <w:pPr>
        <w:rPr>
          <w:color w:val="000000" w:themeColor="text1"/>
        </w:rPr>
      </w:pPr>
      <w:r w:rsidRPr="001C3EC8">
        <w:rPr>
          <w:noProof/>
          <w:color w:val="000000" w:themeColor="text1"/>
          <w:lang w:eastAsia="cs-CZ"/>
        </w:rPr>
        <w:drawing>
          <wp:anchor distT="0" distB="0" distL="114300" distR="114300" simplePos="0" relativeHeight="251674624" behindDoc="0" locked="0" layoutInCell="1" allowOverlap="1" wp14:anchorId="139A1E29" wp14:editId="1A83BBD3">
            <wp:simplePos x="0" y="0"/>
            <wp:positionH relativeFrom="margin">
              <wp:align>right</wp:align>
            </wp:positionH>
            <wp:positionV relativeFrom="paragraph">
              <wp:posOffset>11430</wp:posOffset>
            </wp:positionV>
            <wp:extent cx="1260000" cy="918000"/>
            <wp:effectExtent l="0" t="0" r="0" b="0"/>
            <wp:wrapNone/>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lang w:eastAsia="cs-CZ"/>
        </w:rPr>
        <w:drawing>
          <wp:inline distT="0" distB="0" distL="0" distR="0" wp14:anchorId="4AC95895" wp14:editId="2958182F">
            <wp:extent cx="5759450" cy="3296019"/>
            <wp:effectExtent l="0" t="0" r="0" b="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p>
    <w:p w14:paraId="65033640" w14:textId="77777777" w:rsidR="008430BD" w:rsidRPr="001C3EC8" w:rsidRDefault="008430BD" w:rsidP="008430BD">
      <w:pPr>
        <w:rPr>
          <w:color w:val="000000" w:themeColor="text1"/>
        </w:rPr>
      </w:pPr>
    </w:p>
    <w:p w14:paraId="4745209F" w14:textId="77777777" w:rsidR="008430BD" w:rsidRPr="001C3EC8" w:rsidRDefault="008430BD" w:rsidP="008430BD">
      <w:pPr>
        <w:rPr>
          <w:color w:val="000000" w:themeColor="text1"/>
        </w:rPr>
      </w:pPr>
    </w:p>
    <w:p w14:paraId="420158C4" w14:textId="77777777" w:rsidR="008430BD" w:rsidRPr="001C3EC8" w:rsidRDefault="008430BD" w:rsidP="008430BD">
      <w:pPr>
        <w:pStyle w:val="Nadpis3"/>
        <w:numPr>
          <w:ilvl w:val="2"/>
          <w:numId w:val="1"/>
        </w:numPr>
        <w:rPr>
          <w:color w:val="000000" w:themeColor="text1"/>
        </w:rPr>
      </w:pPr>
      <w:bookmarkStart w:id="318" w:name="_Toc75952076"/>
      <w:bookmarkStart w:id="319" w:name="_Toc515871369"/>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(dispoziční čas)</w:t>
      </w:r>
      <w:bookmarkEnd w:id="318"/>
    </w:p>
    <w:p w14:paraId="48B72B59" w14:textId="362E39D5" w:rsidR="008430BD" w:rsidRPr="001C3EC8" w:rsidRDefault="008430BD" w:rsidP="008430BD">
      <w:pPr>
        <w:pStyle w:val="OdstavecASR"/>
        <w:spacing w:before="0" w:after="0"/>
        <w:rPr>
          <w:color w:val="000000" w:themeColor="text1"/>
        </w:rPr>
      </w:pPr>
      <w:bookmarkStart w:id="320" w:name="_Toc11135101"/>
      <w:bookmarkEnd w:id="319"/>
      <w:r w:rsidRPr="001C3EC8">
        <w:rPr>
          <w:color w:val="000000" w:themeColor="text1"/>
        </w:rPr>
        <w:t>Základní popis způsobu výpočtu a účelu tohoto ukazatele se nachází v části věnované civilnímu řízení u OS. Výsledky DT silně korespondují s výsledky z předchozích podkapitol.</w:t>
      </w:r>
    </w:p>
    <w:p w14:paraId="3606CE7F" w14:textId="5B146243" w:rsidR="008430BD" w:rsidRPr="001C3EC8" w:rsidRDefault="008430BD" w:rsidP="008430BD">
      <w:pPr>
        <w:pStyle w:val="OdstavecASR"/>
        <w:rPr>
          <w:color w:val="000000" w:themeColor="text1"/>
        </w:rPr>
      </w:pPr>
      <w:r w:rsidRPr="001C3EC8">
        <w:rPr>
          <w:color w:val="000000" w:themeColor="text1"/>
        </w:rPr>
        <w:lastRenderedPageBreak/>
        <w:t xml:space="preserve">V roce 2014 je patrný obrovský nárůst DT. Ten je způsoben výše popsaným velkým nárůstem v počtu nevyřízených věcí. Počet vyřízených věcí vzrostl méně, což vedlo k nárůstu DT. V roce 2015 vzrostl výrazněji počet vyřízených věcí, takže DT klesl. V roce 2016 pak klesl nápad a tím i nevyřízené věci. Došlo tedy k poklesu DT na úroveň roku 2014. V roce 2017 poklesl počet vyřízených i nevyřízených věcí asi o 12 %. DT tím pádem zůstal stejný jako v roce 2016. V roce 2018 se vyřídilo více věcí než v roce 2017, přičemž počet nevyřízených věcí příliš neklesal – výsledkem je nejlepší hodnota DT za posledních 10 let. Ve srovnání posledních 10 let tedy pracovaly opatrovnické soudy v roce 2018 nejefektivněji. V roce 2019 došlo spíše ke kosmetickému nárůstu na 106 – vzrostl počet nevyřízených </w:t>
      </w:r>
      <w:r w:rsidR="00CD2266" w:rsidRPr="001C3EC8">
        <w:rPr>
          <w:color w:val="000000" w:themeColor="text1"/>
        </w:rPr>
        <w:t>i</w:t>
      </w:r>
      <w:r w:rsidR="00CD2266">
        <w:rPr>
          <w:color w:val="000000" w:themeColor="text1"/>
        </w:rPr>
        <w:t> </w:t>
      </w:r>
      <w:r w:rsidRPr="001C3EC8">
        <w:rPr>
          <w:color w:val="000000" w:themeColor="text1"/>
        </w:rPr>
        <w:t xml:space="preserve">vyřízených věcí </w:t>
      </w:r>
      <w:r w:rsidR="00CD2266" w:rsidRPr="001C3EC8">
        <w:rPr>
          <w:color w:val="000000" w:themeColor="text1"/>
        </w:rPr>
        <w:t>a</w:t>
      </w:r>
      <w:r w:rsidR="00CD2266">
        <w:rPr>
          <w:color w:val="000000" w:themeColor="text1"/>
        </w:rPr>
        <w:t> </w:t>
      </w:r>
      <w:r w:rsidRPr="001C3EC8">
        <w:rPr>
          <w:color w:val="000000" w:themeColor="text1"/>
        </w:rPr>
        <w:t xml:space="preserve">nárůst v počtu nevyřízených věcí velmi mírně převýšil nárůst v počtu věcí vyřízených. V roce 2020 DT </w:t>
      </w:r>
      <w:r w:rsidR="00CD2266" w:rsidRPr="001C3EC8">
        <w:rPr>
          <w:color w:val="000000" w:themeColor="text1"/>
        </w:rPr>
        <w:t>o</w:t>
      </w:r>
      <w:r w:rsidR="00CD2266">
        <w:rPr>
          <w:color w:val="000000" w:themeColor="text1"/>
        </w:rPr>
        <w:t> </w:t>
      </w:r>
      <w:r w:rsidR="00CD2266" w:rsidRPr="001C3EC8">
        <w:rPr>
          <w:color w:val="000000" w:themeColor="text1"/>
        </w:rPr>
        <w:t>9</w:t>
      </w:r>
      <w:r w:rsidR="00CD2266">
        <w:rPr>
          <w:color w:val="000000" w:themeColor="text1"/>
        </w:rPr>
        <w:t> </w:t>
      </w:r>
      <w:r w:rsidRPr="001C3EC8">
        <w:rPr>
          <w:color w:val="000000" w:themeColor="text1"/>
        </w:rPr>
        <w:t xml:space="preserve">dnů narostl, což je dáno poklesem počtu vyřízených věcí. K určitému nárůstu došlo ve všech krajích, s výjimkou Jihomoravského. K největšímu nárůstu DT došlo </w:t>
      </w:r>
      <w:r w:rsidR="00CD2266" w:rsidRPr="001C3EC8">
        <w:rPr>
          <w:color w:val="000000" w:themeColor="text1"/>
        </w:rPr>
        <w:t>u</w:t>
      </w:r>
      <w:r w:rsidR="00CD2266">
        <w:rPr>
          <w:color w:val="000000" w:themeColor="text1"/>
        </w:rPr>
        <w:t> </w:t>
      </w:r>
      <w:r w:rsidRPr="001C3EC8">
        <w:rPr>
          <w:color w:val="000000" w:themeColor="text1"/>
        </w:rPr>
        <w:t xml:space="preserve">soudů, které spadají pod KS České Budějovice. Kraj je ale stále nejlepší. Nyní jsou mezi kraji relativně malé rozdíly. Rozdíl mezi nejlepším krajem (Jihočeský – 88) </w:t>
      </w:r>
      <w:r w:rsidR="00CD2266" w:rsidRPr="001C3EC8">
        <w:rPr>
          <w:color w:val="000000" w:themeColor="text1"/>
        </w:rPr>
        <w:t>a</w:t>
      </w:r>
      <w:r w:rsidR="00CD2266">
        <w:rPr>
          <w:color w:val="000000" w:themeColor="text1"/>
        </w:rPr>
        <w:t> </w:t>
      </w:r>
      <w:r w:rsidRPr="001C3EC8">
        <w:rPr>
          <w:color w:val="000000" w:themeColor="text1"/>
        </w:rPr>
        <w:t xml:space="preserve">nejhorším (Praha </w:t>
      </w:r>
      <w:r w:rsidR="00CD2266" w:rsidRPr="001C3EC8">
        <w:rPr>
          <w:color w:val="000000" w:themeColor="text1"/>
        </w:rPr>
        <w:t>a</w:t>
      </w:r>
      <w:r w:rsidR="00CD2266">
        <w:rPr>
          <w:color w:val="000000" w:themeColor="text1"/>
        </w:rPr>
        <w:t> </w:t>
      </w:r>
      <w:r w:rsidRPr="001C3EC8">
        <w:rPr>
          <w:color w:val="000000" w:themeColor="text1"/>
        </w:rPr>
        <w:t>Severočeský kraj - 129) je jen 41 „dnů“.</w:t>
      </w:r>
      <w:r w:rsidR="00E10CA4">
        <w:rPr>
          <w:color w:val="000000" w:themeColor="text1"/>
        </w:rPr>
        <w:t xml:space="preserve"> </w:t>
      </w:r>
      <w:r w:rsidR="00CD2266" w:rsidRPr="001C3EC8">
        <w:rPr>
          <w:color w:val="000000" w:themeColor="text1"/>
        </w:rPr>
        <w:t>U</w:t>
      </w:r>
      <w:r w:rsidR="00CD2266">
        <w:rPr>
          <w:color w:val="000000" w:themeColor="text1"/>
        </w:rPr>
        <w:t> </w:t>
      </w:r>
      <w:r w:rsidRPr="001C3EC8">
        <w:rPr>
          <w:color w:val="000000" w:themeColor="text1"/>
        </w:rPr>
        <w:t>jednotlivých soudů jsou ovšem rozdíly přece jen vyšší.</w:t>
      </w:r>
    </w:p>
    <w:p w14:paraId="3E2CBDD2" w14:textId="234C2434" w:rsidR="008430BD" w:rsidRPr="001C3EC8" w:rsidRDefault="008430BD" w:rsidP="008430BD">
      <w:pPr>
        <w:pStyle w:val="Podnadpis"/>
        <w:rPr>
          <w:color w:val="000000" w:themeColor="text1"/>
        </w:rPr>
      </w:pPr>
      <w:bookmarkStart w:id="321" w:name="_Toc43841420"/>
      <w:bookmarkStart w:id="322" w:name="_Toc7595222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44</w:t>
      </w:r>
      <w:r w:rsidRPr="001C3EC8">
        <w:rPr>
          <w:noProof/>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v opatrovnické agendě v letech 2008–20</w:t>
      </w:r>
      <w:bookmarkEnd w:id="320"/>
      <w:bookmarkEnd w:id="321"/>
      <w:r w:rsidRPr="001C3EC8">
        <w:rPr>
          <w:color w:val="000000" w:themeColor="text1"/>
        </w:rPr>
        <w:t>20</w:t>
      </w:r>
      <w:bookmarkEnd w:id="322"/>
    </w:p>
    <w:p w14:paraId="557AF967"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33A48490" wp14:editId="497E58B6">
            <wp:extent cx="5115560" cy="3743960"/>
            <wp:effectExtent l="0" t="0" r="0" b="889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69BED5A2" w14:textId="77777777" w:rsidR="008430BD" w:rsidRPr="001C3EC8" w:rsidRDefault="008430BD" w:rsidP="008430BD">
      <w:pPr>
        <w:spacing w:line="240" w:lineRule="auto"/>
        <w:jc w:val="left"/>
        <w:rPr>
          <w:color w:val="000000" w:themeColor="text1"/>
        </w:rPr>
      </w:pPr>
    </w:p>
    <w:p w14:paraId="5916934C" w14:textId="77777777" w:rsidR="008430BD" w:rsidRPr="001C3EC8" w:rsidRDefault="008430BD" w:rsidP="008430BD">
      <w:pPr>
        <w:spacing w:line="240" w:lineRule="auto"/>
        <w:jc w:val="left"/>
        <w:rPr>
          <w:color w:val="000000" w:themeColor="text1"/>
        </w:rPr>
      </w:pPr>
    </w:p>
    <w:p w14:paraId="521DB695" w14:textId="77777777" w:rsidR="008430BD" w:rsidRPr="001C3EC8" w:rsidRDefault="008430BD" w:rsidP="008430BD">
      <w:pPr>
        <w:spacing w:line="240" w:lineRule="auto"/>
        <w:jc w:val="left"/>
        <w:rPr>
          <w:color w:val="000000" w:themeColor="text1"/>
        </w:rPr>
      </w:pPr>
    </w:p>
    <w:p w14:paraId="58F24227" w14:textId="77777777" w:rsidR="008430BD" w:rsidRPr="001C3EC8" w:rsidRDefault="008430BD" w:rsidP="008430BD">
      <w:pPr>
        <w:spacing w:line="240" w:lineRule="auto"/>
        <w:jc w:val="left"/>
        <w:rPr>
          <w:rFonts w:eastAsia="Times New Roman"/>
          <w:b/>
          <w:iCs/>
          <w:color w:val="000000" w:themeColor="text1"/>
          <w:spacing w:val="15"/>
          <w:szCs w:val="24"/>
        </w:rPr>
      </w:pPr>
      <w:bookmarkStart w:id="323" w:name="_Toc43931204"/>
      <w:r w:rsidRPr="001C3EC8">
        <w:rPr>
          <w:color w:val="000000" w:themeColor="text1"/>
        </w:rPr>
        <w:br w:type="page"/>
      </w:r>
    </w:p>
    <w:p w14:paraId="60E0ABB5" w14:textId="0AABCB37" w:rsidR="008430BD" w:rsidRPr="001C3EC8" w:rsidRDefault="008430BD" w:rsidP="008430BD">
      <w:pPr>
        <w:pStyle w:val="Podnadpis"/>
        <w:rPr>
          <w:color w:val="000000" w:themeColor="text1"/>
        </w:rPr>
      </w:pPr>
      <w:bookmarkStart w:id="324" w:name="_Toc75952336"/>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33</w:t>
      </w:r>
      <w:r w:rsidRPr="001C3EC8">
        <w:rPr>
          <w:noProof/>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v opatrovnické agendě dle krajů</w:t>
      </w:r>
      <w:bookmarkEnd w:id="323"/>
      <w:bookmarkEnd w:id="324"/>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1166E6D5"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6281AE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6B9D6CE1"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483433E1"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33B22CD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56F9F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129</w:t>
            </w:r>
          </w:p>
        </w:tc>
        <w:tc>
          <w:tcPr>
            <w:tcW w:w="1927" w:type="dxa"/>
            <w:tcBorders>
              <w:top w:val="nil"/>
              <w:left w:val="nil"/>
              <w:bottom w:val="single" w:sz="4" w:space="0" w:color="auto"/>
              <w:right w:val="nil"/>
            </w:tcBorders>
            <w:shd w:val="clear" w:color="auto" w:fill="auto"/>
            <w:noWrap/>
            <w:vAlign w:val="center"/>
            <w:hideMark/>
          </w:tcPr>
          <w:p w14:paraId="363C73D3" w14:textId="2EE7353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8430BD" w:rsidRPr="001C3EC8" w14:paraId="13E5706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5B70A7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2A1A4FC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w:t>
            </w:r>
          </w:p>
        </w:tc>
        <w:tc>
          <w:tcPr>
            <w:tcW w:w="1927" w:type="dxa"/>
            <w:tcBorders>
              <w:top w:val="nil"/>
              <w:left w:val="nil"/>
              <w:bottom w:val="single" w:sz="4" w:space="0" w:color="auto"/>
              <w:right w:val="nil"/>
            </w:tcBorders>
            <w:shd w:val="clear" w:color="auto" w:fill="auto"/>
            <w:noWrap/>
            <w:vAlign w:val="center"/>
            <w:hideMark/>
          </w:tcPr>
          <w:p w14:paraId="4E7259A2" w14:textId="4DCB1F9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8430BD" w:rsidRPr="001C3EC8" w14:paraId="0107E00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414C22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0B6943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927" w:type="dxa"/>
            <w:tcBorders>
              <w:top w:val="nil"/>
              <w:left w:val="nil"/>
              <w:bottom w:val="single" w:sz="4" w:space="0" w:color="auto"/>
              <w:right w:val="nil"/>
            </w:tcBorders>
            <w:shd w:val="clear" w:color="auto" w:fill="auto"/>
            <w:noWrap/>
            <w:vAlign w:val="center"/>
            <w:hideMark/>
          </w:tcPr>
          <w:p w14:paraId="605391A9" w14:textId="51469C0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+41 </w:t>
            </w:r>
            <w:r w:rsidR="00B07E76">
              <w:rPr>
                <w:rFonts w:eastAsia="Times New Roman"/>
                <w:color w:val="000000" w:themeColor="text1"/>
                <w:sz w:val="20"/>
                <w:szCs w:val="20"/>
                <w:lang w:eastAsia="cs-CZ"/>
              </w:rPr>
              <w:t>%</w:t>
            </w:r>
          </w:p>
        </w:tc>
      </w:tr>
      <w:tr w:rsidR="008430BD" w:rsidRPr="001C3EC8" w14:paraId="2625A13F"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629578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1B0F0B9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c>
          <w:tcPr>
            <w:tcW w:w="1927" w:type="dxa"/>
            <w:tcBorders>
              <w:top w:val="nil"/>
              <w:left w:val="nil"/>
              <w:bottom w:val="single" w:sz="4" w:space="0" w:color="auto"/>
              <w:right w:val="nil"/>
            </w:tcBorders>
            <w:shd w:val="clear" w:color="auto" w:fill="auto"/>
            <w:noWrap/>
            <w:vAlign w:val="center"/>
            <w:hideMark/>
          </w:tcPr>
          <w:p w14:paraId="2B3B89E3" w14:textId="4ABC407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r>
      <w:tr w:rsidR="008430BD" w:rsidRPr="001C3EC8" w14:paraId="143BE0B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CA7AC9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1793FB2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129</w:t>
            </w:r>
          </w:p>
        </w:tc>
        <w:tc>
          <w:tcPr>
            <w:tcW w:w="1927" w:type="dxa"/>
            <w:tcBorders>
              <w:top w:val="nil"/>
              <w:left w:val="nil"/>
              <w:bottom w:val="single" w:sz="4" w:space="0" w:color="auto"/>
              <w:right w:val="nil"/>
            </w:tcBorders>
            <w:shd w:val="clear" w:color="auto" w:fill="auto"/>
            <w:noWrap/>
            <w:vAlign w:val="center"/>
            <w:hideMark/>
          </w:tcPr>
          <w:p w14:paraId="2315BE8D" w14:textId="4B8ACFC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47A2291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8293C4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40FAB69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w:t>
            </w:r>
          </w:p>
        </w:tc>
        <w:tc>
          <w:tcPr>
            <w:tcW w:w="1927" w:type="dxa"/>
            <w:tcBorders>
              <w:top w:val="nil"/>
              <w:left w:val="nil"/>
              <w:bottom w:val="single" w:sz="4" w:space="0" w:color="auto"/>
              <w:right w:val="nil"/>
            </w:tcBorders>
            <w:shd w:val="clear" w:color="auto" w:fill="auto"/>
            <w:noWrap/>
            <w:vAlign w:val="center"/>
            <w:hideMark/>
          </w:tcPr>
          <w:p w14:paraId="6D3C9161" w14:textId="37C2A87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8430BD" w:rsidRPr="001C3EC8" w14:paraId="65C0C88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30FB5D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7CBEF7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120</w:t>
            </w:r>
          </w:p>
        </w:tc>
        <w:tc>
          <w:tcPr>
            <w:tcW w:w="1927" w:type="dxa"/>
            <w:tcBorders>
              <w:top w:val="nil"/>
              <w:left w:val="nil"/>
              <w:bottom w:val="single" w:sz="4" w:space="0" w:color="auto"/>
              <w:right w:val="nil"/>
            </w:tcBorders>
            <w:shd w:val="clear" w:color="auto" w:fill="auto"/>
            <w:noWrap/>
            <w:vAlign w:val="center"/>
            <w:hideMark/>
          </w:tcPr>
          <w:p w14:paraId="453A399B" w14:textId="06BA711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566015C5"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2FDA898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6DDA3A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w:t>
            </w:r>
          </w:p>
        </w:tc>
        <w:tc>
          <w:tcPr>
            <w:tcW w:w="1927" w:type="dxa"/>
            <w:tcBorders>
              <w:top w:val="nil"/>
              <w:left w:val="nil"/>
              <w:bottom w:val="double" w:sz="6" w:space="0" w:color="auto"/>
              <w:right w:val="nil"/>
            </w:tcBorders>
            <w:shd w:val="clear" w:color="auto" w:fill="auto"/>
            <w:noWrap/>
            <w:vAlign w:val="center"/>
            <w:hideMark/>
          </w:tcPr>
          <w:p w14:paraId="680657B8" w14:textId="3A9057C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8430BD" w:rsidRPr="001C3EC8" w14:paraId="5B5026F0"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3F2FFDEF"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2F2D8BB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115</w:t>
            </w:r>
          </w:p>
        </w:tc>
        <w:tc>
          <w:tcPr>
            <w:tcW w:w="1927" w:type="dxa"/>
            <w:tcBorders>
              <w:top w:val="nil"/>
              <w:left w:val="nil"/>
              <w:bottom w:val="double" w:sz="6" w:space="0" w:color="auto"/>
              <w:right w:val="nil"/>
            </w:tcBorders>
            <w:shd w:val="clear" w:color="auto" w:fill="auto"/>
            <w:noWrap/>
            <w:vAlign w:val="center"/>
            <w:hideMark/>
          </w:tcPr>
          <w:p w14:paraId="01560024" w14:textId="6D12D811"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r>
    </w:tbl>
    <w:p w14:paraId="2CF2B86E" w14:textId="77777777" w:rsidR="008430BD" w:rsidRPr="001C3EC8" w:rsidRDefault="008430BD" w:rsidP="008430BD">
      <w:pPr>
        <w:spacing w:line="240" w:lineRule="auto"/>
        <w:jc w:val="left"/>
        <w:rPr>
          <w:color w:val="000000" w:themeColor="text1"/>
          <w:highlight w:val="yellow"/>
        </w:rPr>
      </w:pPr>
    </w:p>
    <w:p w14:paraId="769A20D6" w14:textId="482D01DC" w:rsidR="008430BD" w:rsidRPr="001C3EC8" w:rsidRDefault="008430BD" w:rsidP="008430BD">
      <w:pPr>
        <w:pStyle w:val="OdstavecASR"/>
        <w:rPr>
          <w:color w:val="000000" w:themeColor="text1"/>
        </w:rPr>
      </w:pPr>
      <w:r w:rsidRPr="001C3EC8">
        <w:rPr>
          <w:color w:val="000000" w:themeColor="text1"/>
        </w:rPr>
        <w:t xml:space="preserve">Okresní soudy v působnosti KS Ústí nad Labem již nevykazují nejvyšší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jako tomu bylo v předchozích letech, ale dotáhly se na soudy z jiných krajů. Na kartogramu vidíme, že Severočeský kraj již není zdaleka „nejčervenější“. Vyrovnanost potvrzuje </w:t>
      </w:r>
      <w:r w:rsidR="00CD2266" w:rsidRPr="001C3EC8">
        <w:rPr>
          <w:color w:val="000000" w:themeColor="text1"/>
        </w:rPr>
        <w:t>i</w:t>
      </w:r>
      <w:r w:rsidR="00CD2266">
        <w:rPr>
          <w:color w:val="000000" w:themeColor="text1"/>
        </w:rPr>
        <w:t> </w:t>
      </w:r>
      <w:r w:rsidRPr="001C3EC8">
        <w:rPr>
          <w:color w:val="000000" w:themeColor="text1"/>
        </w:rPr>
        <w:t>krabicový graf, kde vidíme pouze jednu odlehlou hodnotu.</w:t>
      </w:r>
    </w:p>
    <w:p w14:paraId="7ED39AF9" w14:textId="77777777" w:rsidR="00B07E76" w:rsidRDefault="008430BD" w:rsidP="008430BD">
      <w:pPr>
        <w:pStyle w:val="OdstavecASR"/>
        <w:rPr>
          <w:color w:val="000000" w:themeColor="text1"/>
        </w:rPr>
      </w:pPr>
      <w:r w:rsidRPr="001C3EC8">
        <w:rPr>
          <w:color w:val="000000" w:themeColor="text1"/>
        </w:rPr>
        <w:t xml:space="preserve">Jak jsme uvedli již dříve, ukazatel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slouží zejména k porovnání mezi jednotlivými soudy a nesmí být zaměňován s délkou řízení.</w:t>
      </w:r>
    </w:p>
    <w:p w14:paraId="70104CD2" w14:textId="68A0E08E" w:rsidR="008430BD" w:rsidRPr="001C3EC8" w:rsidRDefault="008430BD" w:rsidP="008430BD">
      <w:pPr>
        <w:pStyle w:val="Podnadpis"/>
        <w:rPr>
          <w:color w:val="000000" w:themeColor="text1"/>
        </w:rPr>
      </w:pPr>
      <w:bookmarkStart w:id="325" w:name="_Toc515871370"/>
      <w:bookmarkStart w:id="326" w:name="_Toc11135102"/>
      <w:bookmarkStart w:id="327" w:name="_Toc43841421"/>
      <w:bookmarkStart w:id="328" w:name="_Toc75952225"/>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45</w:t>
      </w:r>
      <w:r w:rsidRPr="001C3EC8">
        <w:rPr>
          <w:noProof/>
          <w:color w:val="000000" w:themeColor="text1"/>
        </w:rPr>
        <w:fldChar w:fldCharType="end"/>
      </w:r>
      <w:r w:rsidRPr="001C3EC8">
        <w:rPr>
          <w:color w:val="000000" w:themeColor="text1"/>
        </w:rPr>
        <w:t xml:space="preserve">: OS –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v opatrovnické agendě u jednotlivých soudů</w:t>
      </w:r>
      <w:bookmarkEnd w:id="325"/>
      <w:bookmarkEnd w:id="326"/>
      <w:bookmarkEnd w:id="327"/>
      <w:bookmarkEnd w:id="328"/>
    </w:p>
    <w:p w14:paraId="3C5FF566"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anchor distT="0" distB="0" distL="114300" distR="114300" simplePos="0" relativeHeight="251675648" behindDoc="0" locked="0" layoutInCell="1" allowOverlap="1" wp14:anchorId="0F1E1423" wp14:editId="0FF74A46">
            <wp:simplePos x="0" y="0"/>
            <wp:positionH relativeFrom="margin">
              <wp:align>right</wp:align>
            </wp:positionH>
            <wp:positionV relativeFrom="paragraph">
              <wp:posOffset>8890</wp:posOffset>
            </wp:positionV>
            <wp:extent cx="1260000" cy="918000"/>
            <wp:effectExtent l="0" t="0" r="0" b="0"/>
            <wp:wrapNone/>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60000" cy="91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EC8">
        <w:rPr>
          <w:noProof/>
          <w:color w:val="000000" w:themeColor="text1"/>
          <w:highlight w:val="yellow"/>
          <w:lang w:eastAsia="cs-CZ"/>
        </w:rPr>
        <w:drawing>
          <wp:inline distT="0" distB="0" distL="0" distR="0" wp14:anchorId="1CE924D1" wp14:editId="3736210C">
            <wp:extent cx="5759450" cy="3296019"/>
            <wp:effectExtent l="0" t="0" r="0" b="0"/>
            <wp:docPr id="308" name="Obráze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59450" cy="3296019"/>
                    </a:xfrm>
                    <a:prstGeom prst="rect">
                      <a:avLst/>
                    </a:prstGeom>
                    <a:noFill/>
                    <a:ln>
                      <a:noFill/>
                    </a:ln>
                  </pic:spPr>
                </pic:pic>
              </a:graphicData>
            </a:graphic>
          </wp:inline>
        </w:drawing>
      </w:r>
    </w:p>
    <w:p w14:paraId="48560D1E" w14:textId="77777777" w:rsidR="008430BD" w:rsidRPr="001C3EC8" w:rsidRDefault="008430BD" w:rsidP="008430BD">
      <w:pPr>
        <w:spacing w:line="240" w:lineRule="auto"/>
        <w:jc w:val="left"/>
        <w:rPr>
          <w:color w:val="000000" w:themeColor="text1"/>
          <w:highlight w:val="yellow"/>
        </w:rPr>
      </w:pPr>
    </w:p>
    <w:p w14:paraId="2842012E" w14:textId="77777777" w:rsidR="008430BD" w:rsidRPr="001C3EC8" w:rsidRDefault="008430BD" w:rsidP="008430BD">
      <w:pPr>
        <w:pStyle w:val="Podnadpis"/>
        <w:rPr>
          <w:b w:val="0"/>
          <w:iCs w:val="0"/>
          <w:color w:val="000000" w:themeColor="text1"/>
        </w:rPr>
      </w:pPr>
      <w:r w:rsidRPr="001C3EC8">
        <w:rPr>
          <w:color w:val="000000" w:themeColor="text1"/>
        </w:rPr>
        <w:lastRenderedPageBreak/>
        <w:t>Graf 46: OS – krabicové grafy, DT opatrovnické agendy</w:t>
      </w:r>
    </w:p>
    <w:p w14:paraId="07340DEB"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329E88E6" wp14:editId="06F6BA99">
            <wp:extent cx="5115560" cy="3743960"/>
            <wp:effectExtent l="0" t="0" r="0" b="889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7306996E" w14:textId="77777777" w:rsidR="008430BD" w:rsidRPr="001C3EC8" w:rsidRDefault="008430BD" w:rsidP="008430BD">
      <w:pPr>
        <w:spacing w:line="240" w:lineRule="auto"/>
        <w:jc w:val="left"/>
        <w:rPr>
          <w:color w:val="000000" w:themeColor="text1"/>
        </w:rPr>
      </w:pPr>
    </w:p>
    <w:p w14:paraId="5F38FF7B" w14:textId="737D02C7" w:rsidR="008430BD" w:rsidRPr="001C3EC8" w:rsidRDefault="008430BD" w:rsidP="008430BD">
      <w:pPr>
        <w:pStyle w:val="OdstavecASR"/>
        <w:rPr>
          <w:color w:val="000000" w:themeColor="text1"/>
        </w:rPr>
      </w:pPr>
      <w:r w:rsidRPr="001C3EC8">
        <w:rPr>
          <w:color w:val="000000" w:themeColor="text1"/>
        </w:rPr>
        <w:t xml:space="preserve">Data v této kapitole můžeme shrnout tak, že před rokem 2014 byla situace v opatrovnické agendě velmi podobná situaci v agendě občanskoprávní, a pokud jde o rozdíly mezi soudy, problémy měly především okresní soudy spadající pod KS Brno a KS Ústí nad Labem. V letech 2014 a 2015 došlo k velkému nárůstu počtu napadlých věcí. To negativně ovlivnilo rychlost vyřizování agendy v celé ČR. Na některé soudy byl dopad horší než na jiné. V letech 2015 a 2016 se soudům pozvolna dařilo vyrovnat se s nárůstem vyřizované agendy a tento trend pokračoval i v letech 2017 </w:t>
      </w:r>
      <w:r w:rsidR="00CD2266" w:rsidRPr="001C3EC8">
        <w:rPr>
          <w:color w:val="000000" w:themeColor="text1"/>
        </w:rPr>
        <w:t>a</w:t>
      </w:r>
      <w:r w:rsidR="00CD2266">
        <w:rPr>
          <w:color w:val="000000" w:themeColor="text1"/>
        </w:rPr>
        <w:t> </w:t>
      </w:r>
      <w:r w:rsidRPr="001C3EC8">
        <w:rPr>
          <w:color w:val="000000" w:themeColor="text1"/>
        </w:rPr>
        <w:t xml:space="preserve">2018, kdy se rozdíly mezi jednotlivými okresními soudy dále zmenšovaly (šedé boxy jsou kompaktnější, „vousy“ kratší </w:t>
      </w:r>
      <w:r w:rsidR="00CD2266" w:rsidRPr="001C3EC8">
        <w:rPr>
          <w:color w:val="000000" w:themeColor="text1"/>
        </w:rPr>
        <w:t>a</w:t>
      </w:r>
      <w:r w:rsidR="00CD2266">
        <w:rPr>
          <w:color w:val="000000" w:themeColor="text1"/>
        </w:rPr>
        <w:t> </w:t>
      </w:r>
      <w:r w:rsidRPr="001C3EC8">
        <w:rPr>
          <w:color w:val="000000" w:themeColor="text1"/>
        </w:rPr>
        <w:t xml:space="preserve">odlehlé OS / body jsou blíže k hornímu „vousu“, tedy přibližují se </w:t>
      </w:r>
      <w:r w:rsidR="00CD2266" w:rsidRPr="001C3EC8">
        <w:rPr>
          <w:color w:val="000000" w:themeColor="text1"/>
        </w:rPr>
        <w:t>k</w:t>
      </w:r>
      <w:r w:rsidR="00CD2266">
        <w:rPr>
          <w:color w:val="000000" w:themeColor="text1"/>
        </w:rPr>
        <w:t> </w:t>
      </w:r>
      <w:r w:rsidRPr="001C3EC8">
        <w:rPr>
          <w:color w:val="000000" w:themeColor="text1"/>
        </w:rPr>
        <w:t xml:space="preserve">ostatním okresním soudům). V roce 2019 nedošlo k velkým změnám oproti roku 2018. Rok 2020 byl ovlivněn pandemií </w:t>
      </w:r>
      <w:r w:rsidR="000C3B1E">
        <w:rPr>
          <w:color w:val="000000" w:themeColor="text1"/>
        </w:rPr>
        <w:t>COVID</w:t>
      </w:r>
      <w:r w:rsidR="000C3B1E">
        <w:rPr>
          <w:color w:val="000000" w:themeColor="text1"/>
        </w:rPr>
        <w:noBreakHyphen/>
        <w:t>19</w:t>
      </w:r>
      <w:r w:rsidRPr="001C3EC8">
        <w:rPr>
          <w:color w:val="000000" w:themeColor="text1"/>
        </w:rPr>
        <w:t xml:space="preserve"> </w:t>
      </w:r>
      <w:r w:rsidR="00CD2266" w:rsidRPr="001C3EC8">
        <w:rPr>
          <w:color w:val="000000" w:themeColor="text1"/>
        </w:rPr>
        <w:t>a</w:t>
      </w:r>
      <w:r w:rsidR="00CD2266">
        <w:rPr>
          <w:color w:val="000000" w:themeColor="text1"/>
        </w:rPr>
        <w:t> </w:t>
      </w:r>
      <w:r w:rsidRPr="001C3EC8">
        <w:rPr>
          <w:color w:val="000000" w:themeColor="text1"/>
        </w:rPr>
        <w:t>došlo tak k výraznému poklesu nápadu. Pandemie ale nezabránila soudů</w:t>
      </w:r>
      <w:r w:rsidR="00BA500E" w:rsidRPr="001C3EC8">
        <w:rPr>
          <w:color w:val="000000" w:themeColor="text1"/>
        </w:rPr>
        <w:t>m</w:t>
      </w:r>
      <w:r w:rsidRPr="001C3EC8">
        <w:rPr>
          <w:color w:val="000000" w:themeColor="text1"/>
        </w:rPr>
        <w:t xml:space="preserve"> úspěšně vyřizovat věci. Došlo tedy k mírn</w:t>
      </w:r>
      <w:r w:rsidR="00BA500E" w:rsidRPr="001C3EC8">
        <w:rPr>
          <w:color w:val="000000" w:themeColor="text1"/>
        </w:rPr>
        <w:t>ým</w:t>
      </w:r>
      <w:r w:rsidRPr="001C3EC8">
        <w:rPr>
          <w:color w:val="000000" w:themeColor="text1"/>
        </w:rPr>
        <w:t xml:space="preserve"> pokles</w:t>
      </w:r>
      <w:r w:rsidR="00BA500E" w:rsidRPr="001C3EC8">
        <w:rPr>
          <w:color w:val="000000" w:themeColor="text1"/>
        </w:rPr>
        <w:t>ům</w:t>
      </w:r>
      <w:r w:rsidRPr="001C3EC8">
        <w:rPr>
          <w:color w:val="000000" w:themeColor="text1"/>
        </w:rPr>
        <w:t xml:space="preserve"> počtu nevyřízených věcí </w:t>
      </w:r>
      <w:r w:rsidR="00CD2266" w:rsidRPr="001C3EC8">
        <w:rPr>
          <w:color w:val="000000" w:themeColor="text1"/>
        </w:rPr>
        <w:t>a</w:t>
      </w:r>
      <w:r w:rsidR="00CD2266">
        <w:rPr>
          <w:color w:val="000000" w:themeColor="text1"/>
        </w:rPr>
        <w:t> </w:t>
      </w:r>
      <w:r w:rsidRPr="001C3EC8">
        <w:rPr>
          <w:color w:val="000000" w:themeColor="text1"/>
        </w:rPr>
        <w:t>také k poklesu ve variabilitě mezi soudy.</w:t>
      </w:r>
    </w:p>
    <w:p w14:paraId="28ADE887" w14:textId="77777777" w:rsidR="008430BD" w:rsidRPr="001C3EC8" w:rsidRDefault="008430BD" w:rsidP="008430BD">
      <w:pPr>
        <w:spacing w:line="240" w:lineRule="auto"/>
        <w:jc w:val="left"/>
        <w:rPr>
          <w:color w:val="000000" w:themeColor="text1"/>
        </w:rPr>
      </w:pPr>
    </w:p>
    <w:p w14:paraId="32BE4A87" w14:textId="77777777" w:rsidR="008430BD" w:rsidRPr="001C3EC8" w:rsidRDefault="008430BD" w:rsidP="008430BD">
      <w:pPr>
        <w:pStyle w:val="Nadpis3"/>
        <w:numPr>
          <w:ilvl w:val="2"/>
          <w:numId w:val="1"/>
        </w:numPr>
        <w:rPr>
          <w:color w:val="000000" w:themeColor="text1"/>
        </w:rPr>
      </w:pPr>
      <w:bookmarkStart w:id="329" w:name="_Toc515871240"/>
      <w:bookmarkStart w:id="330" w:name="_Toc75952077"/>
      <w:r w:rsidRPr="001C3EC8">
        <w:rPr>
          <w:color w:val="000000" w:themeColor="text1"/>
        </w:rPr>
        <w:t>Další statistiky</w:t>
      </w:r>
      <w:bookmarkEnd w:id="329"/>
      <w:bookmarkEnd w:id="330"/>
    </w:p>
    <w:p w14:paraId="493DDB75" w14:textId="77777777" w:rsidR="008430BD" w:rsidRPr="001C3EC8" w:rsidRDefault="008430BD" w:rsidP="008430BD">
      <w:pPr>
        <w:pStyle w:val="OdstavecASR"/>
        <w:rPr>
          <w:color w:val="000000" w:themeColor="text1"/>
        </w:rPr>
      </w:pPr>
      <w:r w:rsidRPr="001C3EC8">
        <w:rPr>
          <w:color w:val="000000" w:themeColor="text1"/>
        </w:rPr>
        <w:t>Jednou z největších a nejvýznamnějších agend, které jsou na opatrovnickém úseku soudů vyřizovány, je rozhodování o výživném (nyní § 910 a násl. o. z.), tedy rozhodování o tom, který z rodičů a kolik má platit na výživu svého nezletilého potomka (případně zletilého dítěte, bylo-li řízení zahájeno před nabytím jeho zletilosti). Zde uvedené statistiky se týkají prvního rozhodnutí o vyživovací povinnosti a údaje (v Kč event. v %) se vztahují k jednomu dítěti.</w:t>
      </w:r>
    </w:p>
    <w:p w14:paraId="1D050DFE" w14:textId="53CED449" w:rsidR="00F66F3C" w:rsidRPr="00CD2266" w:rsidRDefault="00F66F3C" w:rsidP="00CD2266">
      <w:pPr>
        <w:pStyle w:val="OdstavecASR"/>
        <w:keepNext/>
        <w:rPr>
          <w:b/>
          <w:color w:val="000000" w:themeColor="text1"/>
        </w:rPr>
      </w:pPr>
      <w:bookmarkStart w:id="331" w:name="_Ref510766269"/>
      <w:bookmarkStart w:id="332" w:name="_Toc515871372"/>
      <w:bookmarkStart w:id="333" w:name="_Toc11135103"/>
      <w:bookmarkStart w:id="334" w:name="_Toc43841422"/>
      <w:r w:rsidRPr="00CD2266">
        <w:rPr>
          <w:b/>
          <w:color w:val="000000" w:themeColor="text1"/>
        </w:rPr>
        <w:lastRenderedPageBreak/>
        <w:t xml:space="preserve">Výše výživného </w:t>
      </w:r>
      <w:r w:rsidR="00CD2266" w:rsidRPr="00CD2266">
        <w:rPr>
          <w:b/>
          <w:color w:val="000000" w:themeColor="text1"/>
        </w:rPr>
        <w:t>a </w:t>
      </w:r>
      <w:r w:rsidRPr="00CD2266">
        <w:rPr>
          <w:b/>
          <w:color w:val="000000" w:themeColor="text1"/>
        </w:rPr>
        <w:t>podíl na příjmu</w:t>
      </w:r>
    </w:p>
    <w:p w14:paraId="6518FD1B" w14:textId="77E97F9B" w:rsidR="008430BD" w:rsidRPr="001C3EC8" w:rsidRDefault="008430BD" w:rsidP="008430BD">
      <w:pPr>
        <w:pStyle w:val="Podnadpis"/>
        <w:rPr>
          <w:color w:val="000000" w:themeColor="text1"/>
        </w:rPr>
      </w:pPr>
      <w:bookmarkStart w:id="335" w:name="_Toc75952226"/>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46</w:t>
      </w:r>
      <w:r w:rsidRPr="001C3EC8">
        <w:rPr>
          <w:noProof/>
          <w:color w:val="000000" w:themeColor="text1"/>
        </w:rPr>
        <w:fldChar w:fldCharType="end"/>
      </w:r>
      <w:bookmarkEnd w:id="331"/>
      <w:r w:rsidRPr="001C3EC8">
        <w:rPr>
          <w:color w:val="000000" w:themeColor="text1"/>
        </w:rPr>
        <w:t>: OS – průměrná výše výživného dle povinné osoby v letech 2012–</w:t>
      </w:r>
      <w:bookmarkEnd w:id="332"/>
      <w:bookmarkEnd w:id="333"/>
      <w:r w:rsidRPr="001C3EC8">
        <w:rPr>
          <w:color w:val="000000" w:themeColor="text1"/>
        </w:rPr>
        <w:t>20</w:t>
      </w:r>
      <w:bookmarkEnd w:id="334"/>
      <w:r w:rsidRPr="001C3EC8">
        <w:rPr>
          <w:color w:val="000000" w:themeColor="text1"/>
        </w:rPr>
        <w:t>20</w:t>
      </w:r>
      <w:bookmarkEnd w:id="335"/>
    </w:p>
    <w:p w14:paraId="0AB2DA57"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4261274B" wp14:editId="242D4C6D">
            <wp:extent cx="5115560" cy="3743960"/>
            <wp:effectExtent l="0" t="0" r="0" b="889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A6EF3CE" w14:textId="77777777" w:rsidR="008430BD" w:rsidRPr="001C3EC8" w:rsidRDefault="008430BD" w:rsidP="008430BD">
      <w:pPr>
        <w:spacing w:line="240" w:lineRule="auto"/>
        <w:jc w:val="left"/>
        <w:rPr>
          <w:color w:val="000000" w:themeColor="text1"/>
        </w:rPr>
      </w:pPr>
    </w:p>
    <w:p w14:paraId="5D8BE227" w14:textId="45D3B2E9" w:rsidR="008430BD" w:rsidRPr="001C3EC8" w:rsidRDefault="00CD2266" w:rsidP="008430BD">
      <w:pPr>
        <w:pStyle w:val="OdstavecASR"/>
        <w:rPr>
          <w:color w:val="000000" w:themeColor="text1"/>
        </w:rPr>
      </w:pPr>
      <w:r w:rsidRPr="001C3EC8">
        <w:rPr>
          <w:color w:val="000000" w:themeColor="text1"/>
        </w:rPr>
        <w:t>V</w:t>
      </w:r>
      <w:r>
        <w:rPr>
          <w:color w:val="000000" w:themeColor="text1"/>
        </w:rPr>
        <w:t> </w:t>
      </w:r>
      <w:r w:rsidR="008430BD" w:rsidRPr="001C3EC8">
        <w:rPr>
          <w:color w:val="000000" w:themeColor="text1"/>
        </w:rPr>
        <w:t xml:space="preserve">grafu výše vidíme, že průměrné výživné stanovené otci je asi dvakrát vyšší než průměrné výživné stanovované matce </w:t>
      </w:r>
      <w:r w:rsidRPr="001C3EC8">
        <w:rPr>
          <w:color w:val="000000" w:themeColor="text1"/>
        </w:rPr>
        <w:t>a</w:t>
      </w:r>
      <w:r>
        <w:rPr>
          <w:color w:val="000000" w:themeColor="text1"/>
        </w:rPr>
        <w:t> </w:t>
      </w:r>
      <w:r w:rsidR="008430BD" w:rsidRPr="001C3EC8">
        <w:rPr>
          <w:color w:val="000000" w:themeColor="text1"/>
        </w:rPr>
        <w:t>je potřebné dále tento vývoj sledovat. Rozdíl je způsoben několika faktory:</w:t>
      </w:r>
    </w:p>
    <w:p w14:paraId="5A6FD479" w14:textId="4B5713B1" w:rsidR="008430BD" w:rsidRPr="001C3EC8" w:rsidRDefault="008430BD" w:rsidP="008430BD">
      <w:pPr>
        <w:pStyle w:val="Odstavecseseznamem"/>
        <w:numPr>
          <w:ilvl w:val="0"/>
          <w:numId w:val="12"/>
        </w:numPr>
        <w:rPr>
          <w:color w:val="000000" w:themeColor="text1"/>
        </w:rPr>
      </w:pPr>
      <w:r w:rsidRPr="001C3EC8">
        <w:rPr>
          <w:color w:val="000000" w:themeColor="text1"/>
        </w:rPr>
        <w:t xml:space="preserve">Při určování výživného soud přihlíží k majetkovým poměrům povinného. Průměrná mzda žen v ČR je menší než průměrná mzda mužů a logicky je tedy mužům stanovena povinnost platit vyšší výživné. To ovšem vysvětluje pouze část rozdílu, protože mzda mužů není ani zdaleka dvakrát vyšší než mzda žen </w:t>
      </w:r>
      <w:r w:rsidR="00CD2266" w:rsidRPr="001C3EC8">
        <w:rPr>
          <w:color w:val="000000" w:themeColor="text1"/>
        </w:rPr>
        <w:t>a</w:t>
      </w:r>
      <w:r w:rsidR="00CD2266">
        <w:rPr>
          <w:color w:val="000000" w:themeColor="text1"/>
        </w:rPr>
        <w:t> </w:t>
      </w:r>
      <w:r w:rsidRPr="001C3EC8">
        <w:rPr>
          <w:color w:val="000000" w:themeColor="text1"/>
        </w:rPr>
        <w:t xml:space="preserve">při růstu hrubých mezd žen dochází ke snižování podílu jim určeného výživného na jejich příjmu. Například ve 4. čtvrtletí 2019 byla podle Českého statistického úřadu mediánová hrubá měsíční mzda žen 28 481 Kč, </w:t>
      </w:r>
      <w:r w:rsidR="00CD2266" w:rsidRPr="001C3EC8">
        <w:rPr>
          <w:color w:val="000000" w:themeColor="text1"/>
        </w:rPr>
        <w:t>u</w:t>
      </w:r>
      <w:r w:rsidR="00CD2266">
        <w:rPr>
          <w:color w:val="000000" w:themeColor="text1"/>
        </w:rPr>
        <w:t> </w:t>
      </w:r>
      <w:r w:rsidRPr="001C3EC8">
        <w:rPr>
          <w:color w:val="000000" w:themeColor="text1"/>
        </w:rPr>
        <w:t>mužů 33</w:t>
      </w:r>
      <w:r w:rsidR="00B4248B">
        <w:rPr>
          <w:color w:val="000000" w:themeColor="text1"/>
        </w:rPr>
        <w:t> </w:t>
      </w:r>
      <w:r w:rsidRPr="001C3EC8">
        <w:rPr>
          <w:color w:val="000000" w:themeColor="text1"/>
        </w:rPr>
        <w:t>814</w:t>
      </w:r>
      <w:r w:rsidR="00B4248B">
        <w:rPr>
          <w:color w:val="000000" w:themeColor="text1"/>
        </w:rPr>
        <w:t> </w:t>
      </w:r>
      <w:r w:rsidRPr="001C3EC8">
        <w:rPr>
          <w:color w:val="000000" w:themeColor="text1"/>
        </w:rPr>
        <w:t xml:space="preserve">Kč. Hrubé mzdy vykazované ČSÚ navíc nezahrnují přídavky na děti </w:t>
      </w:r>
      <w:r w:rsidR="00CD2266" w:rsidRPr="001C3EC8">
        <w:rPr>
          <w:color w:val="000000" w:themeColor="text1"/>
        </w:rPr>
        <w:t>a</w:t>
      </w:r>
      <w:r w:rsidR="00CD2266">
        <w:rPr>
          <w:color w:val="000000" w:themeColor="text1"/>
        </w:rPr>
        <w:t> </w:t>
      </w:r>
      <w:r w:rsidRPr="001C3EC8">
        <w:rPr>
          <w:color w:val="000000" w:themeColor="text1"/>
        </w:rPr>
        <w:t>jiné eventuální přiznané dávky.</w:t>
      </w:r>
    </w:p>
    <w:p w14:paraId="0F370BCA" w14:textId="77777777" w:rsidR="008430BD" w:rsidRPr="001C3EC8" w:rsidRDefault="008430BD" w:rsidP="008430BD">
      <w:pPr>
        <w:pStyle w:val="Odstavecseseznamem"/>
        <w:numPr>
          <w:ilvl w:val="0"/>
          <w:numId w:val="12"/>
        </w:numPr>
        <w:rPr>
          <w:b/>
          <w:color w:val="000000" w:themeColor="text1"/>
          <w:spacing w:val="15"/>
        </w:rPr>
      </w:pPr>
      <w:r w:rsidRPr="001C3EC8">
        <w:rPr>
          <w:color w:val="000000" w:themeColor="text1"/>
        </w:rPr>
        <w:t>V dalším grafu vidíme, že u matek je podíl výživného na čistém měsíčním příjmu nižší než u otců. To souvisí právě s výší příjmů. Snížení disponibilního příjmu má větší dopad na lidi s nižšími mzdami.</w:t>
      </w:r>
    </w:p>
    <w:p w14:paraId="4DCBF217" w14:textId="1A1206B9" w:rsidR="008430BD" w:rsidRPr="001C3EC8" w:rsidRDefault="008430BD" w:rsidP="008430BD">
      <w:pPr>
        <w:pStyle w:val="Odstavecseseznamem"/>
        <w:numPr>
          <w:ilvl w:val="0"/>
          <w:numId w:val="12"/>
        </w:numPr>
        <w:rPr>
          <w:b/>
          <w:color w:val="000000" w:themeColor="text1"/>
          <w:spacing w:val="15"/>
        </w:rPr>
      </w:pPr>
      <w:r w:rsidRPr="001C3EC8">
        <w:rPr>
          <w:color w:val="000000" w:themeColor="text1"/>
        </w:rPr>
        <w:t>Rozdíl mezi příjmy otce a matky, kteří vedou spor o výživné, je větší než rozdíl mezi příjmy mužů a žen v celé populaci ČR. To je zřejmě dáno tím, že matky se musí starat o dítě v nižším věku, což se negativně projevuje v jejich příjmech.</w:t>
      </w:r>
    </w:p>
    <w:p w14:paraId="4098986F" w14:textId="1F234BB5" w:rsidR="00737678" w:rsidRPr="001C3EC8" w:rsidRDefault="00737678" w:rsidP="00737678">
      <w:pPr>
        <w:pStyle w:val="Odstavecseseznamem"/>
        <w:numPr>
          <w:ilvl w:val="0"/>
          <w:numId w:val="12"/>
        </w:numPr>
        <w:rPr>
          <w:color w:val="000000" w:themeColor="text1"/>
        </w:rPr>
      </w:pPr>
      <w:r w:rsidRPr="001C3EC8">
        <w:rPr>
          <w:color w:val="000000" w:themeColor="text1"/>
        </w:rPr>
        <w:t>Povinné ženy mají v průměru více vyživovacích povinností než povinní muži. Soud počet vyživovacích povinností při rozhodování rovněž zohledňuje – povinnému s více vyživovacími povinnostmi soud stanoví v průměru nižší výživné.</w:t>
      </w:r>
    </w:p>
    <w:p w14:paraId="24132E8E" w14:textId="3BCACFDB" w:rsidR="008430BD" w:rsidRPr="001C3EC8" w:rsidRDefault="008430BD" w:rsidP="008430BD">
      <w:pPr>
        <w:pStyle w:val="Podnadpis"/>
        <w:numPr>
          <w:ilvl w:val="0"/>
          <w:numId w:val="0"/>
        </w:numPr>
        <w:rPr>
          <w:color w:val="000000" w:themeColor="text1"/>
        </w:rPr>
      </w:pPr>
      <w:bookmarkStart w:id="336" w:name="_Ref510766313"/>
      <w:bookmarkStart w:id="337" w:name="_Toc515871373"/>
      <w:bookmarkStart w:id="338" w:name="_Toc11135104"/>
      <w:bookmarkStart w:id="339" w:name="_Toc43841423"/>
      <w:bookmarkStart w:id="340" w:name="_Toc75952227"/>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47</w:t>
      </w:r>
      <w:r w:rsidRPr="001C3EC8">
        <w:rPr>
          <w:noProof/>
          <w:color w:val="000000" w:themeColor="text1"/>
        </w:rPr>
        <w:fldChar w:fldCharType="end"/>
      </w:r>
      <w:bookmarkEnd w:id="336"/>
      <w:r w:rsidRPr="001C3EC8">
        <w:rPr>
          <w:color w:val="000000" w:themeColor="text1"/>
        </w:rPr>
        <w:t>: OS – podíl na příjmu povinné osoby v letech 2012–201</w:t>
      </w:r>
      <w:bookmarkEnd w:id="337"/>
      <w:bookmarkEnd w:id="338"/>
      <w:r w:rsidRPr="001C3EC8">
        <w:rPr>
          <w:color w:val="000000" w:themeColor="text1"/>
        </w:rPr>
        <w:t>9</w:t>
      </w:r>
      <w:bookmarkEnd w:id="339"/>
      <w:bookmarkEnd w:id="340"/>
    </w:p>
    <w:p w14:paraId="0EEDBB08" w14:textId="77777777" w:rsidR="008430BD" w:rsidRPr="001C3EC8" w:rsidRDefault="008430BD" w:rsidP="008430BD">
      <w:pPr>
        <w:rPr>
          <w:b/>
          <w:color w:val="000000" w:themeColor="text1"/>
          <w:spacing w:val="15"/>
        </w:rPr>
      </w:pPr>
      <w:r w:rsidRPr="001C3EC8">
        <w:rPr>
          <w:b/>
          <w:noProof/>
          <w:color w:val="000000" w:themeColor="text1"/>
          <w:spacing w:val="15"/>
          <w:lang w:eastAsia="cs-CZ"/>
        </w:rPr>
        <w:drawing>
          <wp:inline distT="0" distB="0" distL="0" distR="0" wp14:anchorId="78D9C5D0" wp14:editId="5586C30F">
            <wp:extent cx="5115560" cy="3743960"/>
            <wp:effectExtent l="0" t="0" r="0" b="889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512CD349" w14:textId="0913F982" w:rsidR="008430BD" w:rsidRPr="001C3EC8" w:rsidRDefault="008430BD" w:rsidP="008430BD">
      <w:pPr>
        <w:pStyle w:val="OdstavecASR"/>
        <w:rPr>
          <w:color w:val="000000" w:themeColor="text1"/>
        </w:rPr>
      </w:pPr>
      <w:r w:rsidRPr="001C3EC8">
        <w:rPr>
          <w:color w:val="000000" w:themeColor="text1"/>
        </w:rPr>
        <w:t xml:space="preserve">V případě, že je povinnost platit výživné stanovena oběma rodičům, zachycují </w:t>
      </w:r>
      <w:r w:rsidR="00DD6ED9" w:rsidRPr="001C3EC8">
        <w:rPr>
          <w:color w:val="000000" w:themeColor="text1"/>
        </w:rPr>
        <w:t xml:space="preserve">tyto </w:t>
      </w:r>
      <w:r w:rsidRPr="001C3EC8">
        <w:rPr>
          <w:color w:val="000000" w:themeColor="text1"/>
        </w:rPr>
        <w:t>statistiky pouze vyšší z obou částek. Vzhledem k výši příjmů se obvykle jedná o částku stanovenou otci. Částky jsou v průměru nižší než částky stanovené pouze otcům, protože dítě má v tomto případě zajištěn příjem od obou rodičů.</w:t>
      </w:r>
    </w:p>
    <w:p w14:paraId="3FB265E5" w14:textId="154463E0" w:rsidR="008430BD" w:rsidRPr="001C3EC8" w:rsidRDefault="008430BD" w:rsidP="008430BD">
      <w:pPr>
        <w:pStyle w:val="OdstavecASR"/>
        <w:rPr>
          <w:color w:val="000000" w:themeColor="text1"/>
        </w:rPr>
      </w:pPr>
      <w:r w:rsidRPr="001C3EC8">
        <w:rPr>
          <w:color w:val="000000" w:themeColor="text1"/>
        </w:rPr>
        <w:t xml:space="preserve">V grafech vidíme, že průměrná stanovená částka výživného na jedno dítě roste, podíl stanoveného výživného na čistém měsíčním příjmu povinné osoby přitom klesá. To lze vysvětlit zlepšující se ekonomickou situací v ČR a zvyšováním příjmů nejen povinných osob. Například </w:t>
      </w:r>
      <w:r w:rsidR="00CD2266" w:rsidRPr="001C3EC8">
        <w:rPr>
          <w:color w:val="000000" w:themeColor="text1"/>
        </w:rPr>
        <w:t>u</w:t>
      </w:r>
      <w:r w:rsidR="00CD2266">
        <w:rPr>
          <w:color w:val="000000" w:themeColor="text1"/>
        </w:rPr>
        <w:t> </w:t>
      </w:r>
      <w:r w:rsidRPr="001C3EC8">
        <w:rPr>
          <w:color w:val="000000" w:themeColor="text1"/>
        </w:rPr>
        <w:t>povinnost</w:t>
      </w:r>
      <w:r w:rsidR="00B611CD" w:rsidRPr="001C3EC8">
        <w:rPr>
          <w:color w:val="000000" w:themeColor="text1"/>
        </w:rPr>
        <w:t>i</w:t>
      </w:r>
      <w:r w:rsidRPr="001C3EC8">
        <w:rPr>
          <w:color w:val="000000" w:themeColor="text1"/>
        </w:rPr>
        <w:t xml:space="preserve"> stanovené otci vzrostla částka z 2 526 Kč na 3 626 Kč, tedy přesně </w:t>
      </w:r>
      <w:r w:rsidR="00CD2266" w:rsidRPr="001C3EC8">
        <w:rPr>
          <w:color w:val="000000" w:themeColor="text1"/>
        </w:rPr>
        <w:t>o</w:t>
      </w:r>
      <w:r w:rsidR="00CD2266">
        <w:rPr>
          <w:color w:val="000000" w:themeColor="text1"/>
        </w:rPr>
        <w:t> </w:t>
      </w:r>
      <w:r w:rsidRPr="001C3EC8">
        <w:rPr>
          <w:color w:val="000000" w:themeColor="text1"/>
        </w:rPr>
        <w:t>1</w:t>
      </w:r>
      <w:r w:rsidR="00CD2266">
        <w:rPr>
          <w:color w:val="000000" w:themeColor="text1"/>
        </w:rPr>
        <w:t> </w:t>
      </w:r>
      <w:r w:rsidRPr="001C3EC8">
        <w:rPr>
          <w:color w:val="000000" w:themeColor="text1"/>
        </w:rPr>
        <w:t>100 korun (</w:t>
      </w:r>
      <w:r w:rsidR="00CD2266" w:rsidRPr="001C3EC8">
        <w:rPr>
          <w:color w:val="000000" w:themeColor="text1"/>
        </w:rPr>
        <w:t>o</w:t>
      </w:r>
      <w:r w:rsidR="00CD2266">
        <w:rPr>
          <w:color w:val="000000" w:themeColor="text1"/>
        </w:rPr>
        <w:t> </w:t>
      </w:r>
      <w:r w:rsidRPr="001C3EC8">
        <w:rPr>
          <w:color w:val="000000" w:themeColor="text1"/>
        </w:rPr>
        <w:t xml:space="preserve">44 %). Na trendu nic nezměnila ani pandemie </w:t>
      </w:r>
      <w:r w:rsidR="000C3B1E">
        <w:rPr>
          <w:color w:val="000000" w:themeColor="text1"/>
        </w:rPr>
        <w:t>COVID</w:t>
      </w:r>
      <w:r w:rsidR="000C3B1E">
        <w:rPr>
          <w:color w:val="000000" w:themeColor="text1"/>
        </w:rPr>
        <w:noBreakHyphen/>
        <w:t>19</w:t>
      </w:r>
      <w:r w:rsidRPr="001C3EC8">
        <w:rPr>
          <w:color w:val="000000" w:themeColor="text1"/>
        </w:rPr>
        <w:t>. Je nicméně možné, že se projeví až v datech v roce 2021.</w:t>
      </w:r>
    </w:p>
    <w:p w14:paraId="7127A805" w14:textId="14830DA8" w:rsidR="00F66F3C" w:rsidRPr="001C3EC8" w:rsidRDefault="00F66F3C" w:rsidP="008430BD">
      <w:pPr>
        <w:pStyle w:val="OdstavecASR"/>
        <w:rPr>
          <w:b/>
          <w:color w:val="000000" w:themeColor="text1"/>
        </w:rPr>
      </w:pPr>
      <w:r w:rsidRPr="001C3EC8">
        <w:rPr>
          <w:b/>
          <w:color w:val="000000" w:themeColor="text1"/>
        </w:rPr>
        <w:t>Svěřování do péče</w:t>
      </w:r>
    </w:p>
    <w:p w14:paraId="39FBDBE2" w14:textId="49724812" w:rsidR="008430BD" w:rsidRPr="001C3EC8" w:rsidRDefault="008430BD" w:rsidP="008430BD">
      <w:pPr>
        <w:pStyle w:val="OdstavecASR"/>
        <w:rPr>
          <w:color w:val="000000" w:themeColor="text1"/>
        </w:rPr>
      </w:pPr>
      <w:r w:rsidRPr="001C3EC8">
        <w:rPr>
          <w:color w:val="000000" w:themeColor="text1"/>
        </w:rPr>
        <w:t xml:space="preserve">Plošný graf (viz seznam pojmů) dále zachycuje statistiku, která úzce souvisí s rozhodováním o výživném, totiž to, jak často je dítě svěřeno do péče matce, otci, jiné fyzické osobě či oběma rodičům do společné nebo střídavé péče. </w:t>
      </w:r>
      <w:r w:rsidR="00CD2266" w:rsidRPr="001C3EC8">
        <w:rPr>
          <w:color w:val="000000" w:themeColor="text1"/>
        </w:rPr>
        <w:t>V</w:t>
      </w:r>
      <w:r w:rsidR="00CD2266">
        <w:rPr>
          <w:color w:val="000000" w:themeColor="text1"/>
        </w:rPr>
        <w:t> </w:t>
      </w:r>
      <w:r w:rsidRPr="001C3EC8">
        <w:rPr>
          <w:color w:val="000000" w:themeColor="text1"/>
        </w:rPr>
        <w:t>necelých 80 % případů svěřil soud dítě do péče matce. Vidíme ovšem, že podíl tohoto tradičního modelu postupně pozvolna klesá ve prospěch alternativních řešení. K tomuto trendu přispívá zřejmě nejen judikatura českého Ústavního soudu; můžeme se domnívat, že ke změně rozhodovací praxe může přispívat i celospolečenské klima, odborné diskuse o rozhodování o dětech na mezinárodní úrovni a další faktory.</w:t>
      </w:r>
    </w:p>
    <w:p w14:paraId="267691B0" w14:textId="77777777" w:rsidR="00B07E76" w:rsidRDefault="008430BD" w:rsidP="008430BD">
      <w:pPr>
        <w:pStyle w:val="OdstavecASR"/>
        <w:rPr>
          <w:color w:val="000000" w:themeColor="text1"/>
        </w:rPr>
      </w:pPr>
      <w:r w:rsidRPr="001C3EC8">
        <w:rPr>
          <w:color w:val="000000" w:themeColor="text1"/>
        </w:rPr>
        <w:t>V řeči konkrétních čísel podíl případů, kdy soud svěřil dítě do péče matce, klesl z 86,6 % v roce 2012 na 74,9 % v roce 2020. Podíl případů, kdy bylo dítě do péče svěřeno oběma rodičům, se výrazně zvýšil z 5,2 % v roce 2012 na 17,0 % v roce 2020, tedy na více než trojnásobek.</w:t>
      </w:r>
    </w:p>
    <w:p w14:paraId="43716360" w14:textId="150F3BCC" w:rsidR="008430BD" w:rsidRPr="001C3EC8" w:rsidRDefault="008430BD" w:rsidP="008430BD">
      <w:pPr>
        <w:pStyle w:val="OdstavecASR"/>
        <w:rPr>
          <w:color w:val="000000" w:themeColor="text1"/>
        </w:rPr>
      </w:pPr>
      <w:r w:rsidRPr="001C3EC8">
        <w:rPr>
          <w:color w:val="000000" w:themeColor="text1"/>
        </w:rPr>
        <w:lastRenderedPageBreak/>
        <w:t>Od roku 2014 jsou k dispozici také o něco podrobnější data. U svěření dítěte do péče obou rodičů se rozlišuje, jestli se jednalo o péči střídavou nebo o péči společnou. Data ukazují, že svěření do střídavé péče je častější a že frekvence využití roste jak u střídavé péče, tak i </w:t>
      </w:r>
      <w:r w:rsidR="00CD2266" w:rsidRPr="001C3EC8">
        <w:rPr>
          <w:color w:val="000000" w:themeColor="text1"/>
        </w:rPr>
        <w:t>u</w:t>
      </w:r>
      <w:r w:rsidR="00CD2266">
        <w:rPr>
          <w:color w:val="000000" w:themeColor="text1"/>
        </w:rPr>
        <w:t> </w:t>
      </w:r>
      <w:r w:rsidRPr="001C3EC8">
        <w:rPr>
          <w:color w:val="000000" w:themeColor="text1"/>
        </w:rPr>
        <w:t>péče společné.</w:t>
      </w:r>
    </w:p>
    <w:p w14:paraId="6FFE2759" w14:textId="65935BE3" w:rsidR="008430BD" w:rsidRPr="001C3EC8" w:rsidRDefault="008430BD" w:rsidP="008430BD">
      <w:pPr>
        <w:pStyle w:val="Podnadpis"/>
        <w:rPr>
          <w:color w:val="000000" w:themeColor="text1"/>
        </w:rPr>
      </w:pPr>
      <w:bookmarkStart w:id="341" w:name="_Toc515871374"/>
      <w:bookmarkStart w:id="342" w:name="_Toc11135105"/>
      <w:bookmarkStart w:id="343" w:name="_Toc43841424"/>
      <w:bookmarkStart w:id="344" w:name="_Toc7595222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48</w:t>
      </w:r>
      <w:r w:rsidRPr="001C3EC8">
        <w:rPr>
          <w:noProof/>
          <w:color w:val="000000" w:themeColor="text1"/>
        </w:rPr>
        <w:fldChar w:fldCharType="end"/>
      </w:r>
      <w:r w:rsidRPr="001C3EC8">
        <w:rPr>
          <w:color w:val="000000" w:themeColor="text1"/>
        </w:rPr>
        <w:t>: OS – svěřování dítěte do péče</w:t>
      </w:r>
      <w:bookmarkEnd w:id="341"/>
      <w:bookmarkEnd w:id="342"/>
      <w:bookmarkEnd w:id="343"/>
      <w:bookmarkEnd w:id="344"/>
    </w:p>
    <w:p w14:paraId="04387A7F"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2DF5F217" wp14:editId="4F551573">
            <wp:extent cx="5115560" cy="3743960"/>
            <wp:effectExtent l="0" t="0" r="0" b="889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275DC9C" w14:textId="48AE787C" w:rsidR="00F66F3C" w:rsidRPr="001C3EC8" w:rsidRDefault="00F66F3C" w:rsidP="008430BD">
      <w:pPr>
        <w:pStyle w:val="OdstavecASR"/>
        <w:rPr>
          <w:b/>
          <w:color w:val="000000" w:themeColor="text1"/>
        </w:rPr>
      </w:pPr>
      <w:r w:rsidRPr="001C3EC8">
        <w:rPr>
          <w:b/>
          <w:color w:val="000000" w:themeColor="text1"/>
        </w:rPr>
        <w:t>Věková struktura dětí</w:t>
      </w:r>
    </w:p>
    <w:p w14:paraId="05C002AD" w14:textId="361346DF" w:rsidR="008430BD" w:rsidRPr="001C3EC8" w:rsidRDefault="008430BD" w:rsidP="008430BD">
      <w:pPr>
        <w:pStyle w:val="OdstavecASR"/>
        <w:rPr>
          <w:color w:val="000000" w:themeColor="text1"/>
        </w:rPr>
      </w:pPr>
      <w:r w:rsidRPr="001C3EC8">
        <w:rPr>
          <w:color w:val="000000" w:themeColor="text1"/>
        </w:rPr>
        <w:t xml:space="preserve">Poslední graf v této podkapitole se zabývá věkovou strukturou dětí, u nichž proběhlo řízení o péči o nezletilé. Průhledné sloupce zobrazují věkovou strukturu dětí, u kterých došlo k prvnímu rozhodnutí o svěření do péče. Jedná se o data vztahující se ke stejné skupině věcí jako graf výše. </w:t>
      </w:r>
      <w:r w:rsidR="00E93C1B" w:rsidRPr="001C3EC8">
        <w:rPr>
          <w:color w:val="000000" w:themeColor="text1"/>
        </w:rPr>
        <w:t xml:space="preserve">Fialové </w:t>
      </w:r>
      <w:r w:rsidRPr="001C3EC8">
        <w:rPr>
          <w:color w:val="000000" w:themeColor="text1"/>
        </w:rPr>
        <w:t>sloupce ukazují věkovou strukturu dětí, u nichž bylo rozhodnuto o péči o dítě pouze v případě, kdy dojde k rozvodu rodičů.</w:t>
      </w:r>
    </w:p>
    <w:p w14:paraId="32336497" w14:textId="77777777" w:rsidR="008430BD" w:rsidRPr="001C3EC8" w:rsidRDefault="008430BD" w:rsidP="008430BD">
      <w:pPr>
        <w:pStyle w:val="OdstavecASR"/>
        <w:rPr>
          <w:color w:val="000000" w:themeColor="text1"/>
        </w:rPr>
      </w:pPr>
      <w:r w:rsidRPr="001C3EC8">
        <w:rPr>
          <w:color w:val="000000" w:themeColor="text1"/>
        </w:rPr>
        <w:t>Na histogramu je vidět zcela jasný rozdíl mezi oběma skupinami. Věk dítěte při rozhodování o péči v případě rozvodu je celkem logicky výrazně vyšší. U prvního rozhodnutí obecně jsou děti nejčastěji ve věku od 1 do 5 let. U rozhodnutí v případě rozvodu je nejvíce dětí ve věku 7 až 10 let. Toto rozložení se celkem logicky mezi kalendářními roky nemění.</w:t>
      </w:r>
    </w:p>
    <w:p w14:paraId="78A6C21A" w14:textId="77777777" w:rsidR="008430BD" w:rsidRPr="001C3EC8" w:rsidRDefault="008430BD" w:rsidP="008430BD">
      <w:pPr>
        <w:spacing w:line="240" w:lineRule="auto"/>
        <w:jc w:val="left"/>
        <w:rPr>
          <w:color w:val="000000" w:themeColor="text1"/>
        </w:rPr>
      </w:pPr>
    </w:p>
    <w:p w14:paraId="30716A10" w14:textId="41743AB2" w:rsidR="008430BD" w:rsidRPr="001C3EC8" w:rsidRDefault="008430BD" w:rsidP="008430BD">
      <w:pPr>
        <w:pStyle w:val="Podnadpis"/>
        <w:rPr>
          <w:color w:val="000000" w:themeColor="text1"/>
        </w:rPr>
      </w:pPr>
      <w:bookmarkStart w:id="345" w:name="_Toc515871375"/>
      <w:bookmarkStart w:id="346" w:name="_Toc11135106"/>
      <w:bookmarkStart w:id="347" w:name="_Toc43841425"/>
      <w:bookmarkStart w:id="348" w:name="_Toc75952229"/>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49</w:t>
      </w:r>
      <w:r w:rsidRPr="001C3EC8">
        <w:rPr>
          <w:noProof/>
          <w:color w:val="000000" w:themeColor="text1"/>
        </w:rPr>
        <w:fldChar w:fldCharType="end"/>
      </w:r>
      <w:r w:rsidRPr="001C3EC8">
        <w:rPr>
          <w:color w:val="000000" w:themeColor="text1"/>
        </w:rPr>
        <w:t>: OS – věkové složení dětí v řízení o péči o nezletilé</w:t>
      </w:r>
      <w:bookmarkEnd w:id="345"/>
      <w:bookmarkEnd w:id="346"/>
      <w:bookmarkEnd w:id="347"/>
      <w:bookmarkEnd w:id="348"/>
    </w:p>
    <w:p w14:paraId="09FEC327"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0E24C65B" wp14:editId="33DA41EA">
            <wp:extent cx="5115560" cy="3743960"/>
            <wp:effectExtent l="0" t="0" r="0" b="889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15560" cy="3743960"/>
                    </a:xfrm>
                    <a:prstGeom prst="rect">
                      <a:avLst/>
                    </a:prstGeom>
                    <a:noFill/>
                    <a:ln>
                      <a:noFill/>
                    </a:ln>
                  </pic:spPr>
                </pic:pic>
              </a:graphicData>
            </a:graphic>
          </wp:inline>
        </w:drawing>
      </w:r>
    </w:p>
    <w:p w14:paraId="0D9172C2" w14:textId="77777777" w:rsidR="008430BD" w:rsidRPr="001C3EC8" w:rsidRDefault="008430BD" w:rsidP="008430BD">
      <w:pPr>
        <w:spacing w:line="240" w:lineRule="auto"/>
        <w:jc w:val="left"/>
        <w:rPr>
          <w:color w:val="000000" w:themeColor="text1"/>
        </w:rPr>
      </w:pPr>
    </w:p>
    <w:p w14:paraId="31174ABD" w14:textId="414D250E" w:rsidR="00B07E76" w:rsidRDefault="008430BD" w:rsidP="008430BD">
      <w:pPr>
        <w:pStyle w:val="OdstavecASR"/>
        <w:rPr>
          <w:color w:val="000000" w:themeColor="text1"/>
        </w:rPr>
      </w:pPr>
      <w:r w:rsidRPr="001C3EC8">
        <w:rPr>
          <w:color w:val="000000" w:themeColor="text1"/>
        </w:rPr>
        <w:t xml:space="preserve">Stejně jako v rejstříku C </w:t>
      </w:r>
      <w:r w:rsidR="00CD2266" w:rsidRPr="001C3EC8">
        <w:rPr>
          <w:color w:val="000000" w:themeColor="text1"/>
        </w:rPr>
        <w:t>a</w:t>
      </w:r>
      <w:r w:rsidR="00CD2266">
        <w:rPr>
          <w:color w:val="000000" w:themeColor="text1"/>
        </w:rPr>
        <w:t> </w:t>
      </w:r>
      <w:r w:rsidRPr="001C3EC8">
        <w:rPr>
          <w:color w:val="000000" w:themeColor="text1"/>
        </w:rPr>
        <w:t xml:space="preserve">rejstříku T </w:t>
      </w:r>
      <w:r w:rsidR="0063449F" w:rsidRPr="001C3EC8">
        <w:rPr>
          <w:color w:val="000000" w:themeColor="text1"/>
        </w:rPr>
        <w:t xml:space="preserve">zde uvádíme </w:t>
      </w:r>
      <w:r w:rsidRPr="001C3EC8">
        <w:rPr>
          <w:color w:val="000000" w:themeColor="text1"/>
        </w:rPr>
        <w:t>přepoč</w:t>
      </w:r>
      <w:r w:rsidR="0063449F" w:rsidRPr="001C3EC8">
        <w:rPr>
          <w:color w:val="000000" w:themeColor="text1"/>
        </w:rPr>
        <w:t>et</w:t>
      </w:r>
      <w:r w:rsidRPr="001C3EC8">
        <w:rPr>
          <w:color w:val="000000" w:themeColor="text1"/>
        </w:rPr>
        <w:t xml:space="preserve"> věcí na </w:t>
      </w:r>
      <w:r w:rsidR="00CD2266" w:rsidRPr="001C3EC8">
        <w:rPr>
          <w:color w:val="000000" w:themeColor="text1"/>
        </w:rPr>
        <w:t>1</w:t>
      </w:r>
      <w:r w:rsidR="00CD2266">
        <w:rPr>
          <w:color w:val="000000" w:themeColor="text1"/>
        </w:rPr>
        <w:t> </w:t>
      </w:r>
      <w:r w:rsidRPr="001C3EC8">
        <w:rPr>
          <w:color w:val="000000" w:themeColor="text1"/>
        </w:rPr>
        <w:t>000 obyvatel.</w:t>
      </w:r>
      <w:r w:rsidR="00E10CA4">
        <w:rPr>
          <w:color w:val="000000" w:themeColor="text1"/>
        </w:rPr>
        <w:t xml:space="preserve"> </w:t>
      </w:r>
      <w:r w:rsidRPr="001C3EC8">
        <w:rPr>
          <w:color w:val="000000" w:themeColor="text1"/>
        </w:rPr>
        <w:t xml:space="preserve">Údaje jsou </w:t>
      </w:r>
      <w:r w:rsidR="0063449F" w:rsidRPr="001C3EC8">
        <w:rPr>
          <w:color w:val="000000" w:themeColor="text1"/>
        </w:rPr>
        <w:t xml:space="preserve">uvedeny </w:t>
      </w:r>
      <w:r w:rsidRPr="001C3EC8">
        <w:rPr>
          <w:color w:val="000000" w:themeColor="text1"/>
        </w:rPr>
        <w:t>v tabulce níže.</w:t>
      </w:r>
    </w:p>
    <w:p w14:paraId="420CBFEB" w14:textId="2DBFC5E2" w:rsidR="008430BD" w:rsidRPr="001C3EC8" w:rsidRDefault="008430BD" w:rsidP="008430BD">
      <w:pPr>
        <w:pStyle w:val="Podnadpis"/>
        <w:rPr>
          <w:color w:val="000000" w:themeColor="text1"/>
        </w:rPr>
      </w:pPr>
      <w:bookmarkStart w:id="349" w:name="_Toc75952337"/>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34</w:t>
      </w:r>
      <w:r w:rsidRPr="001C3EC8">
        <w:rPr>
          <w:noProof/>
          <w:color w:val="000000" w:themeColor="text1"/>
        </w:rPr>
        <w:fldChar w:fldCharType="end"/>
      </w:r>
      <w:r w:rsidRPr="001C3EC8">
        <w:rPr>
          <w:color w:val="000000" w:themeColor="text1"/>
        </w:rPr>
        <w:t xml:space="preserve">: OS – nápad </w:t>
      </w:r>
      <w:r w:rsidR="00DD6ED9" w:rsidRPr="001C3EC8">
        <w:rPr>
          <w:color w:val="000000" w:themeColor="text1"/>
        </w:rPr>
        <w:t>opatrovnických</w:t>
      </w:r>
      <w:r w:rsidRPr="001C3EC8">
        <w:rPr>
          <w:color w:val="000000" w:themeColor="text1"/>
        </w:rPr>
        <w:t xml:space="preserve"> věcí na 1 000 obyvatel</w:t>
      </w:r>
      <w:bookmarkEnd w:id="349"/>
    </w:p>
    <w:tbl>
      <w:tblPr>
        <w:tblW w:w="7880" w:type="dxa"/>
        <w:tblCellMar>
          <w:left w:w="70" w:type="dxa"/>
          <w:right w:w="70" w:type="dxa"/>
        </w:tblCellMar>
        <w:tblLook w:val="04A0" w:firstRow="1" w:lastRow="0" w:firstColumn="1" w:lastColumn="0" w:noHBand="0" w:noVBand="1"/>
      </w:tblPr>
      <w:tblGrid>
        <w:gridCol w:w="1820"/>
        <w:gridCol w:w="2020"/>
        <w:gridCol w:w="2020"/>
        <w:gridCol w:w="2020"/>
      </w:tblGrid>
      <w:tr w:rsidR="008430BD" w:rsidRPr="001C3EC8" w14:paraId="7A853E56" w14:textId="77777777" w:rsidTr="00E077F3">
        <w:trPr>
          <w:trHeight w:val="660"/>
        </w:trPr>
        <w:tc>
          <w:tcPr>
            <w:tcW w:w="1820" w:type="dxa"/>
            <w:tcBorders>
              <w:top w:val="double" w:sz="6" w:space="0" w:color="auto"/>
              <w:left w:val="nil"/>
              <w:bottom w:val="double" w:sz="6" w:space="0" w:color="auto"/>
              <w:right w:val="nil"/>
            </w:tcBorders>
            <w:shd w:val="clear" w:color="auto" w:fill="auto"/>
            <w:noWrap/>
            <w:vAlign w:val="center"/>
            <w:hideMark/>
          </w:tcPr>
          <w:p w14:paraId="7E2B6C6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020" w:type="dxa"/>
            <w:tcBorders>
              <w:top w:val="double" w:sz="6" w:space="0" w:color="auto"/>
              <w:left w:val="nil"/>
              <w:bottom w:val="double" w:sz="6" w:space="0" w:color="auto"/>
              <w:right w:val="nil"/>
            </w:tcBorders>
            <w:shd w:val="clear" w:color="auto" w:fill="auto"/>
            <w:noWrap/>
            <w:vAlign w:val="center"/>
            <w:hideMark/>
          </w:tcPr>
          <w:p w14:paraId="62EB1AB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obyvatel</w:t>
            </w:r>
          </w:p>
        </w:tc>
        <w:tc>
          <w:tcPr>
            <w:tcW w:w="2020" w:type="dxa"/>
            <w:tcBorders>
              <w:top w:val="double" w:sz="6" w:space="0" w:color="auto"/>
              <w:left w:val="nil"/>
              <w:bottom w:val="double" w:sz="6" w:space="0" w:color="auto"/>
              <w:right w:val="nil"/>
            </w:tcBorders>
            <w:shd w:val="clear" w:color="auto" w:fill="auto"/>
            <w:noWrap/>
            <w:vAlign w:val="center"/>
            <w:hideMark/>
          </w:tcPr>
          <w:p w14:paraId="706DA4C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w:t>
            </w:r>
          </w:p>
        </w:tc>
        <w:tc>
          <w:tcPr>
            <w:tcW w:w="2020" w:type="dxa"/>
            <w:tcBorders>
              <w:top w:val="double" w:sz="6" w:space="0" w:color="auto"/>
              <w:left w:val="nil"/>
              <w:bottom w:val="double" w:sz="6" w:space="0" w:color="auto"/>
              <w:right w:val="nil"/>
            </w:tcBorders>
            <w:shd w:val="clear" w:color="auto" w:fill="auto"/>
            <w:vAlign w:val="center"/>
            <w:hideMark/>
          </w:tcPr>
          <w:p w14:paraId="3957DB4F" w14:textId="669B541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Nápad/1</w:t>
            </w:r>
            <w:r w:rsidR="00B4248B">
              <w:rPr>
                <w:rFonts w:eastAsia="Times New Roman"/>
                <w:b/>
                <w:bCs/>
                <w:color w:val="000000" w:themeColor="text1"/>
                <w:szCs w:val="24"/>
                <w:lang w:eastAsia="cs-CZ"/>
              </w:rPr>
              <w:t> </w:t>
            </w:r>
            <w:r w:rsidRPr="001C3EC8">
              <w:rPr>
                <w:rFonts w:eastAsia="Times New Roman"/>
                <w:b/>
                <w:bCs/>
                <w:color w:val="000000" w:themeColor="text1"/>
                <w:szCs w:val="24"/>
                <w:lang w:eastAsia="cs-CZ"/>
              </w:rPr>
              <w:t>000 obyvatel</w:t>
            </w:r>
          </w:p>
        </w:tc>
      </w:tr>
      <w:tr w:rsidR="008430BD" w:rsidRPr="001C3EC8" w14:paraId="5F6191BD" w14:textId="77777777" w:rsidTr="00E077F3">
        <w:trPr>
          <w:trHeight w:val="330"/>
        </w:trPr>
        <w:tc>
          <w:tcPr>
            <w:tcW w:w="1820" w:type="dxa"/>
            <w:tcBorders>
              <w:top w:val="nil"/>
              <w:left w:val="nil"/>
              <w:bottom w:val="single" w:sz="4" w:space="0" w:color="auto"/>
              <w:right w:val="nil"/>
            </w:tcBorders>
            <w:shd w:val="clear" w:color="auto" w:fill="auto"/>
            <w:noWrap/>
            <w:vAlign w:val="bottom"/>
            <w:hideMark/>
          </w:tcPr>
          <w:p w14:paraId="64B564D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2020" w:type="dxa"/>
            <w:tcBorders>
              <w:top w:val="nil"/>
              <w:left w:val="nil"/>
              <w:bottom w:val="single" w:sz="4" w:space="0" w:color="auto"/>
              <w:right w:val="nil"/>
            </w:tcBorders>
            <w:shd w:val="clear" w:color="auto" w:fill="auto"/>
            <w:noWrap/>
            <w:vAlign w:val="bottom"/>
            <w:hideMark/>
          </w:tcPr>
          <w:p w14:paraId="1DEBB4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1 324 277</w:t>
            </w:r>
          </w:p>
        </w:tc>
        <w:tc>
          <w:tcPr>
            <w:tcW w:w="2020" w:type="dxa"/>
            <w:tcBorders>
              <w:top w:val="single" w:sz="4" w:space="0" w:color="auto"/>
              <w:left w:val="nil"/>
              <w:bottom w:val="single" w:sz="4" w:space="0" w:color="auto"/>
              <w:right w:val="nil"/>
            </w:tcBorders>
            <w:shd w:val="clear" w:color="auto" w:fill="auto"/>
            <w:noWrap/>
            <w:vAlign w:val="bottom"/>
            <w:hideMark/>
          </w:tcPr>
          <w:p w14:paraId="766A05C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14 163</w:t>
            </w:r>
          </w:p>
        </w:tc>
        <w:tc>
          <w:tcPr>
            <w:tcW w:w="2020" w:type="dxa"/>
            <w:tcBorders>
              <w:top w:val="nil"/>
              <w:left w:val="nil"/>
              <w:bottom w:val="single" w:sz="4" w:space="0" w:color="auto"/>
              <w:right w:val="nil"/>
            </w:tcBorders>
            <w:shd w:val="clear" w:color="auto" w:fill="auto"/>
            <w:noWrap/>
            <w:vAlign w:val="bottom"/>
            <w:hideMark/>
          </w:tcPr>
          <w:p w14:paraId="5C6D123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r>
      <w:tr w:rsidR="008430BD" w:rsidRPr="001C3EC8" w14:paraId="7E74D6D7"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3D20E8D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2020" w:type="dxa"/>
            <w:tcBorders>
              <w:top w:val="nil"/>
              <w:left w:val="nil"/>
              <w:bottom w:val="single" w:sz="4" w:space="0" w:color="auto"/>
              <w:right w:val="nil"/>
            </w:tcBorders>
            <w:shd w:val="clear" w:color="auto" w:fill="auto"/>
            <w:noWrap/>
            <w:vAlign w:val="bottom"/>
            <w:hideMark/>
          </w:tcPr>
          <w:p w14:paraId="32921AA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1 385 141</w:t>
            </w:r>
          </w:p>
        </w:tc>
        <w:tc>
          <w:tcPr>
            <w:tcW w:w="2020" w:type="dxa"/>
            <w:tcBorders>
              <w:top w:val="nil"/>
              <w:left w:val="nil"/>
              <w:bottom w:val="single" w:sz="4" w:space="0" w:color="auto"/>
              <w:right w:val="nil"/>
            </w:tcBorders>
            <w:shd w:val="clear" w:color="auto" w:fill="auto"/>
            <w:noWrap/>
            <w:vAlign w:val="bottom"/>
            <w:hideMark/>
          </w:tcPr>
          <w:p w14:paraId="2A159D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18 291</w:t>
            </w:r>
          </w:p>
        </w:tc>
        <w:tc>
          <w:tcPr>
            <w:tcW w:w="2020" w:type="dxa"/>
            <w:tcBorders>
              <w:top w:val="nil"/>
              <w:left w:val="nil"/>
              <w:bottom w:val="single" w:sz="4" w:space="0" w:color="auto"/>
              <w:right w:val="nil"/>
            </w:tcBorders>
            <w:shd w:val="clear" w:color="auto" w:fill="auto"/>
            <w:noWrap/>
            <w:vAlign w:val="bottom"/>
            <w:hideMark/>
          </w:tcPr>
          <w:p w14:paraId="1A59B4A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13,2</w:t>
            </w:r>
          </w:p>
        </w:tc>
      </w:tr>
      <w:tr w:rsidR="008430BD" w:rsidRPr="001C3EC8" w14:paraId="3B1B95D7"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6362E45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2020" w:type="dxa"/>
            <w:tcBorders>
              <w:top w:val="nil"/>
              <w:left w:val="nil"/>
              <w:bottom w:val="single" w:sz="4" w:space="0" w:color="auto"/>
              <w:right w:val="nil"/>
            </w:tcBorders>
            <w:shd w:val="clear" w:color="auto" w:fill="auto"/>
            <w:noWrap/>
            <w:vAlign w:val="bottom"/>
            <w:hideMark/>
          </w:tcPr>
          <w:p w14:paraId="63DE257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716 385</w:t>
            </w:r>
          </w:p>
        </w:tc>
        <w:tc>
          <w:tcPr>
            <w:tcW w:w="2020" w:type="dxa"/>
            <w:tcBorders>
              <w:top w:val="nil"/>
              <w:left w:val="nil"/>
              <w:bottom w:val="single" w:sz="4" w:space="0" w:color="auto"/>
              <w:right w:val="nil"/>
            </w:tcBorders>
            <w:shd w:val="clear" w:color="auto" w:fill="auto"/>
            <w:noWrap/>
            <w:vAlign w:val="bottom"/>
            <w:hideMark/>
          </w:tcPr>
          <w:p w14:paraId="5C50DE0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8 046</w:t>
            </w:r>
          </w:p>
        </w:tc>
        <w:tc>
          <w:tcPr>
            <w:tcW w:w="2020" w:type="dxa"/>
            <w:tcBorders>
              <w:top w:val="nil"/>
              <w:left w:val="nil"/>
              <w:bottom w:val="single" w:sz="4" w:space="0" w:color="auto"/>
              <w:right w:val="nil"/>
            </w:tcBorders>
            <w:shd w:val="clear" w:color="auto" w:fill="auto"/>
            <w:noWrap/>
            <w:vAlign w:val="bottom"/>
            <w:hideMark/>
          </w:tcPr>
          <w:p w14:paraId="2561FC5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11,2</w:t>
            </w:r>
          </w:p>
        </w:tc>
      </w:tr>
      <w:tr w:rsidR="008430BD" w:rsidRPr="001C3EC8" w14:paraId="59A1B4F3"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2C501DF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2020" w:type="dxa"/>
            <w:tcBorders>
              <w:top w:val="nil"/>
              <w:left w:val="nil"/>
              <w:bottom w:val="single" w:sz="4" w:space="0" w:color="auto"/>
              <w:right w:val="nil"/>
            </w:tcBorders>
            <w:shd w:val="clear" w:color="auto" w:fill="auto"/>
            <w:noWrap/>
            <w:vAlign w:val="bottom"/>
            <w:hideMark/>
          </w:tcPr>
          <w:p w14:paraId="189A63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884 563</w:t>
            </w:r>
          </w:p>
        </w:tc>
        <w:tc>
          <w:tcPr>
            <w:tcW w:w="2020" w:type="dxa"/>
            <w:tcBorders>
              <w:top w:val="nil"/>
              <w:left w:val="nil"/>
              <w:bottom w:val="single" w:sz="4" w:space="0" w:color="auto"/>
              <w:right w:val="nil"/>
            </w:tcBorders>
            <w:shd w:val="clear" w:color="auto" w:fill="auto"/>
            <w:noWrap/>
            <w:vAlign w:val="bottom"/>
            <w:hideMark/>
          </w:tcPr>
          <w:p w14:paraId="75F365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11 295</w:t>
            </w:r>
          </w:p>
        </w:tc>
        <w:tc>
          <w:tcPr>
            <w:tcW w:w="2020" w:type="dxa"/>
            <w:tcBorders>
              <w:top w:val="nil"/>
              <w:left w:val="nil"/>
              <w:bottom w:val="single" w:sz="4" w:space="0" w:color="auto"/>
              <w:right w:val="nil"/>
            </w:tcBorders>
            <w:shd w:val="clear" w:color="auto" w:fill="auto"/>
            <w:noWrap/>
            <w:vAlign w:val="bottom"/>
            <w:hideMark/>
          </w:tcPr>
          <w:p w14:paraId="1589918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12,8</w:t>
            </w:r>
          </w:p>
        </w:tc>
      </w:tr>
      <w:tr w:rsidR="008430BD" w:rsidRPr="001C3EC8" w14:paraId="7F053FB9"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2BA7A93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2020" w:type="dxa"/>
            <w:tcBorders>
              <w:top w:val="nil"/>
              <w:left w:val="nil"/>
              <w:bottom w:val="single" w:sz="4" w:space="0" w:color="auto"/>
              <w:right w:val="nil"/>
            </w:tcBorders>
            <w:shd w:val="clear" w:color="auto" w:fill="auto"/>
            <w:noWrap/>
            <w:vAlign w:val="bottom"/>
            <w:hideMark/>
          </w:tcPr>
          <w:p w14:paraId="5A1476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1 190 558</w:t>
            </w:r>
          </w:p>
        </w:tc>
        <w:tc>
          <w:tcPr>
            <w:tcW w:w="2020" w:type="dxa"/>
            <w:tcBorders>
              <w:top w:val="nil"/>
              <w:left w:val="nil"/>
              <w:bottom w:val="single" w:sz="4" w:space="0" w:color="auto"/>
              <w:right w:val="nil"/>
            </w:tcBorders>
            <w:shd w:val="clear" w:color="auto" w:fill="auto"/>
            <w:noWrap/>
            <w:vAlign w:val="bottom"/>
            <w:hideMark/>
          </w:tcPr>
          <w:p w14:paraId="5E17E6C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16 187</w:t>
            </w:r>
          </w:p>
        </w:tc>
        <w:tc>
          <w:tcPr>
            <w:tcW w:w="2020" w:type="dxa"/>
            <w:tcBorders>
              <w:top w:val="nil"/>
              <w:left w:val="nil"/>
              <w:bottom w:val="single" w:sz="4" w:space="0" w:color="auto"/>
              <w:right w:val="nil"/>
            </w:tcBorders>
            <w:shd w:val="clear" w:color="auto" w:fill="auto"/>
            <w:noWrap/>
            <w:vAlign w:val="bottom"/>
            <w:hideMark/>
          </w:tcPr>
          <w:p w14:paraId="55FDA7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13,6</w:t>
            </w:r>
          </w:p>
        </w:tc>
      </w:tr>
      <w:tr w:rsidR="008430BD" w:rsidRPr="001C3EC8" w14:paraId="25C486BC"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076A8C6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2020" w:type="dxa"/>
            <w:tcBorders>
              <w:top w:val="nil"/>
              <w:left w:val="nil"/>
              <w:bottom w:val="single" w:sz="4" w:space="0" w:color="auto"/>
              <w:right w:val="nil"/>
            </w:tcBorders>
            <w:shd w:val="clear" w:color="auto" w:fill="auto"/>
            <w:noWrap/>
            <w:vAlign w:val="bottom"/>
            <w:hideMark/>
          </w:tcPr>
          <w:p w14:paraId="1D9815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1 243 321</w:t>
            </w:r>
          </w:p>
        </w:tc>
        <w:tc>
          <w:tcPr>
            <w:tcW w:w="2020" w:type="dxa"/>
            <w:tcBorders>
              <w:top w:val="nil"/>
              <w:left w:val="nil"/>
              <w:bottom w:val="single" w:sz="4" w:space="0" w:color="auto"/>
              <w:right w:val="nil"/>
            </w:tcBorders>
            <w:shd w:val="clear" w:color="auto" w:fill="auto"/>
            <w:noWrap/>
            <w:vAlign w:val="bottom"/>
            <w:hideMark/>
          </w:tcPr>
          <w:p w14:paraId="6E803B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12 997</w:t>
            </w:r>
          </w:p>
        </w:tc>
        <w:tc>
          <w:tcPr>
            <w:tcW w:w="2020" w:type="dxa"/>
            <w:tcBorders>
              <w:top w:val="nil"/>
              <w:left w:val="nil"/>
              <w:bottom w:val="single" w:sz="4" w:space="0" w:color="auto"/>
              <w:right w:val="nil"/>
            </w:tcBorders>
            <w:shd w:val="clear" w:color="auto" w:fill="auto"/>
            <w:noWrap/>
            <w:vAlign w:val="bottom"/>
            <w:hideMark/>
          </w:tcPr>
          <w:p w14:paraId="487AB02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w:t>
            </w:r>
          </w:p>
        </w:tc>
      </w:tr>
      <w:tr w:rsidR="008430BD" w:rsidRPr="001C3EC8" w14:paraId="579AB0CD"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7F71A77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2020" w:type="dxa"/>
            <w:tcBorders>
              <w:top w:val="nil"/>
              <w:left w:val="nil"/>
              <w:bottom w:val="single" w:sz="4" w:space="0" w:color="auto"/>
              <w:right w:val="nil"/>
            </w:tcBorders>
            <w:shd w:val="clear" w:color="auto" w:fill="auto"/>
            <w:noWrap/>
            <w:vAlign w:val="bottom"/>
            <w:hideMark/>
          </w:tcPr>
          <w:p w14:paraId="4632AA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2 082 452</w:t>
            </w:r>
          </w:p>
        </w:tc>
        <w:tc>
          <w:tcPr>
            <w:tcW w:w="2020" w:type="dxa"/>
            <w:tcBorders>
              <w:top w:val="nil"/>
              <w:left w:val="nil"/>
              <w:bottom w:val="single" w:sz="4" w:space="0" w:color="auto"/>
              <w:right w:val="nil"/>
            </w:tcBorders>
            <w:shd w:val="clear" w:color="auto" w:fill="auto"/>
            <w:noWrap/>
            <w:vAlign w:val="bottom"/>
            <w:hideMark/>
          </w:tcPr>
          <w:p w14:paraId="20B9EBE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17 586</w:t>
            </w:r>
          </w:p>
        </w:tc>
        <w:tc>
          <w:tcPr>
            <w:tcW w:w="2020" w:type="dxa"/>
            <w:tcBorders>
              <w:top w:val="nil"/>
              <w:left w:val="nil"/>
              <w:bottom w:val="single" w:sz="4" w:space="0" w:color="auto"/>
              <w:right w:val="nil"/>
            </w:tcBorders>
            <w:shd w:val="clear" w:color="auto" w:fill="auto"/>
            <w:noWrap/>
            <w:vAlign w:val="bottom"/>
            <w:hideMark/>
          </w:tcPr>
          <w:p w14:paraId="179C05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w:t>
            </w:r>
          </w:p>
        </w:tc>
      </w:tr>
      <w:tr w:rsidR="008430BD" w:rsidRPr="001C3EC8" w14:paraId="2D4EC259" w14:textId="77777777" w:rsidTr="00E077F3">
        <w:trPr>
          <w:trHeight w:val="330"/>
        </w:trPr>
        <w:tc>
          <w:tcPr>
            <w:tcW w:w="1820" w:type="dxa"/>
            <w:tcBorders>
              <w:top w:val="nil"/>
              <w:left w:val="nil"/>
              <w:bottom w:val="double" w:sz="6" w:space="0" w:color="auto"/>
              <w:right w:val="nil"/>
            </w:tcBorders>
            <w:shd w:val="clear" w:color="auto" w:fill="auto"/>
            <w:noWrap/>
            <w:vAlign w:val="bottom"/>
            <w:hideMark/>
          </w:tcPr>
          <w:p w14:paraId="647D926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2020" w:type="dxa"/>
            <w:tcBorders>
              <w:top w:val="nil"/>
              <w:left w:val="nil"/>
              <w:bottom w:val="double" w:sz="6" w:space="0" w:color="auto"/>
              <w:right w:val="nil"/>
            </w:tcBorders>
            <w:shd w:val="clear" w:color="auto" w:fill="auto"/>
            <w:noWrap/>
            <w:vAlign w:val="bottom"/>
            <w:hideMark/>
          </w:tcPr>
          <w:p w14:paraId="40670CE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1 867 242</w:t>
            </w:r>
          </w:p>
        </w:tc>
        <w:tc>
          <w:tcPr>
            <w:tcW w:w="2020" w:type="dxa"/>
            <w:tcBorders>
              <w:top w:val="nil"/>
              <w:left w:val="nil"/>
              <w:bottom w:val="double" w:sz="6" w:space="0" w:color="auto"/>
              <w:right w:val="nil"/>
            </w:tcBorders>
            <w:shd w:val="clear" w:color="auto" w:fill="auto"/>
            <w:noWrap/>
            <w:vAlign w:val="bottom"/>
            <w:hideMark/>
          </w:tcPr>
          <w:p w14:paraId="4C67DC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21 245</w:t>
            </w:r>
          </w:p>
        </w:tc>
        <w:tc>
          <w:tcPr>
            <w:tcW w:w="2020" w:type="dxa"/>
            <w:tcBorders>
              <w:top w:val="nil"/>
              <w:left w:val="nil"/>
              <w:bottom w:val="double" w:sz="6" w:space="0" w:color="auto"/>
              <w:right w:val="nil"/>
            </w:tcBorders>
            <w:shd w:val="clear" w:color="auto" w:fill="auto"/>
            <w:noWrap/>
            <w:vAlign w:val="bottom"/>
            <w:hideMark/>
          </w:tcPr>
          <w:p w14:paraId="4776A2C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w:t>
            </w:r>
          </w:p>
        </w:tc>
      </w:tr>
      <w:tr w:rsidR="008430BD" w:rsidRPr="001C3EC8" w14:paraId="07CF2FF5" w14:textId="77777777" w:rsidTr="00E077F3">
        <w:trPr>
          <w:trHeight w:val="345"/>
        </w:trPr>
        <w:tc>
          <w:tcPr>
            <w:tcW w:w="1820" w:type="dxa"/>
            <w:tcBorders>
              <w:top w:val="nil"/>
              <w:left w:val="nil"/>
              <w:bottom w:val="double" w:sz="6" w:space="0" w:color="auto"/>
              <w:right w:val="nil"/>
            </w:tcBorders>
            <w:shd w:val="clear" w:color="auto" w:fill="auto"/>
            <w:noWrap/>
            <w:vAlign w:val="bottom"/>
            <w:hideMark/>
          </w:tcPr>
          <w:p w14:paraId="418289F4"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2020" w:type="dxa"/>
            <w:tcBorders>
              <w:top w:val="nil"/>
              <w:left w:val="nil"/>
              <w:bottom w:val="double" w:sz="6" w:space="0" w:color="auto"/>
              <w:right w:val="nil"/>
            </w:tcBorders>
            <w:shd w:val="clear" w:color="auto" w:fill="auto"/>
            <w:noWrap/>
            <w:vAlign w:val="bottom"/>
            <w:hideMark/>
          </w:tcPr>
          <w:p w14:paraId="47F3234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10 693 939</w:t>
            </w:r>
          </w:p>
        </w:tc>
        <w:tc>
          <w:tcPr>
            <w:tcW w:w="2020" w:type="dxa"/>
            <w:tcBorders>
              <w:top w:val="nil"/>
              <w:left w:val="nil"/>
              <w:bottom w:val="double" w:sz="6" w:space="0" w:color="auto"/>
              <w:right w:val="nil"/>
            </w:tcBorders>
            <w:shd w:val="clear" w:color="auto" w:fill="auto"/>
            <w:noWrap/>
            <w:vAlign w:val="bottom"/>
            <w:hideMark/>
          </w:tcPr>
          <w:p w14:paraId="559CC86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119 810</w:t>
            </w:r>
          </w:p>
        </w:tc>
        <w:tc>
          <w:tcPr>
            <w:tcW w:w="2020" w:type="dxa"/>
            <w:tcBorders>
              <w:top w:val="nil"/>
              <w:left w:val="nil"/>
              <w:bottom w:val="double" w:sz="6" w:space="0" w:color="auto"/>
              <w:right w:val="nil"/>
            </w:tcBorders>
            <w:shd w:val="clear" w:color="auto" w:fill="auto"/>
            <w:noWrap/>
            <w:vAlign w:val="bottom"/>
            <w:hideMark/>
          </w:tcPr>
          <w:p w14:paraId="7AC2374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11,2</w:t>
            </w:r>
          </w:p>
        </w:tc>
      </w:tr>
    </w:tbl>
    <w:p w14:paraId="326F6E0C" w14:textId="77777777" w:rsidR="008430BD" w:rsidRPr="001C3EC8" w:rsidRDefault="008430BD" w:rsidP="008430BD">
      <w:pPr>
        <w:spacing w:line="240" w:lineRule="auto"/>
        <w:jc w:val="left"/>
        <w:rPr>
          <w:color w:val="000000" w:themeColor="text1"/>
        </w:rPr>
      </w:pPr>
    </w:p>
    <w:p w14:paraId="77DD83FE" w14:textId="61284121" w:rsidR="008430BD" w:rsidRPr="001C3EC8" w:rsidRDefault="008430BD" w:rsidP="008430BD">
      <w:pPr>
        <w:pStyle w:val="OdstavecASR"/>
        <w:rPr>
          <w:color w:val="000000" w:themeColor="text1"/>
        </w:rPr>
      </w:pPr>
      <w:r w:rsidRPr="001C3EC8">
        <w:rPr>
          <w:color w:val="000000" w:themeColor="text1"/>
        </w:rPr>
        <w:t xml:space="preserve">Rozdíly mezi kraji v přepočtu na 1 000 obyvatel jsou menší než například </w:t>
      </w:r>
      <w:r w:rsidR="00CD2266" w:rsidRPr="001C3EC8">
        <w:rPr>
          <w:color w:val="000000" w:themeColor="text1"/>
        </w:rPr>
        <w:t>v</w:t>
      </w:r>
      <w:r w:rsidR="00CD2266">
        <w:rPr>
          <w:color w:val="000000" w:themeColor="text1"/>
        </w:rPr>
        <w:t> </w:t>
      </w:r>
      <w:r w:rsidRPr="001C3EC8">
        <w:rPr>
          <w:color w:val="000000" w:themeColor="text1"/>
        </w:rPr>
        <w:t xml:space="preserve">trestní agendě. Bez </w:t>
      </w:r>
      <w:r w:rsidR="00E93C1B" w:rsidRPr="001C3EC8">
        <w:rPr>
          <w:color w:val="000000" w:themeColor="text1"/>
        </w:rPr>
        <w:t xml:space="preserve">hlubší </w:t>
      </w:r>
      <w:r w:rsidRPr="001C3EC8">
        <w:rPr>
          <w:color w:val="000000" w:themeColor="text1"/>
        </w:rPr>
        <w:t xml:space="preserve">analýzy není </w:t>
      </w:r>
      <w:r w:rsidR="0063449F" w:rsidRPr="001C3EC8">
        <w:rPr>
          <w:color w:val="000000" w:themeColor="text1"/>
        </w:rPr>
        <w:t xml:space="preserve">možné činit kategorické </w:t>
      </w:r>
      <w:r w:rsidRPr="001C3EC8">
        <w:rPr>
          <w:color w:val="000000" w:themeColor="text1"/>
        </w:rPr>
        <w:t>závěry proč</w:t>
      </w:r>
      <w:r w:rsidR="00E93C1B" w:rsidRPr="001C3EC8">
        <w:rPr>
          <w:color w:val="000000" w:themeColor="text1"/>
        </w:rPr>
        <w:t xml:space="preserve"> tomu tak je</w:t>
      </w:r>
      <w:r w:rsidRPr="001C3EC8">
        <w:rPr>
          <w:color w:val="000000" w:themeColor="text1"/>
        </w:rPr>
        <w:t xml:space="preserve">. </w:t>
      </w:r>
      <w:r w:rsidR="00CD2266" w:rsidRPr="001C3EC8">
        <w:rPr>
          <w:color w:val="000000" w:themeColor="text1"/>
        </w:rPr>
        <w:t>U</w:t>
      </w:r>
      <w:r w:rsidR="00CD2266">
        <w:rPr>
          <w:color w:val="000000" w:themeColor="text1"/>
        </w:rPr>
        <w:t> </w:t>
      </w:r>
      <w:r w:rsidRPr="001C3EC8">
        <w:rPr>
          <w:color w:val="000000" w:themeColor="text1"/>
        </w:rPr>
        <w:t xml:space="preserve">Středočeského kraje může </w:t>
      </w:r>
      <w:r w:rsidR="0063449F" w:rsidRPr="001C3EC8">
        <w:rPr>
          <w:color w:val="000000" w:themeColor="text1"/>
        </w:rPr>
        <w:t>nicméně mít vliv skutečnost</w:t>
      </w:r>
      <w:r w:rsidRPr="001C3EC8">
        <w:rPr>
          <w:color w:val="000000" w:themeColor="text1"/>
        </w:rPr>
        <w:t xml:space="preserve">, že v kraji žije relativně více mladých rodin s dětmi. U Severočeského kraje pak může </w:t>
      </w:r>
      <w:r w:rsidR="0063449F" w:rsidRPr="001C3EC8">
        <w:rPr>
          <w:color w:val="000000" w:themeColor="text1"/>
        </w:rPr>
        <w:t xml:space="preserve">výsledek </w:t>
      </w:r>
      <w:r w:rsidRPr="001C3EC8">
        <w:rPr>
          <w:color w:val="000000" w:themeColor="text1"/>
        </w:rPr>
        <w:t xml:space="preserve">plynout ze socioekonomické </w:t>
      </w:r>
      <w:r w:rsidR="00F77DED" w:rsidRPr="001C3EC8">
        <w:rPr>
          <w:color w:val="000000" w:themeColor="text1"/>
        </w:rPr>
        <w:t>situace</w:t>
      </w:r>
      <w:r w:rsidRPr="001C3EC8">
        <w:rPr>
          <w:color w:val="000000" w:themeColor="text1"/>
        </w:rPr>
        <w:t xml:space="preserve"> v kraji. Z jednotlivých okresních soudů mají největší nápad na 1 000 obyvatel OS Ostrava (33,5), OS Zlín (31,6) </w:t>
      </w:r>
      <w:r w:rsidR="00CD2266" w:rsidRPr="001C3EC8">
        <w:rPr>
          <w:color w:val="000000" w:themeColor="text1"/>
        </w:rPr>
        <w:t>a</w:t>
      </w:r>
      <w:r w:rsidR="00CD2266">
        <w:rPr>
          <w:color w:val="000000" w:themeColor="text1"/>
        </w:rPr>
        <w:t> </w:t>
      </w:r>
      <w:r w:rsidRPr="001C3EC8">
        <w:rPr>
          <w:color w:val="000000" w:themeColor="text1"/>
        </w:rPr>
        <w:t xml:space="preserve">OS Ústí nad Orlicí (31,0). Naopak nejméně mají OS </w:t>
      </w:r>
      <w:r w:rsidR="0053190F">
        <w:rPr>
          <w:color w:val="000000" w:themeColor="text1"/>
        </w:rPr>
        <w:t>Plzeň</w:t>
      </w:r>
      <w:r w:rsidR="0053190F">
        <w:rPr>
          <w:color w:val="000000" w:themeColor="text1"/>
        </w:rPr>
        <w:noBreakHyphen/>
      </w:r>
      <w:r w:rsidRPr="001C3EC8">
        <w:rPr>
          <w:color w:val="000000" w:themeColor="text1"/>
        </w:rPr>
        <w:t xml:space="preserve">sever (3,8), OS Kroměříž (4,2) </w:t>
      </w:r>
      <w:r w:rsidR="00CD2266" w:rsidRPr="001C3EC8">
        <w:rPr>
          <w:color w:val="000000" w:themeColor="text1"/>
        </w:rPr>
        <w:t>a</w:t>
      </w:r>
      <w:r w:rsidR="00CD2266">
        <w:rPr>
          <w:color w:val="000000" w:themeColor="text1"/>
        </w:rPr>
        <w:t> </w:t>
      </w:r>
      <w:r w:rsidRPr="001C3EC8">
        <w:rPr>
          <w:color w:val="000000" w:themeColor="text1"/>
        </w:rPr>
        <w:t>OS Tachov (4,4).</w:t>
      </w:r>
      <w:r w:rsidRPr="001C3EC8">
        <w:rPr>
          <w:color w:val="000000" w:themeColor="text1"/>
        </w:rPr>
        <w:br w:type="page"/>
      </w:r>
    </w:p>
    <w:p w14:paraId="081DABFA" w14:textId="77777777" w:rsidR="008430BD" w:rsidRPr="001C3EC8" w:rsidRDefault="008430BD" w:rsidP="008430BD">
      <w:pPr>
        <w:pStyle w:val="Nadpis2"/>
        <w:numPr>
          <w:ilvl w:val="1"/>
          <w:numId w:val="1"/>
        </w:numPr>
        <w:spacing w:before="120"/>
      </w:pPr>
      <w:bookmarkStart w:id="350" w:name="_Toc75952078"/>
      <w:r w:rsidRPr="001C3EC8">
        <w:lastRenderedPageBreak/>
        <w:t>DEA</w:t>
      </w:r>
      <w:bookmarkEnd w:id="350"/>
    </w:p>
    <w:p w14:paraId="755B3D4E" w14:textId="77777777" w:rsidR="008430BD" w:rsidRPr="001C3EC8" w:rsidRDefault="008430BD" w:rsidP="008430BD">
      <w:pPr>
        <w:pStyle w:val="OdstavecASR"/>
        <w:rPr>
          <w:color w:val="000000" w:themeColor="text1"/>
        </w:rPr>
      </w:pPr>
      <w:r w:rsidRPr="001C3EC8">
        <w:rPr>
          <w:color w:val="000000" w:themeColor="text1"/>
        </w:rPr>
        <w:t xml:space="preserve">Jak jsme uvedli již výše, Ministerstvo spravedlnosti sleduje i jiné statistické údaje než ty, které byly zachyceny v předchozích částech této zprávy, a používá i výrazně složitější ukazatele a metody. Velmi dobrým příkladem je tzv. DEA (Data </w:t>
      </w:r>
      <w:proofErr w:type="spellStart"/>
      <w:r w:rsidRPr="001C3EC8">
        <w:rPr>
          <w:color w:val="000000" w:themeColor="text1"/>
        </w:rPr>
        <w:t>Envelopment</w:t>
      </w:r>
      <w:proofErr w:type="spellEnd"/>
      <w:r w:rsidRPr="001C3EC8">
        <w:rPr>
          <w:color w:val="000000" w:themeColor="text1"/>
        </w:rPr>
        <w:t xml:space="preserve"> </w:t>
      </w:r>
      <w:proofErr w:type="spellStart"/>
      <w:r w:rsidRPr="001C3EC8">
        <w:rPr>
          <w:color w:val="000000" w:themeColor="text1"/>
        </w:rPr>
        <w:t>Analysis</w:t>
      </w:r>
      <w:proofErr w:type="spellEnd"/>
      <w:r w:rsidRPr="001C3EC8">
        <w:rPr>
          <w:color w:val="000000" w:themeColor="text1"/>
        </w:rPr>
        <w:t>, analýza obalu dat). Tato kapitola se věnuje právě analýze technické efektivnosti českých soudů pomocí DEA. Dovolujeme si upozornit, že metoda je výrazně složitější než obvykle sledované a publikované údaje, v důsledku čehož se se tato kapitola výrazně liší od ostatních kapitol této zprávy celkovým pojetím, grafickou úpravou i strukturou.</w:t>
      </w:r>
    </w:p>
    <w:p w14:paraId="484BCEF9" w14:textId="77777777" w:rsidR="008430BD" w:rsidRPr="001C3EC8" w:rsidRDefault="008430BD" w:rsidP="008430BD">
      <w:pPr>
        <w:pStyle w:val="OdstavecASR"/>
        <w:rPr>
          <w:color w:val="000000" w:themeColor="text1"/>
        </w:rPr>
      </w:pPr>
      <w:r w:rsidRPr="001C3EC8">
        <w:rPr>
          <w:color w:val="000000" w:themeColor="text1"/>
        </w:rPr>
        <w:t>V samotné kapitole uvádíme pouze výsledky, jejich interpretace a srovnání s rokem 2019. Bližší popis metody (teorie, literatura, metodika, specifikace modelu) naleznete v příloze. Zde vysvětlíme pouze několik pojmů důležitých pro interpretaci výsledků.</w:t>
      </w:r>
    </w:p>
    <w:p w14:paraId="1F500731" w14:textId="77777777" w:rsidR="008430BD" w:rsidRPr="001C3EC8" w:rsidRDefault="008430BD" w:rsidP="008430BD">
      <w:pPr>
        <w:pStyle w:val="OdstavecASR"/>
        <w:rPr>
          <w:color w:val="000000" w:themeColor="text1"/>
        </w:rPr>
      </w:pPr>
      <w:bookmarkStart w:id="351" w:name="_Ref510015479"/>
      <w:bookmarkStart w:id="352" w:name="_Toc515871242"/>
      <w:r w:rsidRPr="001C3EC8">
        <w:rPr>
          <w:color w:val="000000" w:themeColor="text1"/>
        </w:rPr>
        <w:t xml:space="preserve">Hlavním problematickým bodem tohoto typu zkoumání je nalezení vhodného způsobu kvantifikace výstupu a tím definice </w:t>
      </w:r>
      <w:r w:rsidRPr="001C3EC8">
        <w:rPr>
          <w:i/>
          <w:color w:val="000000" w:themeColor="text1"/>
        </w:rPr>
        <w:t>efektivního</w:t>
      </w:r>
      <w:r w:rsidRPr="001C3EC8">
        <w:rPr>
          <w:color w:val="000000" w:themeColor="text1"/>
        </w:rPr>
        <w:t xml:space="preserve"> výstupu: jde jednak o správné zohlednění různé distribuce náročnosti věcí u různých soudů a jednak o zohlednění </w:t>
      </w:r>
      <w:r w:rsidRPr="001C3EC8">
        <w:rPr>
          <w:i/>
          <w:color w:val="000000" w:themeColor="text1"/>
        </w:rPr>
        <w:t>kvality</w:t>
      </w:r>
      <w:r w:rsidRPr="001C3EC8">
        <w:rPr>
          <w:color w:val="000000" w:themeColor="text1"/>
        </w:rPr>
        <w:t xml:space="preserve"> vydávaných rozhodnutí. I přes tuto výhradu jsou ovšem výsledky pro porovnání jednotlivých soudů užitečné a slouží jako základ dalšího zkoumání práce těch soudů, které se výrazně odlišují.</w:t>
      </w:r>
    </w:p>
    <w:p w14:paraId="5C30A962" w14:textId="77777777" w:rsidR="008430BD" w:rsidRPr="001C3EC8" w:rsidRDefault="008430BD" w:rsidP="008430BD">
      <w:pPr>
        <w:pStyle w:val="Nadpis3"/>
        <w:numPr>
          <w:ilvl w:val="2"/>
          <w:numId w:val="1"/>
        </w:numPr>
        <w:rPr>
          <w:color w:val="000000" w:themeColor="text1"/>
        </w:rPr>
      </w:pPr>
      <w:bookmarkStart w:id="353" w:name="_Ref43838090"/>
      <w:bookmarkStart w:id="354" w:name="_Toc75952079"/>
      <w:r w:rsidRPr="001C3EC8">
        <w:rPr>
          <w:color w:val="000000" w:themeColor="text1"/>
        </w:rPr>
        <w:t>Výsledky a jejich interpretace</w:t>
      </w:r>
      <w:bookmarkEnd w:id="351"/>
      <w:bookmarkEnd w:id="352"/>
      <w:bookmarkEnd w:id="353"/>
      <w:bookmarkEnd w:id="354"/>
    </w:p>
    <w:p w14:paraId="51DEF27C" w14:textId="77777777" w:rsidR="008430BD" w:rsidRPr="001C3EC8" w:rsidRDefault="008430BD" w:rsidP="008430BD">
      <w:pPr>
        <w:pStyle w:val="OdstavecASR"/>
        <w:rPr>
          <w:color w:val="000000" w:themeColor="text1"/>
        </w:rPr>
      </w:pPr>
      <w:r w:rsidRPr="001C3EC8">
        <w:rPr>
          <w:color w:val="000000" w:themeColor="text1"/>
        </w:rPr>
        <w:t>Je třeba zdůraznit, že veškeré závěry se týkají</w:t>
      </w:r>
      <w:r w:rsidRPr="001C3EC8">
        <w:rPr>
          <w:b/>
          <w:color w:val="000000" w:themeColor="text1"/>
        </w:rPr>
        <w:t xml:space="preserve"> relativní</w:t>
      </w:r>
      <w:r w:rsidRPr="001C3EC8">
        <w:rPr>
          <w:color w:val="000000" w:themeColor="text1"/>
        </w:rPr>
        <w:t xml:space="preserve"> efektivnosti, </w:t>
      </w:r>
      <w:r w:rsidRPr="001C3EC8">
        <w:rPr>
          <w:b/>
          <w:color w:val="000000" w:themeColor="text1"/>
        </w:rPr>
        <w:t>nikoliv absolutní</w:t>
      </w:r>
      <w:r w:rsidRPr="001C3EC8">
        <w:rPr>
          <w:color w:val="000000" w:themeColor="text1"/>
        </w:rPr>
        <w:t>. Soudy tedy porovnáváme mezi sebou nikoliv s nějakým externím standardem. Hlavní výsledky uvádíme v tabulce 31.</w:t>
      </w:r>
    </w:p>
    <w:p w14:paraId="71096FBD" w14:textId="77777777" w:rsidR="008430BD" w:rsidRPr="001C3EC8" w:rsidRDefault="008430BD" w:rsidP="008430BD">
      <w:pPr>
        <w:pStyle w:val="OdstavecASR"/>
        <w:rPr>
          <w:color w:val="000000" w:themeColor="text1"/>
        </w:rPr>
      </w:pPr>
      <w:r w:rsidRPr="001C3EC8">
        <w:rPr>
          <w:color w:val="000000" w:themeColor="text1"/>
        </w:rPr>
        <w:t>První tři sloupce udávají efektivnost. První sloupec (CRS_TE) udává celkovou technickou efektivnost (ta má dvě složky, „čistou technickou efektivnost“ a „efektivnost vzhledem k velikosti“).</w:t>
      </w:r>
    </w:p>
    <w:p w14:paraId="121086B2" w14:textId="77777777" w:rsidR="008430BD" w:rsidRPr="001C3EC8" w:rsidRDefault="008430BD" w:rsidP="008430BD">
      <w:pPr>
        <w:pStyle w:val="OdstavecASR"/>
        <w:rPr>
          <w:color w:val="000000" w:themeColor="text1"/>
        </w:rPr>
      </w:pPr>
      <w:r w:rsidRPr="001C3EC8">
        <w:rPr>
          <w:color w:val="000000" w:themeColor="text1"/>
        </w:rPr>
        <w:t>Druhý sloupec (VRS_TE) udává tzv. „čistou“ technickou efektivnost (jak dobře soud funguje, nezohledňuje se jeho velikost). Získaná míra neefektivnosti je tedy způsobena pouze horším fungováním soudu.</w:t>
      </w:r>
    </w:p>
    <w:p w14:paraId="1F0C16D5" w14:textId="77777777" w:rsidR="008430BD" w:rsidRPr="001C3EC8" w:rsidRDefault="008430BD" w:rsidP="008430BD">
      <w:pPr>
        <w:pStyle w:val="OdstavecASR"/>
        <w:rPr>
          <w:color w:val="000000" w:themeColor="text1"/>
        </w:rPr>
      </w:pPr>
      <w:r w:rsidRPr="001C3EC8">
        <w:rPr>
          <w:color w:val="000000" w:themeColor="text1"/>
        </w:rPr>
        <w:t>Třetí sloupec (</w:t>
      </w:r>
      <w:proofErr w:type="spellStart"/>
      <w:r w:rsidRPr="001C3EC8">
        <w:rPr>
          <w:color w:val="000000" w:themeColor="text1"/>
        </w:rPr>
        <w:t>Scale</w:t>
      </w:r>
      <w:proofErr w:type="spellEnd"/>
      <w:r w:rsidRPr="001C3EC8">
        <w:rPr>
          <w:color w:val="000000" w:themeColor="text1"/>
        </w:rPr>
        <w:t>) udává míru efektivnosti danou velikostí soudu. Je vypočítán jako podíl CRS_TE/VRS_TE.</w:t>
      </w:r>
    </w:p>
    <w:p w14:paraId="2DD4BDC0" w14:textId="77777777" w:rsidR="008430BD" w:rsidRPr="001C3EC8" w:rsidRDefault="008430BD" w:rsidP="008430BD">
      <w:pPr>
        <w:pStyle w:val="OdstavecASR"/>
        <w:rPr>
          <w:color w:val="000000" w:themeColor="text1"/>
        </w:rPr>
      </w:pPr>
      <w:r w:rsidRPr="001C3EC8">
        <w:rPr>
          <w:color w:val="000000" w:themeColor="text1"/>
        </w:rPr>
        <w:t>Sloupce mohou nabývat hodnoty od nuly do jedné. Jedna značí stoprocentní efektivnost, např. hodnota 0,09 by značila devítiprocentní efektivnost.</w:t>
      </w:r>
    </w:p>
    <w:p w14:paraId="55803675" w14:textId="77777777" w:rsidR="008430BD" w:rsidRPr="001C3EC8" w:rsidRDefault="008430BD" w:rsidP="008430BD">
      <w:pPr>
        <w:pStyle w:val="OdstavecASR"/>
        <w:rPr>
          <w:color w:val="000000" w:themeColor="text1"/>
        </w:rPr>
      </w:pPr>
      <w:r w:rsidRPr="001C3EC8">
        <w:rPr>
          <w:color w:val="000000" w:themeColor="text1"/>
        </w:rPr>
        <w:t>Poslední sloupec udává, jaké výnosy z rozsahu soud vykazuje (respektive jaká je jeho efektivní projekce). Může se jednat o rostoucí výnosy z rozsahu (IRS), konstantní výnosy z rozsahu (CRS – v tom případě je jeho velikost ideální) nebo klesající výnosy z rozsahu (DRS).</w:t>
      </w:r>
    </w:p>
    <w:p w14:paraId="32B5F9D3" w14:textId="07A2585B" w:rsidR="008430BD" w:rsidRPr="001C3EC8" w:rsidRDefault="008430BD" w:rsidP="008430BD">
      <w:pPr>
        <w:pStyle w:val="OdstavecASR"/>
        <w:rPr>
          <w:color w:val="000000" w:themeColor="text1"/>
        </w:rPr>
      </w:pPr>
      <w:r w:rsidRPr="001C3EC8">
        <w:rPr>
          <w:color w:val="000000" w:themeColor="text1"/>
        </w:rPr>
        <w:t>Pro lepší pochopení uvádíme příklady interpretace: OS v </w:t>
      </w:r>
      <w:r w:rsidR="00666713" w:rsidRPr="001C3EC8">
        <w:rPr>
          <w:color w:val="000000" w:themeColor="text1"/>
        </w:rPr>
        <w:t xml:space="preserve">Kladně </w:t>
      </w:r>
      <w:r w:rsidRPr="001C3EC8">
        <w:rPr>
          <w:color w:val="000000" w:themeColor="text1"/>
        </w:rPr>
        <w:t>má skóre: CRS_TE = 0,9</w:t>
      </w:r>
      <w:r w:rsidR="00666713" w:rsidRPr="001C3EC8">
        <w:rPr>
          <w:color w:val="000000" w:themeColor="text1"/>
        </w:rPr>
        <w:t>52</w:t>
      </w:r>
      <w:r w:rsidRPr="001C3EC8">
        <w:rPr>
          <w:color w:val="000000" w:themeColor="text1"/>
        </w:rPr>
        <w:t xml:space="preserve"> VRS_TE = 0,</w:t>
      </w:r>
      <w:r w:rsidR="00666713" w:rsidRPr="001C3EC8">
        <w:rPr>
          <w:color w:val="000000" w:themeColor="text1"/>
        </w:rPr>
        <w:t>957</w:t>
      </w:r>
      <w:r w:rsidRPr="001C3EC8">
        <w:rPr>
          <w:color w:val="000000" w:themeColor="text1"/>
        </w:rPr>
        <w:t xml:space="preserve">, </w:t>
      </w:r>
      <w:proofErr w:type="spellStart"/>
      <w:r w:rsidRPr="001C3EC8">
        <w:rPr>
          <w:color w:val="000000" w:themeColor="text1"/>
        </w:rPr>
        <w:t>Scale</w:t>
      </w:r>
      <w:proofErr w:type="spellEnd"/>
      <w:r w:rsidRPr="001C3EC8">
        <w:rPr>
          <w:color w:val="000000" w:themeColor="text1"/>
        </w:rPr>
        <w:t xml:space="preserve"> = 0,</w:t>
      </w:r>
      <w:r w:rsidR="007F0C41" w:rsidRPr="001C3EC8">
        <w:rPr>
          <w:color w:val="000000" w:themeColor="text1"/>
        </w:rPr>
        <w:t>995</w:t>
      </w:r>
      <w:r w:rsidRPr="001C3EC8">
        <w:rPr>
          <w:color w:val="000000" w:themeColor="text1"/>
        </w:rPr>
        <w:t xml:space="preserve">, RTS = </w:t>
      </w:r>
      <w:r w:rsidR="007F0C41" w:rsidRPr="001C3EC8">
        <w:rPr>
          <w:color w:val="000000" w:themeColor="text1"/>
        </w:rPr>
        <w:t>DRS</w:t>
      </w:r>
      <w:r w:rsidRPr="001C3EC8">
        <w:rPr>
          <w:color w:val="000000" w:themeColor="text1"/>
        </w:rPr>
        <w:t xml:space="preserve">. Soud je tedy efektivní asi na </w:t>
      </w:r>
      <w:r w:rsidR="007F0C41" w:rsidRPr="001C3EC8">
        <w:rPr>
          <w:color w:val="000000" w:themeColor="text1"/>
        </w:rPr>
        <w:t>95</w:t>
      </w:r>
      <w:r w:rsidRPr="001C3EC8">
        <w:rPr>
          <w:color w:val="000000" w:themeColor="text1"/>
        </w:rPr>
        <w:t>,</w:t>
      </w:r>
      <w:r w:rsidR="007F0C41" w:rsidRPr="001C3EC8">
        <w:rPr>
          <w:color w:val="000000" w:themeColor="text1"/>
        </w:rPr>
        <w:t>2 </w:t>
      </w:r>
      <w:r w:rsidRPr="001C3EC8">
        <w:rPr>
          <w:color w:val="000000" w:themeColor="text1"/>
        </w:rPr>
        <w:t xml:space="preserve">%. Soud sám o sobě funguje efektivně na </w:t>
      </w:r>
      <w:r w:rsidR="007F0C41" w:rsidRPr="001C3EC8">
        <w:rPr>
          <w:color w:val="000000" w:themeColor="text1"/>
        </w:rPr>
        <w:t>95</w:t>
      </w:r>
      <w:r w:rsidRPr="001C3EC8">
        <w:rPr>
          <w:color w:val="000000" w:themeColor="text1"/>
        </w:rPr>
        <w:t>,</w:t>
      </w:r>
      <w:r w:rsidR="007F0C41" w:rsidRPr="001C3EC8">
        <w:rPr>
          <w:color w:val="000000" w:themeColor="text1"/>
        </w:rPr>
        <w:t>7 </w:t>
      </w:r>
      <w:r w:rsidRPr="001C3EC8">
        <w:rPr>
          <w:color w:val="000000" w:themeColor="text1"/>
        </w:rPr>
        <w:t xml:space="preserve">%. Jeho neefektivnost je částečně způsobena ne zcela vhodnou velikostí – soud je díky ní efektivní jen na </w:t>
      </w:r>
      <w:r w:rsidR="007F0C41" w:rsidRPr="001C3EC8">
        <w:rPr>
          <w:color w:val="000000" w:themeColor="text1"/>
        </w:rPr>
        <w:t>99</w:t>
      </w:r>
      <w:r w:rsidRPr="001C3EC8">
        <w:rPr>
          <w:color w:val="000000" w:themeColor="text1"/>
        </w:rPr>
        <w:t>,</w:t>
      </w:r>
      <w:r w:rsidR="007F0C41" w:rsidRPr="001C3EC8">
        <w:rPr>
          <w:color w:val="000000" w:themeColor="text1"/>
        </w:rPr>
        <w:t>5 </w:t>
      </w:r>
      <w:r w:rsidRPr="001C3EC8">
        <w:rPr>
          <w:color w:val="000000" w:themeColor="text1"/>
        </w:rPr>
        <w:t xml:space="preserve">%. </w:t>
      </w:r>
      <w:r w:rsidR="007F0C41" w:rsidRPr="001C3EC8">
        <w:rPr>
          <w:color w:val="000000" w:themeColor="text1"/>
        </w:rPr>
        <w:t xml:space="preserve">DRS </w:t>
      </w:r>
      <w:r w:rsidRPr="001C3EC8">
        <w:rPr>
          <w:color w:val="000000" w:themeColor="text1"/>
        </w:rPr>
        <w:t>značí, že soud vykazuje rostoucí výnosy z rozsahu. Ideálně by tedy měl soud být o něco větší, než ve skutečnosti je.</w:t>
      </w:r>
    </w:p>
    <w:p w14:paraId="0A3DECE5" w14:textId="77777777" w:rsidR="008430BD" w:rsidRPr="001C3EC8" w:rsidRDefault="008430BD" w:rsidP="008430BD">
      <w:pPr>
        <w:pStyle w:val="OdstavecASR"/>
        <w:rPr>
          <w:color w:val="000000" w:themeColor="text1"/>
        </w:rPr>
      </w:pPr>
      <w:r w:rsidRPr="001C3EC8">
        <w:rPr>
          <w:color w:val="000000" w:themeColor="text1"/>
        </w:rPr>
        <w:t xml:space="preserve">Tabulka ukazuje, že v ČR je celkem 29 čistě technicky efektivních soudů. Patnáct z těchto soudů ztrácí efektivnost kvůli nevhodné velikosti. V roce 2019 to bylo 25 čistě technicky efektivních </w:t>
      </w:r>
      <w:r w:rsidRPr="001C3EC8">
        <w:rPr>
          <w:color w:val="000000" w:themeColor="text1"/>
        </w:rPr>
        <w:lastRenderedPageBreak/>
        <w:t>soudů, 15 z nich ztrácelo efektivnost kvůli nevhodné velikosti. Obzvlášť dobře si tento rok vedly soudy v Praze, kterých je efektivních (CRS_TE = 1) hned 7.</w:t>
      </w:r>
    </w:p>
    <w:p w14:paraId="04B5CD7C" w14:textId="2D921EE6" w:rsidR="008430BD" w:rsidRPr="001C3EC8" w:rsidRDefault="008430BD" w:rsidP="008430BD">
      <w:pPr>
        <w:pStyle w:val="OdstavecASR"/>
        <w:rPr>
          <w:color w:val="000000" w:themeColor="text1"/>
        </w:rPr>
      </w:pPr>
      <w:r w:rsidRPr="001C3EC8">
        <w:rPr>
          <w:color w:val="000000" w:themeColor="text1"/>
        </w:rPr>
        <w:t xml:space="preserve">Naopak nejméně efektivní jsou </w:t>
      </w:r>
      <w:r w:rsidR="000B22E1" w:rsidRPr="001C3EC8">
        <w:rPr>
          <w:color w:val="000000" w:themeColor="text1"/>
        </w:rPr>
        <w:t xml:space="preserve">OS Vyškov (CRS_TE = 0,782), </w:t>
      </w:r>
      <w:r w:rsidRPr="001C3EC8">
        <w:rPr>
          <w:color w:val="000000" w:themeColor="text1"/>
        </w:rPr>
        <w:t>OS Jičín (CRS_TE = 0,819)</w:t>
      </w:r>
      <w:r w:rsidR="00CD2266">
        <w:rPr>
          <w:color w:val="000000" w:themeColor="text1"/>
        </w:rPr>
        <w:t xml:space="preserve"> </w:t>
      </w:r>
      <w:r w:rsidR="00CD2266" w:rsidRPr="001C3EC8">
        <w:rPr>
          <w:color w:val="000000" w:themeColor="text1"/>
        </w:rPr>
        <w:t>a</w:t>
      </w:r>
      <w:r w:rsidR="00CD2266">
        <w:rPr>
          <w:color w:val="000000" w:themeColor="text1"/>
        </w:rPr>
        <w:t> </w:t>
      </w:r>
      <w:r w:rsidRPr="001C3EC8">
        <w:rPr>
          <w:color w:val="000000" w:themeColor="text1"/>
        </w:rPr>
        <w:t xml:space="preserve">OS </w:t>
      </w:r>
      <w:r w:rsidR="0053190F">
        <w:rPr>
          <w:color w:val="000000" w:themeColor="text1"/>
        </w:rPr>
        <w:t>Plzeň</w:t>
      </w:r>
      <w:r w:rsidR="0053190F">
        <w:rPr>
          <w:color w:val="000000" w:themeColor="text1"/>
        </w:rPr>
        <w:noBreakHyphen/>
      </w:r>
      <w:r w:rsidRPr="001C3EC8">
        <w:rPr>
          <w:color w:val="000000" w:themeColor="text1"/>
        </w:rPr>
        <w:t>město (CRS_TE = 0,824)</w:t>
      </w:r>
      <w:r w:rsidR="000B22E1" w:rsidRPr="001C3EC8">
        <w:rPr>
          <w:color w:val="000000" w:themeColor="text1"/>
        </w:rPr>
        <w:t>.</w:t>
      </w:r>
      <w:r w:rsidRPr="001C3EC8">
        <w:rPr>
          <w:color w:val="000000" w:themeColor="text1"/>
        </w:rPr>
        <w:t xml:space="preserve"> Výrazně větší ztráta v efektivnosti plyne z horší čisté technické efektivnosti (VRS_TE) než ze ztráty efektivnosti kvůli velikosti soudu (</w:t>
      </w:r>
      <w:proofErr w:type="spellStart"/>
      <w:r w:rsidRPr="001C3EC8">
        <w:rPr>
          <w:color w:val="000000" w:themeColor="text1"/>
        </w:rPr>
        <w:t>Scale</w:t>
      </w:r>
      <w:proofErr w:type="spellEnd"/>
      <w:r w:rsidRPr="001C3EC8">
        <w:rPr>
          <w:color w:val="000000" w:themeColor="text1"/>
        </w:rPr>
        <w:t>).</w:t>
      </w:r>
    </w:p>
    <w:p w14:paraId="7DE9A89B" w14:textId="6DCC45E0" w:rsidR="003E37DD" w:rsidRPr="001C3EC8" w:rsidRDefault="003E37DD" w:rsidP="008430BD">
      <w:pPr>
        <w:pStyle w:val="OdstavecASR"/>
        <w:rPr>
          <w:color w:val="000000" w:themeColor="text1"/>
        </w:rPr>
      </w:pPr>
      <w:r w:rsidRPr="001C3EC8">
        <w:rPr>
          <w:color w:val="000000" w:themeColor="text1"/>
        </w:rPr>
        <w:t xml:space="preserve">Zde je na místě zmínit, že efektivita soudů je někdy ovlivněna faktory mimo kontrolu soudů. Například OS </w:t>
      </w:r>
      <w:r w:rsidR="00CD2266" w:rsidRPr="001C3EC8">
        <w:rPr>
          <w:color w:val="000000" w:themeColor="text1"/>
        </w:rPr>
        <w:t>v</w:t>
      </w:r>
      <w:r w:rsidR="00CD2266">
        <w:rPr>
          <w:color w:val="000000" w:themeColor="text1"/>
        </w:rPr>
        <w:t> </w:t>
      </w:r>
      <w:r w:rsidRPr="001C3EC8">
        <w:rPr>
          <w:color w:val="000000" w:themeColor="text1"/>
        </w:rPr>
        <w:t xml:space="preserve">Bruntále má pobočku </w:t>
      </w:r>
      <w:r w:rsidR="00CD2266" w:rsidRPr="001C3EC8">
        <w:rPr>
          <w:color w:val="000000" w:themeColor="text1"/>
        </w:rPr>
        <w:t>v</w:t>
      </w:r>
      <w:r w:rsidR="00CD2266">
        <w:rPr>
          <w:color w:val="000000" w:themeColor="text1"/>
        </w:rPr>
        <w:t> </w:t>
      </w:r>
      <w:r w:rsidRPr="001C3EC8">
        <w:rPr>
          <w:color w:val="000000" w:themeColor="text1"/>
        </w:rPr>
        <w:t xml:space="preserve">Krnově </w:t>
      </w:r>
      <w:r w:rsidR="00CD2266" w:rsidRPr="001C3EC8">
        <w:rPr>
          <w:color w:val="000000" w:themeColor="text1"/>
        </w:rPr>
        <w:t>a</w:t>
      </w:r>
      <w:r w:rsidR="00CD2266">
        <w:rPr>
          <w:color w:val="000000" w:themeColor="text1"/>
        </w:rPr>
        <w:t> </w:t>
      </w:r>
      <w:r w:rsidRPr="001C3EC8">
        <w:rPr>
          <w:color w:val="000000" w:themeColor="text1"/>
        </w:rPr>
        <w:t xml:space="preserve">je tak pravdou, že efektivita není tak dobrá, jak by jinak odpovídalo jejich dosaženým výsledkům </w:t>
      </w:r>
      <w:r w:rsidR="00CD2266" w:rsidRPr="001C3EC8">
        <w:rPr>
          <w:color w:val="000000" w:themeColor="text1"/>
        </w:rPr>
        <w:t>a</w:t>
      </w:r>
      <w:r w:rsidR="00CD2266">
        <w:rPr>
          <w:color w:val="000000" w:themeColor="text1"/>
        </w:rPr>
        <w:t> </w:t>
      </w:r>
      <w:r w:rsidRPr="001C3EC8">
        <w:rPr>
          <w:color w:val="000000" w:themeColor="text1"/>
        </w:rPr>
        <w:t xml:space="preserve">celkové délce soudního řízení, kdy patří </w:t>
      </w:r>
      <w:r w:rsidR="00CD2266" w:rsidRPr="001C3EC8">
        <w:rPr>
          <w:color w:val="000000" w:themeColor="text1"/>
        </w:rPr>
        <w:t>v</w:t>
      </w:r>
      <w:r w:rsidR="00CD2266">
        <w:rPr>
          <w:color w:val="000000" w:themeColor="text1"/>
        </w:rPr>
        <w:t> </w:t>
      </w:r>
      <w:r w:rsidRPr="001C3EC8">
        <w:rPr>
          <w:color w:val="000000" w:themeColor="text1"/>
        </w:rPr>
        <w:t xml:space="preserve">ČR do průměru. Určitá neefektivita OS </w:t>
      </w:r>
      <w:r w:rsidR="00CD2266" w:rsidRPr="001C3EC8">
        <w:rPr>
          <w:color w:val="000000" w:themeColor="text1"/>
        </w:rPr>
        <w:t>s</w:t>
      </w:r>
      <w:r w:rsidR="00CD2266">
        <w:rPr>
          <w:color w:val="000000" w:themeColor="text1"/>
        </w:rPr>
        <w:t> </w:t>
      </w:r>
      <w:r w:rsidRPr="001C3EC8">
        <w:rPr>
          <w:color w:val="000000" w:themeColor="text1"/>
        </w:rPr>
        <w:t>pobočkou je vykompenzována spokojeností účastníků řízení, kteří se nemusí dopravovat do pro ně vzdáleného města.</w:t>
      </w:r>
    </w:p>
    <w:p w14:paraId="4D98BBAD" w14:textId="1AB27FC9" w:rsidR="008430BD" w:rsidRPr="001C3EC8" w:rsidRDefault="008430BD" w:rsidP="008430BD">
      <w:pPr>
        <w:pStyle w:val="OdstavecASR"/>
        <w:rPr>
          <w:color w:val="000000" w:themeColor="text1"/>
        </w:rPr>
      </w:pPr>
      <w:r w:rsidRPr="001C3EC8">
        <w:rPr>
          <w:color w:val="000000" w:themeColor="text1"/>
        </w:rPr>
        <w:t xml:space="preserve">Celková efektivnost soudů v ČR je 92,9 %, čistá technická efektivnost je 94,2 %, efektivnost dle velikosti je 98,6 %. Soudy v ČR tedy velmi málo ztrácí efektivnost kvůli velikosti. Kvůli velikosti takto ztrácí efektivnost hlavně soudy v Ostravě </w:t>
      </w:r>
      <w:r w:rsidR="00CD2266" w:rsidRPr="001C3EC8">
        <w:rPr>
          <w:color w:val="000000" w:themeColor="text1"/>
        </w:rPr>
        <w:t>a</w:t>
      </w:r>
      <w:r w:rsidR="00CD2266">
        <w:rPr>
          <w:color w:val="000000" w:themeColor="text1"/>
        </w:rPr>
        <w:t> </w:t>
      </w:r>
      <w:r w:rsidRPr="001C3EC8">
        <w:rPr>
          <w:color w:val="000000" w:themeColor="text1"/>
        </w:rPr>
        <w:t>v Brně (které jsou příliš velké) a soudy v Semilech, či Rokycanech (které jsou naopak příliš malé).</w:t>
      </w:r>
    </w:p>
    <w:p w14:paraId="7764CD70" w14:textId="77777777" w:rsidR="008430BD" w:rsidRPr="001C3EC8" w:rsidRDefault="008430BD" w:rsidP="008430BD">
      <w:pPr>
        <w:pStyle w:val="OdstavecASR"/>
        <w:rPr>
          <w:color w:val="000000" w:themeColor="text1"/>
        </w:rPr>
      </w:pPr>
      <w:r w:rsidRPr="001C3EC8">
        <w:rPr>
          <w:color w:val="000000" w:themeColor="text1"/>
        </w:rPr>
        <w:t>V této zprávě je zachycena pouze část výsledků analýzy. Dalšími výstupy DEA jsou:</w:t>
      </w:r>
    </w:p>
    <w:p w14:paraId="712A299C" w14:textId="77777777" w:rsidR="008430BD" w:rsidRPr="001C3EC8" w:rsidRDefault="008430BD" w:rsidP="008430BD">
      <w:pPr>
        <w:pStyle w:val="OdstavecASR"/>
        <w:numPr>
          <w:ilvl w:val="0"/>
          <w:numId w:val="7"/>
        </w:numPr>
        <w:rPr>
          <w:color w:val="000000" w:themeColor="text1"/>
        </w:rPr>
      </w:pPr>
      <w:bookmarkStart w:id="355" w:name="_Toc515871243"/>
      <w:r w:rsidRPr="001C3EC8">
        <w:rPr>
          <w:color w:val="000000" w:themeColor="text1"/>
        </w:rPr>
        <w:t>Přídatné proměnné. Ty ukazují, o kolik je třeba u daného soudu snížit daný vstup (počet soudců nebo ostatních zaměstnanců ve výkonu) a zároveň zachovat vážený počet vyřízených věcí, aby se stal soud efektivním.</w:t>
      </w:r>
    </w:p>
    <w:p w14:paraId="798B4379" w14:textId="77777777" w:rsidR="008430BD" w:rsidRPr="001C3EC8" w:rsidRDefault="008430BD" w:rsidP="008430BD">
      <w:pPr>
        <w:pStyle w:val="OdstavecASR"/>
        <w:numPr>
          <w:ilvl w:val="0"/>
          <w:numId w:val="7"/>
        </w:numPr>
        <w:rPr>
          <w:color w:val="000000" w:themeColor="text1"/>
        </w:rPr>
      </w:pPr>
      <w:r w:rsidRPr="001C3EC8">
        <w:rPr>
          <w:color w:val="000000" w:themeColor="text1"/>
        </w:rPr>
        <w:t xml:space="preserve">Referenční soudy. Jsou zkoumány plně efektivní soudy. Neefektivní soud je vždy porovnáván s jedním nebo více efektivními </w:t>
      </w:r>
      <w:proofErr w:type="gramStart"/>
      <w:r w:rsidRPr="001C3EC8">
        <w:rPr>
          <w:color w:val="000000" w:themeColor="text1"/>
        </w:rPr>
        <w:t>soudy</w:t>
      </w:r>
      <w:proofErr w:type="gramEnd"/>
      <w:r w:rsidRPr="001C3EC8">
        <w:rPr>
          <w:color w:val="000000" w:themeColor="text1"/>
        </w:rPr>
        <w:t xml:space="preserve"> a právě vzhledem k nim je určena jeho neefektivnost. U soudů, které vystupují jako referenční soudy zřídka, není závěr o jejich efektivnosti statisticky robustní.</w:t>
      </w:r>
    </w:p>
    <w:p w14:paraId="6EA87842" w14:textId="77777777" w:rsidR="008430BD" w:rsidRPr="001C3EC8" w:rsidRDefault="008430BD" w:rsidP="008430BD">
      <w:pPr>
        <w:pStyle w:val="OdstavecASR"/>
        <w:numPr>
          <w:ilvl w:val="0"/>
          <w:numId w:val="7"/>
        </w:numPr>
        <w:rPr>
          <w:color w:val="000000" w:themeColor="text1"/>
        </w:rPr>
      </w:pPr>
      <w:r w:rsidRPr="001C3EC8">
        <w:rPr>
          <w:color w:val="000000" w:themeColor="text1"/>
        </w:rPr>
        <w:t>Je zkoumáno, zda existuje vztah mezi velikostí soudu a efektivností soudu.</w:t>
      </w:r>
    </w:p>
    <w:p w14:paraId="501A6D31" w14:textId="77777777" w:rsidR="008430BD" w:rsidRPr="001C3EC8" w:rsidRDefault="008430BD" w:rsidP="008430BD">
      <w:pPr>
        <w:pStyle w:val="OdstavecASR"/>
        <w:numPr>
          <w:ilvl w:val="0"/>
          <w:numId w:val="7"/>
        </w:numPr>
        <w:rPr>
          <w:color w:val="000000" w:themeColor="text1"/>
        </w:rPr>
      </w:pPr>
      <w:r w:rsidRPr="001C3EC8">
        <w:rPr>
          <w:color w:val="000000" w:themeColor="text1"/>
        </w:rPr>
        <w:t>Jsou využity jiné specifikace modelu, zapojeny jiné proměnné apod.</w:t>
      </w:r>
    </w:p>
    <w:p w14:paraId="20DBDC53" w14:textId="77777777" w:rsidR="008430BD" w:rsidRPr="001C3EC8" w:rsidRDefault="008430BD" w:rsidP="008430BD">
      <w:pPr>
        <w:pStyle w:val="Nadpis3"/>
        <w:numPr>
          <w:ilvl w:val="2"/>
          <w:numId w:val="1"/>
        </w:numPr>
        <w:rPr>
          <w:color w:val="000000" w:themeColor="text1"/>
        </w:rPr>
      </w:pPr>
      <w:bookmarkStart w:id="356" w:name="_Toc75952080"/>
      <w:r w:rsidRPr="001C3EC8">
        <w:rPr>
          <w:color w:val="000000" w:themeColor="text1"/>
        </w:rPr>
        <w:t>Srovnání s rokem 201</w:t>
      </w:r>
      <w:bookmarkEnd w:id="355"/>
      <w:r w:rsidRPr="001C3EC8">
        <w:rPr>
          <w:color w:val="000000" w:themeColor="text1"/>
        </w:rPr>
        <w:t>9</w:t>
      </w:r>
      <w:bookmarkEnd w:id="356"/>
    </w:p>
    <w:p w14:paraId="296F39F1" w14:textId="1A4E0101" w:rsidR="00B07E76" w:rsidRDefault="008430BD" w:rsidP="008430BD">
      <w:pPr>
        <w:pStyle w:val="OdstavecASR"/>
        <w:rPr>
          <w:color w:val="000000" w:themeColor="text1"/>
        </w:rPr>
      </w:pPr>
      <w:r w:rsidRPr="001C3EC8">
        <w:rPr>
          <w:color w:val="000000" w:themeColor="text1"/>
        </w:rPr>
        <w:t xml:space="preserve">Nabízí se otázka, jak se mění efektivnost soudů mezi lety. Tedy, zda jsou některé soudy konzistentně efektivní a jiné stále neefektivní, </w:t>
      </w:r>
      <w:r w:rsidR="00CD2266" w:rsidRPr="001C3EC8">
        <w:rPr>
          <w:color w:val="000000" w:themeColor="text1"/>
        </w:rPr>
        <w:t>a</w:t>
      </w:r>
      <w:r w:rsidR="00CD2266">
        <w:rPr>
          <w:color w:val="000000" w:themeColor="text1"/>
        </w:rPr>
        <w:t> </w:t>
      </w:r>
      <w:r w:rsidRPr="001C3EC8">
        <w:rPr>
          <w:color w:val="000000" w:themeColor="text1"/>
        </w:rPr>
        <w:t>zda se mezi lety nějak mění celková efektivnost soudů v ČR.</w:t>
      </w:r>
    </w:p>
    <w:p w14:paraId="744759D5" w14:textId="7599D437" w:rsidR="008430BD" w:rsidRPr="001C3EC8" w:rsidRDefault="008430BD" w:rsidP="008430BD">
      <w:pPr>
        <w:pStyle w:val="OdstavecASR"/>
        <w:rPr>
          <w:color w:val="000000" w:themeColor="text1"/>
        </w:rPr>
      </w:pPr>
      <w:r w:rsidRPr="001C3EC8">
        <w:rPr>
          <w:color w:val="000000" w:themeColor="text1"/>
        </w:rPr>
        <w:t>Na druhou otázku lze odpovědět velmi rychle. V roce 2020 byla celková efektivnost soudů v ČR 92,9 %, čistá technická efektivnost 95,7 % a efektivnost dle velikosti 98,3 %. Za rok 2019 byly tyto hodnoty 94,0 %, 94,2 % a 98,6 %. V roce 2019 bylo technicky efektivních 25 soudů, v roce 2020 jich bylo 29.</w:t>
      </w:r>
    </w:p>
    <w:p w14:paraId="6BDE96AC" w14:textId="027350D7" w:rsidR="00B07E76" w:rsidRDefault="008430BD" w:rsidP="008430BD">
      <w:pPr>
        <w:pStyle w:val="OdstavecASR"/>
        <w:rPr>
          <w:color w:val="000000" w:themeColor="text1"/>
        </w:rPr>
      </w:pPr>
      <w:r w:rsidRPr="001C3EC8">
        <w:rPr>
          <w:color w:val="000000" w:themeColor="text1"/>
        </w:rPr>
        <w:t xml:space="preserve">Vidíme tedy, že situace zůstala přibližně stejná, došlo jen k velmi malému snížení CRS_TE </w:t>
      </w:r>
      <w:r w:rsidR="00CD2266" w:rsidRPr="001C3EC8">
        <w:rPr>
          <w:color w:val="000000" w:themeColor="text1"/>
        </w:rPr>
        <w:t>a</w:t>
      </w:r>
      <w:r w:rsidR="00CD2266">
        <w:rPr>
          <w:color w:val="000000" w:themeColor="text1"/>
        </w:rPr>
        <w:t> </w:t>
      </w:r>
      <w:r w:rsidRPr="001C3EC8">
        <w:rPr>
          <w:color w:val="000000" w:themeColor="text1"/>
        </w:rPr>
        <w:t xml:space="preserve">VRS_TE. Připomínáme, že se jedná </w:t>
      </w:r>
      <w:r w:rsidR="00CD2266" w:rsidRPr="001C3EC8">
        <w:rPr>
          <w:color w:val="000000" w:themeColor="text1"/>
        </w:rPr>
        <w:t>o</w:t>
      </w:r>
      <w:r w:rsidR="00CD2266">
        <w:rPr>
          <w:color w:val="000000" w:themeColor="text1"/>
        </w:rPr>
        <w:t> </w:t>
      </w:r>
      <w:r w:rsidRPr="001C3EC8">
        <w:rPr>
          <w:color w:val="000000" w:themeColor="text1"/>
        </w:rPr>
        <w:t>relativní srovnání.</w:t>
      </w:r>
    </w:p>
    <w:p w14:paraId="051345AD" w14:textId="2B0EA50C" w:rsidR="008430BD" w:rsidRPr="001C3EC8" w:rsidRDefault="008430BD" w:rsidP="008430BD">
      <w:pPr>
        <w:spacing w:line="240" w:lineRule="auto"/>
        <w:jc w:val="left"/>
        <w:rPr>
          <w:color w:val="000000" w:themeColor="text1"/>
        </w:rPr>
      </w:pPr>
      <w:r w:rsidRPr="001C3EC8">
        <w:rPr>
          <w:color w:val="000000" w:themeColor="text1"/>
        </w:rPr>
        <w:br w:type="page"/>
      </w:r>
    </w:p>
    <w:p w14:paraId="4F64ACD4" w14:textId="5F81A09A" w:rsidR="008430BD" w:rsidRPr="001C3EC8" w:rsidRDefault="008430BD" w:rsidP="008430BD">
      <w:pPr>
        <w:pStyle w:val="Podnadpis"/>
        <w:rPr>
          <w:color w:val="000000" w:themeColor="text1"/>
        </w:rPr>
      </w:pPr>
      <w:bookmarkStart w:id="357" w:name="_Toc43931205"/>
      <w:bookmarkStart w:id="358" w:name="_Toc75952338"/>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35</w:t>
      </w:r>
      <w:r w:rsidRPr="001C3EC8">
        <w:rPr>
          <w:color w:val="000000" w:themeColor="text1"/>
        </w:rPr>
        <w:fldChar w:fldCharType="end"/>
      </w:r>
      <w:r w:rsidRPr="001C3EC8">
        <w:rPr>
          <w:color w:val="000000" w:themeColor="text1"/>
        </w:rPr>
        <w:t>: OS, DEA – výsledky</w:t>
      </w:r>
      <w:bookmarkEnd w:id="357"/>
      <w:bookmarkEnd w:id="358"/>
    </w:p>
    <w:tbl>
      <w:tblPr>
        <w:tblW w:w="7040" w:type="dxa"/>
        <w:tblCellMar>
          <w:left w:w="70" w:type="dxa"/>
          <w:right w:w="70" w:type="dxa"/>
        </w:tblCellMar>
        <w:tblLook w:val="04A0" w:firstRow="1" w:lastRow="0" w:firstColumn="1" w:lastColumn="0" w:noHBand="0" w:noVBand="1"/>
      </w:tblPr>
      <w:tblGrid>
        <w:gridCol w:w="2720"/>
        <w:gridCol w:w="1080"/>
        <w:gridCol w:w="1080"/>
        <w:gridCol w:w="1080"/>
        <w:gridCol w:w="1080"/>
      </w:tblGrid>
      <w:tr w:rsidR="008430BD" w:rsidRPr="001C3EC8" w14:paraId="27FDC016" w14:textId="77777777" w:rsidTr="00E077F3">
        <w:trPr>
          <w:trHeight w:val="284"/>
        </w:trPr>
        <w:tc>
          <w:tcPr>
            <w:tcW w:w="2720" w:type="dxa"/>
            <w:tcBorders>
              <w:top w:val="double" w:sz="6" w:space="0" w:color="auto"/>
              <w:left w:val="nil"/>
              <w:bottom w:val="double" w:sz="6" w:space="0" w:color="auto"/>
              <w:right w:val="nil"/>
            </w:tcBorders>
            <w:shd w:val="clear" w:color="auto" w:fill="auto"/>
            <w:noWrap/>
            <w:vAlign w:val="center"/>
            <w:hideMark/>
          </w:tcPr>
          <w:p w14:paraId="64471695"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1080" w:type="dxa"/>
            <w:tcBorders>
              <w:top w:val="double" w:sz="6" w:space="0" w:color="auto"/>
              <w:left w:val="nil"/>
              <w:bottom w:val="double" w:sz="6" w:space="0" w:color="auto"/>
              <w:right w:val="nil"/>
            </w:tcBorders>
            <w:shd w:val="clear" w:color="auto" w:fill="auto"/>
            <w:noWrap/>
            <w:vAlign w:val="center"/>
            <w:hideMark/>
          </w:tcPr>
          <w:p w14:paraId="163A3C9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CRS_TE</w:t>
            </w:r>
          </w:p>
        </w:tc>
        <w:tc>
          <w:tcPr>
            <w:tcW w:w="1080" w:type="dxa"/>
            <w:tcBorders>
              <w:top w:val="double" w:sz="6" w:space="0" w:color="auto"/>
              <w:left w:val="nil"/>
              <w:bottom w:val="double" w:sz="6" w:space="0" w:color="auto"/>
              <w:right w:val="nil"/>
            </w:tcBorders>
            <w:shd w:val="clear" w:color="auto" w:fill="auto"/>
            <w:noWrap/>
            <w:vAlign w:val="center"/>
            <w:hideMark/>
          </w:tcPr>
          <w:p w14:paraId="5333BE0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VRS_TE</w:t>
            </w:r>
          </w:p>
        </w:tc>
        <w:tc>
          <w:tcPr>
            <w:tcW w:w="1080" w:type="dxa"/>
            <w:tcBorders>
              <w:top w:val="double" w:sz="6" w:space="0" w:color="auto"/>
              <w:left w:val="nil"/>
              <w:bottom w:val="double" w:sz="6" w:space="0" w:color="auto"/>
              <w:right w:val="nil"/>
            </w:tcBorders>
            <w:shd w:val="clear" w:color="auto" w:fill="auto"/>
            <w:noWrap/>
            <w:vAlign w:val="center"/>
            <w:hideMark/>
          </w:tcPr>
          <w:p w14:paraId="030EFE53"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Scale</w:t>
            </w:r>
            <w:proofErr w:type="spellEnd"/>
          </w:p>
        </w:tc>
        <w:tc>
          <w:tcPr>
            <w:tcW w:w="1080" w:type="dxa"/>
            <w:tcBorders>
              <w:top w:val="double" w:sz="6" w:space="0" w:color="auto"/>
              <w:left w:val="nil"/>
              <w:bottom w:val="double" w:sz="6" w:space="0" w:color="auto"/>
              <w:right w:val="nil"/>
            </w:tcBorders>
            <w:shd w:val="clear" w:color="auto" w:fill="auto"/>
            <w:noWrap/>
            <w:vAlign w:val="center"/>
            <w:hideMark/>
          </w:tcPr>
          <w:p w14:paraId="713F647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RTS</w:t>
            </w:r>
          </w:p>
        </w:tc>
      </w:tr>
      <w:tr w:rsidR="008430BD" w:rsidRPr="001C3EC8" w14:paraId="66A52732"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CBEE5D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1</w:t>
            </w:r>
          </w:p>
        </w:tc>
        <w:tc>
          <w:tcPr>
            <w:tcW w:w="1080" w:type="dxa"/>
            <w:tcBorders>
              <w:top w:val="nil"/>
              <w:left w:val="nil"/>
              <w:bottom w:val="single" w:sz="8" w:space="0" w:color="auto"/>
              <w:right w:val="nil"/>
            </w:tcBorders>
            <w:shd w:val="clear" w:color="auto" w:fill="auto"/>
            <w:noWrap/>
            <w:vAlign w:val="center"/>
            <w:hideMark/>
          </w:tcPr>
          <w:p w14:paraId="5283EE0D" w14:textId="27E33DA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A50421D" w14:textId="00C3DC9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40520C2" w14:textId="4BC0A05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3C6A4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FE349E0"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8DD8A0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4</w:t>
            </w:r>
          </w:p>
        </w:tc>
        <w:tc>
          <w:tcPr>
            <w:tcW w:w="1080" w:type="dxa"/>
            <w:tcBorders>
              <w:top w:val="nil"/>
              <w:left w:val="nil"/>
              <w:bottom w:val="single" w:sz="8" w:space="0" w:color="auto"/>
              <w:right w:val="nil"/>
            </w:tcBorders>
            <w:shd w:val="clear" w:color="auto" w:fill="auto"/>
            <w:noWrap/>
            <w:vAlign w:val="center"/>
            <w:hideMark/>
          </w:tcPr>
          <w:p w14:paraId="1605C2E2" w14:textId="1D0A5E3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6120761" w14:textId="477C2B5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CB205AE" w14:textId="3AA4C87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490BE5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2D83267"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D9605A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5</w:t>
            </w:r>
          </w:p>
        </w:tc>
        <w:tc>
          <w:tcPr>
            <w:tcW w:w="1080" w:type="dxa"/>
            <w:tcBorders>
              <w:top w:val="nil"/>
              <w:left w:val="nil"/>
              <w:bottom w:val="single" w:sz="8" w:space="0" w:color="auto"/>
              <w:right w:val="nil"/>
            </w:tcBorders>
            <w:shd w:val="clear" w:color="auto" w:fill="auto"/>
            <w:noWrap/>
            <w:vAlign w:val="center"/>
            <w:hideMark/>
          </w:tcPr>
          <w:p w14:paraId="0F635ABE" w14:textId="420D7AB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19CEFA8" w14:textId="1FD6AB2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CA2E88F" w14:textId="5378A06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0C078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20B5051C"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B12869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6</w:t>
            </w:r>
          </w:p>
        </w:tc>
        <w:tc>
          <w:tcPr>
            <w:tcW w:w="1080" w:type="dxa"/>
            <w:tcBorders>
              <w:top w:val="nil"/>
              <w:left w:val="nil"/>
              <w:bottom w:val="single" w:sz="8" w:space="0" w:color="auto"/>
              <w:right w:val="nil"/>
            </w:tcBorders>
            <w:shd w:val="clear" w:color="auto" w:fill="auto"/>
            <w:noWrap/>
            <w:vAlign w:val="center"/>
            <w:hideMark/>
          </w:tcPr>
          <w:p w14:paraId="40C226E6" w14:textId="08BB256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35B0983" w14:textId="55F6620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688DD21" w14:textId="5B558F7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B97FC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2F7C6C1B"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B91BF3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7</w:t>
            </w:r>
          </w:p>
        </w:tc>
        <w:tc>
          <w:tcPr>
            <w:tcW w:w="1080" w:type="dxa"/>
            <w:tcBorders>
              <w:top w:val="nil"/>
              <w:left w:val="nil"/>
              <w:bottom w:val="single" w:sz="8" w:space="0" w:color="auto"/>
              <w:right w:val="nil"/>
            </w:tcBorders>
            <w:shd w:val="clear" w:color="auto" w:fill="auto"/>
            <w:noWrap/>
            <w:vAlign w:val="center"/>
            <w:hideMark/>
          </w:tcPr>
          <w:p w14:paraId="0160813D" w14:textId="7386CBC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E4AAABE" w14:textId="7CA37D3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18533F6" w14:textId="52C3EEB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E2729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1632E7AC"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34C033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8</w:t>
            </w:r>
          </w:p>
        </w:tc>
        <w:tc>
          <w:tcPr>
            <w:tcW w:w="1080" w:type="dxa"/>
            <w:tcBorders>
              <w:top w:val="nil"/>
              <w:left w:val="nil"/>
              <w:bottom w:val="single" w:sz="8" w:space="0" w:color="auto"/>
              <w:right w:val="nil"/>
            </w:tcBorders>
            <w:shd w:val="clear" w:color="auto" w:fill="auto"/>
            <w:noWrap/>
            <w:vAlign w:val="center"/>
            <w:hideMark/>
          </w:tcPr>
          <w:p w14:paraId="2624A37C" w14:textId="3AB12D7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6A09699" w14:textId="08DC387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9BE6185" w14:textId="3FDB882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7B001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2FE82B89"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9EE72B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10</w:t>
            </w:r>
          </w:p>
        </w:tc>
        <w:tc>
          <w:tcPr>
            <w:tcW w:w="1080" w:type="dxa"/>
            <w:tcBorders>
              <w:top w:val="nil"/>
              <w:left w:val="nil"/>
              <w:bottom w:val="single" w:sz="8" w:space="0" w:color="auto"/>
              <w:right w:val="nil"/>
            </w:tcBorders>
            <w:shd w:val="clear" w:color="auto" w:fill="auto"/>
            <w:noWrap/>
            <w:vAlign w:val="center"/>
            <w:hideMark/>
          </w:tcPr>
          <w:p w14:paraId="0BB4EB3F" w14:textId="724B296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6B18BE8" w14:textId="0901CCA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45109B7" w14:textId="64F05FD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3EE81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0EB1292D"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8DAE0B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Beroun</w:t>
            </w:r>
          </w:p>
        </w:tc>
        <w:tc>
          <w:tcPr>
            <w:tcW w:w="1080" w:type="dxa"/>
            <w:tcBorders>
              <w:top w:val="nil"/>
              <w:left w:val="nil"/>
              <w:bottom w:val="single" w:sz="8" w:space="0" w:color="auto"/>
              <w:right w:val="nil"/>
            </w:tcBorders>
            <w:shd w:val="clear" w:color="auto" w:fill="auto"/>
            <w:noWrap/>
            <w:vAlign w:val="center"/>
            <w:hideMark/>
          </w:tcPr>
          <w:p w14:paraId="7FEAA96F" w14:textId="7F9A611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872FDEF" w14:textId="2291CEB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E84A859" w14:textId="7220A4C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23B0EB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2C44D28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D8565E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Kutná Hora</w:t>
            </w:r>
          </w:p>
        </w:tc>
        <w:tc>
          <w:tcPr>
            <w:tcW w:w="1080" w:type="dxa"/>
            <w:tcBorders>
              <w:top w:val="nil"/>
              <w:left w:val="nil"/>
              <w:bottom w:val="single" w:sz="8" w:space="0" w:color="auto"/>
              <w:right w:val="nil"/>
            </w:tcBorders>
            <w:shd w:val="clear" w:color="auto" w:fill="auto"/>
            <w:noWrap/>
            <w:vAlign w:val="center"/>
            <w:hideMark/>
          </w:tcPr>
          <w:p w14:paraId="41A27454" w14:textId="390E33D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055A391" w14:textId="7BF1DE0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070BE7A" w14:textId="5CF49CB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0482F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4E74D17D"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74DD1E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Mladá Boleslav</w:t>
            </w:r>
          </w:p>
        </w:tc>
        <w:tc>
          <w:tcPr>
            <w:tcW w:w="1080" w:type="dxa"/>
            <w:tcBorders>
              <w:top w:val="nil"/>
              <w:left w:val="nil"/>
              <w:bottom w:val="single" w:sz="8" w:space="0" w:color="auto"/>
              <w:right w:val="nil"/>
            </w:tcBorders>
            <w:shd w:val="clear" w:color="auto" w:fill="auto"/>
            <w:noWrap/>
            <w:vAlign w:val="center"/>
            <w:hideMark/>
          </w:tcPr>
          <w:p w14:paraId="2F7A2F42" w14:textId="49458C2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D73D47C" w14:textId="50E9286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FAB8D42" w14:textId="6C38233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35712B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68CA9CD5"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295834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Rakovník</w:t>
            </w:r>
          </w:p>
        </w:tc>
        <w:tc>
          <w:tcPr>
            <w:tcW w:w="1080" w:type="dxa"/>
            <w:tcBorders>
              <w:top w:val="nil"/>
              <w:left w:val="nil"/>
              <w:bottom w:val="single" w:sz="8" w:space="0" w:color="auto"/>
              <w:right w:val="nil"/>
            </w:tcBorders>
            <w:shd w:val="clear" w:color="auto" w:fill="auto"/>
            <w:noWrap/>
            <w:vAlign w:val="center"/>
            <w:hideMark/>
          </w:tcPr>
          <w:p w14:paraId="6CDAE11C" w14:textId="3FA1DAB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3FADB98" w14:textId="127A985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9C729C3" w14:textId="47F5E69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89A0B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0C983ED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FEF92D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Domažlice</w:t>
            </w:r>
          </w:p>
        </w:tc>
        <w:tc>
          <w:tcPr>
            <w:tcW w:w="1080" w:type="dxa"/>
            <w:tcBorders>
              <w:top w:val="nil"/>
              <w:left w:val="nil"/>
              <w:bottom w:val="single" w:sz="8" w:space="0" w:color="auto"/>
              <w:right w:val="nil"/>
            </w:tcBorders>
            <w:shd w:val="clear" w:color="auto" w:fill="auto"/>
            <w:noWrap/>
            <w:vAlign w:val="center"/>
            <w:hideMark/>
          </w:tcPr>
          <w:p w14:paraId="64E1E8F2" w14:textId="2928EFE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9B282C0" w14:textId="6965426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04EDCBC" w14:textId="4FD5BD6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C7702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4F5B7E5"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7AF9C1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Karlovy Vary</w:t>
            </w:r>
          </w:p>
        </w:tc>
        <w:tc>
          <w:tcPr>
            <w:tcW w:w="1080" w:type="dxa"/>
            <w:tcBorders>
              <w:top w:val="nil"/>
              <w:left w:val="nil"/>
              <w:bottom w:val="single" w:sz="8" w:space="0" w:color="auto"/>
              <w:right w:val="nil"/>
            </w:tcBorders>
            <w:shd w:val="clear" w:color="auto" w:fill="auto"/>
            <w:noWrap/>
            <w:vAlign w:val="center"/>
            <w:hideMark/>
          </w:tcPr>
          <w:p w14:paraId="37030979" w14:textId="0022FF1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A8F43DF" w14:textId="2936A60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52B7E7B" w14:textId="11AEDC2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09FFE9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081D7C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119CC76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Tachov</w:t>
            </w:r>
          </w:p>
        </w:tc>
        <w:tc>
          <w:tcPr>
            <w:tcW w:w="1080" w:type="dxa"/>
            <w:tcBorders>
              <w:top w:val="nil"/>
              <w:left w:val="nil"/>
              <w:bottom w:val="single" w:sz="8" w:space="0" w:color="auto"/>
              <w:right w:val="nil"/>
            </w:tcBorders>
            <w:shd w:val="clear" w:color="auto" w:fill="auto"/>
            <w:noWrap/>
            <w:vAlign w:val="center"/>
            <w:hideMark/>
          </w:tcPr>
          <w:p w14:paraId="46997907" w14:textId="20FD906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8C4E281" w14:textId="636427B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43223FE" w14:textId="506AB94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29B726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D08336D"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03FC3C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Liberec</w:t>
            </w:r>
          </w:p>
        </w:tc>
        <w:tc>
          <w:tcPr>
            <w:tcW w:w="1080" w:type="dxa"/>
            <w:tcBorders>
              <w:top w:val="nil"/>
              <w:left w:val="nil"/>
              <w:bottom w:val="single" w:sz="8" w:space="0" w:color="auto"/>
              <w:right w:val="nil"/>
            </w:tcBorders>
            <w:shd w:val="clear" w:color="auto" w:fill="auto"/>
            <w:noWrap/>
            <w:vAlign w:val="center"/>
            <w:hideMark/>
          </w:tcPr>
          <w:p w14:paraId="6945DAFE" w14:textId="1EC2BEC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7EF233B" w14:textId="7F1B15A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C2769EB" w14:textId="370D301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F17544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1261D6B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EA9D9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Most</w:t>
            </w:r>
          </w:p>
        </w:tc>
        <w:tc>
          <w:tcPr>
            <w:tcW w:w="1080" w:type="dxa"/>
            <w:tcBorders>
              <w:top w:val="nil"/>
              <w:left w:val="nil"/>
              <w:bottom w:val="single" w:sz="8" w:space="0" w:color="auto"/>
              <w:right w:val="nil"/>
            </w:tcBorders>
            <w:shd w:val="clear" w:color="auto" w:fill="auto"/>
            <w:noWrap/>
            <w:vAlign w:val="center"/>
            <w:hideMark/>
          </w:tcPr>
          <w:p w14:paraId="15071C1E" w14:textId="4DD6925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CCE657E" w14:textId="2FE6282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5186E43" w14:textId="6211FC7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54AD1D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3B9C4AB7"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E77E72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Chrudim</w:t>
            </w:r>
          </w:p>
        </w:tc>
        <w:tc>
          <w:tcPr>
            <w:tcW w:w="1080" w:type="dxa"/>
            <w:tcBorders>
              <w:top w:val="nil"/>
              <w:left w:val="nil"/>
              <w:bottom w:val="single" w:sz="8" w:space="0" w:color="auto"/>
              <w:right w:val="nil"/>
            </w:tcBorders>
            <w:shd w:val="clear" w:color="auto" w:fill="auto"/>
            <w:noWrap/>
            <w:vAlign w:val="center"/>
            <w:hideMark/>
          </w:tcPr>
          <w:p w14:paraId="68EAA7FD" w14:textId="25B1188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D3B8E4C" w14:textId="07C7CA0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0CEB6FA" w14:textId="69A0049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54E65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BE8FCC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5EB27C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Náchod</w:t>
            </w:r>
          </w:p>
        </w:tc>
        <w:tc>
          <w:tcPr>
            <w:tcW w:w="1080" w:type="dxa"/>
            <w:tcBorders>
              <w:top w:val="nil"/>
              <w:left w:val="nil"/>
              <w:bottom w:val="single" w:sz="8" w:space="0" w:color="auto"/>
              <w:right w:val="nil"/>
            </w:tcBorders>
            <w:shd w:val="clear" w:color="auto" w:fill="auto"/>
            <w:noWrap/>
            <w:vAlign w:val="center"/>
            <w:hideMark/>
          </w:tcPr>
          <w:p w14:paraId="5962845D" w14:textId="0F41D02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337CDA19" w14:textId="33D32E0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7C7C3A7" w14:textId="71D3B94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5A9BDF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216247D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4362E8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Ústí nad Orlicí</w:t>
            </w:r>
          </w:p>
        </w:tc>
        <w:tc>
          <w:tcPr>
            <w:tcW w:w="1080" w:type="dxa"/>
            <w:tcBorders>
              <w:top w:val="nil"/>
              <w:left w:val="nil"/>
              <w:bottom w:val="single" w:sz="8" w:space="0" w:color="auto"/>
              <w:right w:val="nil"/>
            </w:tcBorders>
            <w:shd w:val="clear" w:color="auto" w:fill="auto"/>
            <w:noWrap/>
            <w:vAlign w:val="center"/>
            <w:hideMark/>
          </w:tcPr>
          <w:p w14:paraId="1DA452A8" w14:textId="7C0011D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403A76F" w14:textId="3DB413B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B3B3433" w14:textId="7E36630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94E716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7A0806A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26A52B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Nový Jičín</w:t>
            </w:r>
          </w:p>
        </w:tc>
        <w:tc>
          <w:tcPr>
            <w:tcW w:w="1080" w:type="dxa"/>
            <w:tcBorders>
              <w:top w:val="nil"/>
              <w:left w:val="nil"/>
              <w:bottom w:val="single" w:sz="8" w:space="0" w:color="auto"/>
              <w:right w:val="nil"/>
            </w:tcBorders>
            <w:shd w:val="clear" w:color="auto" w:fill="auto"/>
            <w:noWrap/>
            <w:vAlign w:val="center"/>
            <w:hideMark/>
          </w:tcPr>
          <w:p w14:paraId="53F39031" w14:textId="606E389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1EF889C" w14:textId="17D5120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D58963A" w14:textId="333A61E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6A87E27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6CF229D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20F45EE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Opava</w:t>
            </w:r>
          </w:p>
        </w:tc>
        <w:tc>
          <w:tcPr>
            <w:tcW w:w="1080" w:type="dxa"/>
            <w:tcBorders>
              <w:top w:val="nil"/>
              <w:left w:val="nil"/>
              <w:bottom w:val="single" w:sz="8" w:space="0" w:color="auto"/>
              <w:right w:val="nil"/>
            </w:tcBorders>
            <w:shd w:val="clear" w:color="auto" w:fill="auto"/>
            <w:noWrap/>
            <w:vAlign w:val="center"/>
            <w:hideMark/>
          </w:tcPr>
          <w:p w14:paraId="59E9B821" w14:textId="00326CE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649BF9F" w14:textId="15C2C6E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6493DB6" w14:textId="2647876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2D127D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CRS</w:t>
            </w:r>
          </w:p>
        </w:tc>
      </w:tr>
      <w:tr w:rsidR="008430BD" w:rsidRPr="001C3EC8" w14:paraId="0FAF175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213BE29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Prachatice</w:t>
            </w:r>
          </w:p>
        </w:tc>
        <w:tc>
          <w:tcPr>
            <w:tcW w:w="1080" w:type="dxa"/>
            <w:tcBorders>
              <w:top w:val="nil"/>
              <w:left w:val="nil"/>
              <w:bottom w:val="single" w:sz="8" w:space="0" w:color="auto"/>
              <w:right w:val="nil"/>
            </w:tcBorders>
            <w:shd w:val="clear" w:color="auto" w:fill="auto"/>
            <w:noWrap/>
            <w:vAlign w:val="center"/>
            <w:hideMark/>
          </w:tcPr>
          <w:p w14:paraId="116F96D7" w14:textId="25673CB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0,992</w:t>
            </w:r>
          </w:p>
        </w:tc>
        <w:tc>
          <w:tcPr>
            <w:tcW w:w="1080" w:type="dxa"/>
            <w:tcBorders>
              <w:top w:val="nil"/>
              <w:left w:val="nil"/>
              <w:bottom w:val="single" w:sz="8" w:space="0" w:color="auto"/>
              <w:right w:val="nil"/>
            </w:tcBorders>
            <w:shd w:val="clear" w:color="auto" w:fill="auto"/>
            <w:noWrap/>
            <w:vAlign w:val="center"/>
            <w:hideMark/>
          </w:tcPr>
          <w:p w14:paraId="00FA787F" w14:textId="7AD7EA8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23ED5111" w14:textId="5E38E76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0,992</w:t>
            </w:r>
          </w:p>
        </w:tc>
        <w:tc>
          <w:tcPr>
            <w:tcW w:w="1080" w:type="dxa"/>
            <w:tcBorders>
              <w:top w:val="nil"/>
              <w:left w:val="nil"/>
              <w:bottom w:val="single" w:sz="8" w:space="0" w:color="auto"/>
              <w:right w:val="nil"/>
            </w:tcBorders>
            <w:shd w:val="clear" w:color="auto" w:fill="auto"/>
            <w:noWrap/>
            <w:vAlign w:val="center"/>
            <w:hideMark/>
          </w:tcPr>
          <w:p w14:paraId="624BC41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0E3E862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B201AF5" w14:textId="2BC37452"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Praha</w:t>
            </w:r>
            <w:r>
              <w:rPr>
                <w:rFonts w:eastAsia="Times New Roman"/>
                <w:color w:val="000000" w:themeColor="text1"/>
                <w:szCs w:val="24"/>
                <w:lang w:eastAsia="cs-CZ"/>
              </w:rPr>
              <w:noBreakHyphen/>
              <w:t>v</w:t>
            </w:r>
            <w:r w:rsidR="008430BD" w:rsidRPr="001C3EC8">
              <w:rPr>
                <w:rFonts w:eastAsia="Times New Roman"/>
                <w:color w:val="000000" w:themeColor="text1"/>
                <w:szCs w:val="24"/>
                <w:lang w:eastAsia="cs-CZ"/>
              </w:rPr>
              <w:t>ýchod</w:t>
            </w:r>
          </w:p>
        </w:tc>
        <w:tc>
          <w:tcPr>
            <w:tcW w:w="1080" w:type="dxa"/>
            <w:tcBorders>
              <w:top w:val="nil"/>
              <w:left w:val="nil"/>
              <w:bottom w:val="single" w:sz="8" w:space="0" w:color="auto"/>
              <w:right w:val="nil"/>
            </w:tcBorders>
            <w:shd w:val="clear" w:color="auto" w:fill="auto"/>
            <w:noWrap/>
            <w:vAlign w:val="center"/>
            <w:hideMark/>
          </w:tcPr>
          <w:p w14:paraId="29B7107B" w14:textId="24C0D66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0,991</w:t>
            </w:r>
          </w:p>
        </w:tc>
        <w:tc>
          <w:tcPr>
            <w:tcW w:w="1080" w:type="dxa"/>
            <w:tcBorders>
              <w:top w:val="nil"/>
              <w:left w:val="nil"/>
              <w:bottom w:val="single" w:sz="8" w:space="0" w:color="auto"/>
              <w:right w:val="nil"/>
            </w:tcBorders>
            <w:shd w:val="clear" w:color="auto" w:fill="auto"/>
            <w:noWrap/>
            <w:vAlign w:val="center"/>
            <w:hideMark/>
          </w:tcPr>
          <w:p w14:paraId="6F00129A" w14:textId="29A4486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0,992</w:t>
            </w:r>
          </w:p>
        </w:tc>
        <w:tc>
          <w:tcPr>
            <w:tcW w:w="1080" w:type="dxa"/>
            <w:tcBorders>
              <w:top w:val="nil"/>
              <w:left w:val="nil"/>
              <w:bottom w:val="single" w:sz="8" w:space="0" w:color="auto"/>
              <w:right w:val="nil"/>
            </w:tcBorders>
            <w:shd w:val="clear" w:color="auto" w:fill="auto"/>
            <w:noWrap/>
            <w:vAlign w:val="center"/>
            <w:hideMark/>
          </w:tcPr>
          <w:p w14:paraId="70D68891" w14:textId="4B6ABB7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1420E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23F8DE6D"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FAD11C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Litoměřice</w:t>
            </w:r>
          </w:p>
        </w:tc>
        <w:tc>
          <w:tcPr>
            <w:tcW w:w="1080" w:type="dxa"/>
            <w:tcBorders>
              <w:top w:val="nil"/>
              <w:left w:val="nil"/>
              <w:bottom w:val="single" w:sz="8" w:space="0" w:color="auto"/>
              <w:right w:val="nil"/>
            </w:tcBorders>
            <w:shd w:val="clear" w:color="auto" w:fill="auto"/>
            <w:noWrap/>
            <w:vAlign w:val="center"/>
            <w:hideMark/>
          </w:tcPr>
          <w:p w14:paraId="7D900569" w14:textId="0C8B8B2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0,990</w:t>
            </w:r>
          </w:p>
        </w:tc>
        <w:tc>
          <w:tcPr>
            <w:tcW w:w="1080" w:type="dxa"/>
            <w:tcBorders>
              <w:top w:val="nil"/>
              <w:left w:val="nil"/>
              <w:bottom w:val="single" w:sz="8" w:space="0" w:color="auto"/>
              <w:right w:val="nil"/>
            </w:tcBorders>
            <w:shd w:val="clear" w:color="auto" w:fill="auto"/>
            <w:noWrap/>
            <w:vAlign w:val="center"/>
            <w:hideMark/>
          </w:tcPr>
          <w:p w14:paraId="192C9298" w14:textId="29BB69F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E009806" w14:textId="07E72C5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0,990</w:t>
            </w:r>
          </w:p>
        </w:tc>
        <w:tc>
          <w:tcPr>
            <w:tcW w:w="1080" w:type="dxa"/>
            <w:tcBorders>
              <w:top w:val="nil"/>
              <w:left w:val="nil"/>
              <w:bottom w:val="single" w:sz="8" w:space="0" w:color="auto"/>
              <w:right w:val="nil"/>
            </w:tcBorders>
            <w:shd w:val="clear" w:color="auto" w:fill="auto"/>
            <w:noWrap/>
            <w:vAlign w:val="center"/>
            <w:hideMark/>
          </w:tcPr>
          <w:p w14:paraId="57D510F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39D6003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1D79B76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Hradec Králové</w:t>
            </w:r>
          </w:p>
        </w:tc>
        <w:tc>
          <w:tcPr>
            <w:tcW w:w="1080" w:type="dxa"/>
            <w:tcBorders>
              <w:top w:val="nil"/>
              <w:left w:val="nil"/>
              <w:bottom w:val="single" w:sz="8" w:space="0" w:color="auto"/>
              <w:right w:val="nil"/>
            </w:tcBorders>
            <w:shd w:val="clear" w:color="auto" w:fill="auto"/>
            <w:noWrap/>
            <w:vAlign w:val="center"/>
            <w:hideMark/>
          </w:tcPr>
          <w:p w14:paraId="617D4F38" w14:textId="40D31D9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0,978</w:t>
            </w:r>
          </w:p>
        </w:tc>
        <w:tc>
          <w:tcPr>
            <w:tcW w:w="1080" w:type="dxa"/>
            <w:tcBorders>
              <w:top w:val="nil"/>
              <w:left w:val="nil"/>
              <w:bottom w:val="single" w:sz="8" w:space="0" w:color="auto"/>
              <w:right w:val="nil"/>
            </w:tcBorders>
            <w:shd w:val="clear" w:color="auto" w:fill="auto"/>
            <w:noWrap/>
            <w:vAlign w:val="center"/>
            <w:hideMark/>
          </w:tcPr>
          <w:p w14:paraId="1F54F3A8" w14:textId="2B3E131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0,984</w:t>
            </w:r>
          </w:p>
        </w:tc>
        <w:tc>
          <w:tcPr>
            <w:tcW w:w="1080" w:type="dxa"/>
            <w:tcBorders>
              <w:top w:val="nil"/>
              <w:left w:val="nil"/>
              <w:bottom w:val="single" w:sz="8" w:space="0" w:color="auto"/>
              <w:right w:val="nil"/>
            </w:tcBorders>
            <w:shd w:val="clear" w:color="auto" w:fill="auto"/>
            <w:noWrap/>
            <w:vAlign w:val="center"/>
            <w:hideMark/>
          </w:tcPr>
          <w:p w14:paraId="1914457B" w14:textId="068BC6B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0,994</w:t>
            </w:r>
          </w:p>
        </w:tc>
        <w:tc>
          <w:tcPr>
            <w:tcW w:w="1080" w:type="dxa"/>
            <w:tcBorders>
              <w:top w:val="nil"/>
              <w:left w:val="nil"/>
              <w:bottom w:val="single" w:sz="8" w:space="0" w:color="auto"/>
              <w:right w:val="nil"/>
            </w:tcBorders>
            <w:shd w:val="clear" w:color="auto" w:fill="auto"/>
            <w:noWrap/>
            <w:vAlign w:val="center"/>
            <w:hideMark/>
          </w:tcPr>
          <w:p w14:paraId="39BA442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1CF3303F"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1D2E23E" w14:textId="19EB2F05"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Plzeň</w:t>
            </w:r>
            <w:r>
              <w:rPr>
                <w:rFonts w:eastAsia="Times New Roman"/>
                <w:color w:val="000000" w:themeColor="text1"/>
                <w:szCs w:val="24"/>
                <w:lang w:eastAsia="cs-CZ"/>
              </w:rPr>
              <w:noBreakHyphen/>
            </w:r>
            <w:r w:rsidR="008430BD" w:rsidRPr="001C3EC8">
              <w:rPr>
                <w:rFonts w:eastAsia="Times New Roman"/>
                <w:color w:val="000000" w:themeColor="text1"/>
                <w:szCs w:val="24"/>
                <w:lang w:eastAsia="cs-CZ"/>
              </w:rPr>
              <w:t>sever</w:t>
            </w:r>
          </w:p>
        </w:tc>
        <w:tc>
          <w:tcPr>
            <w:tcW w:w="1080" w:type="dxa"/>
            <w:tcBorders>
              <w:top w:val="nil"/>
              <w:left w:val="nil"/>
              <w:bottom w:val="single" w:sz="8" w:space="0" w:color="auto"/>
              <w:right w:val="nil"/>
            </w:tcBorders>
            <w:shd w:val="clear" w:color="auto" w:fill="auto"/>
            <w:noWrap/>
            <w:vAlign w:val="center"/>
            <w:hideMark/>
          </w:tcPr>
          <w:p w14:paraId="723E616D" w14:textId="5DBD906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0,977</w:t>
            </w:r>
          </w:p>
        </w:tc>
        <w:tc>
          <w:tcPr>
            <w:tcW w:w="1080" w:type="dxa"/>
            <w:tcBorders>
              <w:top w:val="nil"/>
              <w:left w:val="nil"/>
              <w:bottom w:val="single" w:sz="8" w:space="0" w:color="auto"/>
              <w:right w:val="nil"/>
            </w:tcBorders>
            <w:shd w:val="clear" w:color="auto" w:fill="auto"/>
            <w:noWrap/>
            <w:vAlign w:val="center"/>
            <w:hideMark/>
          </w:tcPr>
          <w:p w14:paraId="5E2C8AEE" w14:textId="39E2EFC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0,978</w:t>
            </w:r>
          </w:p>
        </w:tc>
        <w:tc>
          <w:tcPr>
            <w:tcW w:w="1080" w:type="dxa"/>
            <w:tcBorders>
              <w:top w:val="nil"/>
              <w:left w:val="nil"/>
              <w:bottom w:val="single" w:sz="8" w:space="0" w:color="auto"/>
              <w:right w:val="nil"/>
            </w:tcBorders>
            <w:shd w:val="clear" w:color="auto" w:fill="auto"/>
            <w:noWrap/>
            <w:vAlign w:val="center"/>
            <w:hideMark/>
          </w:tcPr>
          <w:p w14:paraId="6DDAC1DF" w14:textId="04DF01E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0,999</w:t>
            </w:r>
          </w:p>
        </w:tc>
        <w:tc>
          <w:tcPr>
            <w:tcW w:w="1080" w:type="dxa"/>
            <w:tcBorders>
              <w:top w:val="nil"/>
              <w:left w:val="nil"/>
              <w:bottom w:val="single" w:sz="8" w:space="0" w:color="auto"/>
              <w:right w:val="nil"/>
            </w:tcBorders>
            <w:shd w:val="clear" w:color="auto" w:fill="auto"/>
            <w:noWrap/>
            <w:vAlign w:val="center"/>
            <w:hideMark/>
          </w:tcPr>
          <w:p w14:paraId="7C4C7A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68BD6BA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88EAD8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Hodonín</w:t>
            </w:r>
          </w:p>
        </w:tc>
        <w:tc>
          <w:tcPr>
            <w:tcW w:w="1080" w:type="dxa"/>
            <w:tcBorders>
              <w:top w:val="nil"/>
              <w:left w:val="nil"/>
              <w:bottom w:val="single" w:sz="8" w:space="0" w:color="auto"/>
              <w:right w:val="nil"/>
            </w:tcBorders>
            <w:shd w:val="clear" w:color="auto" w:fill="auto"/>
            <w:noWrap/>
            <w:vAlign w:val="center"/>
            <w:hideMark/>
          </w:tcPr>
          <w:p w14:paraId="54A45A01" w14:textId="09BB8BD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0,977</w:t>
            </w:r>
          </w:p>
        </w:tc>
        <w:tc>
          <w:tcPr>
            <w:tcW w:w="1080" w:type="dxa"/>
            <w:tcBorders>
              <w:top w:val="nil"/>
              <w:left w:val="nil"/>
              <w:bottom w:val="single" w:sz="8" w:space="0" w:color="auto"/>
              <w:right w:val="nil"/>
            </w:tcBorders>
            <w:shd w:val="clear" w:color="auto" w:fill="auto"/>
            <w:noWrap/>
            <w:vAlign w:val="center"/>
            <w:hideMark/>
          </w:tcPr>
          <w:p w14:paraId="401DAE28" w14:textId="6C27EC8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0,977</w:t>
            </w:r>
          </w:p>
        </w:tc>
        <w:tc>
          <w:tcPr>
            <w:tcW w:w="1080" w:type="dxa"/>
            <w:tcBorders>
              <w:top w:val="nil"/>
              <w:left w:val="nil"/>
              <w:bottom w:val="single" w:sz="8" w:space="0" w:color="auto"/>
              <w:right w:val="nil"/>
            </w:tcBorders>
            <w:shd w:val="clear" w:color="auto" w:fill="auto"/>
            <w:noWrap/>
            <w:vAlign w:val="center"/>
            <w:hideMark/>
          </w:tcPr>
          <w:p w14:paraId="4DAF0D8C" w14:textId="523B004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4FA785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714C166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5D8493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Rychnov nad Kněžnou</w:t>
            </w:r>
          </w:p>
        </w:tc>
        <w:tc>
          <w:tcPr>
            <w:tcW w:w="1080" w:type="dxa"/>
            <w:tcBorders>
              <w:top w:val="nil"/>
              <w:left w:val="nil"/>
              <w:bottom w:val="single" w:sz="8" w:space="0" w:color="auto"/>
              <w:right w:val="nil"/>
            </w:tcBorders>
            <w:shd w:val="clear" w:color="auto" w:fill="auto"/>
            <w:noWrap/>
            <w:vAlign w:val="center"/>
            <w:hideMark/>
          </w:tcPr>
          <w:p w14:paraId="157E0233" w14:textId="620DAD3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0,972</w:t>
            </w:r>
          </w:p>
        </w:tc>
        <w:tc>
          <w:tcPr>
            <w:tcW w:w="1080" w:type="dxa"/>
            <w:tcBorders>
              <w:top w:val="nil"/>
              <w:left w:val="nil"/>
              <w:bottom w:val="single" w:sz="8" w:space="0" w:color="auto"/>
              <w:right w:val="nil"/>
            </w:tcBorders>
            <w:shd w:val="clear" w:color="auto" w:fill="auto"/>
            <w:noWrap/>
            <w:vAlign w:val="center"/>
            <w:hideMark/>
          </w:tcPr>
          <w:p w14:paraId="1E2726FC" w14:textId="4CDE50A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0,981</w:t>
            </w:r>
          </w:p>
        </w:tc>
        <w:tc>
          <w:tcPr>
            <w:tcW w:w="1080" w:type="dxa"/>
            <w:tcBorders>
              <w:top w:val="nil"/>
              <w:left w:val="nil"/>
              <w:bottom w:val="single" w:sz="8" w:space="0" w:color="auto"/>
              <w:right w:val="nil"/>
            </w:tcBorders>
            <w:shd w:val="clear" w:color="auto" w:fill="auto"/>
            <w:noWrap/>
            <w:vAlign w:val="center"/>
            <w:hideMark/>
          </w:tcPr>
          <w:p w14:paraId="5F0F5DD3" w14:textId="682D4D6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0,991</w:t>
            </w:r>
          </w:p>
        </w:tc>
        <w:tc>
          <w:tcPr>
            <w:tcW w:w="1080" w:type="dxa"/>
            <w:tcBorders>
              <w:top w:val="nil"/>
              <w:left w:val="nil"/>
              <w:bottom w:val="single" w:sz="8" w:space="0" w:color="auto"/>
              <w:right w:val="nil"/>
            </w:tcBorders>
            <w:shd w:val="clear" w:color="auto" w:fill="auto"/>
            <w:noWrap/>
            <w:vAlign w:val="center"/>
            <w:hideMark/>
          </w:tcPr>
          <w:p w14:paraId="6B8F3E0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58B633A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F03F7D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Klatovy</w:t>
            </w:r>
          </w:p>
        </w:tc>
        <w:tc>
          <w:tcPr>
            <w:tcW w:w="1080" w:type="dxa"/>
            <w:tcBorders>
              <w:top w:val="nil"/>
              <w:left w:val="nil"/>
              <w:bottom w:val="single" w:sz="8" w:space="0" w:color="auto"/>
              <w:right w:val="nil"/>
            </w:tcBorders>
            <w:shd w:val="clear" w:color="auto" w:fill="auto"/>
            <w:noWrap/>
            <w:vAlign w:val="center"/>
            <w:hideMark/>
          </w:tcPr>
          <w:p w14:paraId="264789D0" w14:textId="720A580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0,971</w:t>
            </w:r>
          </w:p>
        </w:tc>
        <w:tc>
          <w:tcPr>
            <w:tcW w:w="1080" w:type="dxa"/>
            <w:tcBorders>
              <w:top w:val="nil"/>
              <w:left w:val="nil"/>
              <w:bottom w:val="single" w:sz="8" w:space="0" w:color="auto"/>
              <w:right w:val="nil"/>
            </w:tcBorders>
            <w:shd w:val="clear" w:color="auto" w:fill="auto"/>
            <w:noWrap/>
            <w:vAlign w:val="center"/>
            <w:hideMark/>
          </w:tcPr>
          <w:p w14:paraId="217EA577" w14:textId="364A96B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29E82DA" w14:textId="2FB8B3A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0,971</w:t>
            </w:r>
          </w:p>
        </w:tc>
        <w:tc>
          <w:tcPr>
            <w:tcW w:w="1080" w:type="dxa"/>
            <w:tcBorders>
              <w:top w:val="nil"/>
              <w:left w:val="nil"/>
              <w:bottom w:val="single" w:sz="8" w:space="0" w:color="auto"/>
              <w:right w:val="nil"/>
            </w:tcBorders>
            <w:shd w:val="clear" w:color="auto" w:fill="auto"/>
            <w:noWrap/>
            <w:vAlign w:val="center"/>
            <w:hideMark/>
          </w:tcPr>
          <w:p w14:paraId="660E96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31988A9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0E83CD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Ústí nad Labem</w:t>
            </w:r>
          </w:p>
        </w:tc>
        <w:tc>
          <w:tcPr>
            <w:tcW w:w="1080" w:type="dxa"/>
            <w:tcBorders>
              <w:top w:val="nil"/>
              <w:left w:val="nil"/>
              <w:bottom w:val="single" w:sz="8" w:space="0" w:color="auto"/>
              <w:right w:val="nil"/>
            </w:tcBorders>
            <w:shd w:val="clear" w:color="auto" w:fill="auto"/>
            <w:noWrap/>
            <w:vAlign w:val="center"/>
            <w:hideMark/>
          </w:tcPr>
          <w:p w14:paraId="4874217C" w14:textId="2F43E8B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0,970</w:t>
            </w:r>
          </w:p>
        </w:tc>
        <w:tc>
          <w:tcPr>
            <w:tcW w:w="1080" w:type="dxa"/>
            <w:tcBorders>
              <w:top w:val="nil"/>
              <w:left w:val="nil"/>
              <w:bottom w:val="single" w:sz="8" w:space="0" w:color="auto"/>
              <w:right w:val="nil"/>
            </w:tcBorders>
            <w:shd w:val="clear" w:color="auto" w:fill="auto"/>
            <w:noWrap/>
            <w:vAlign w:val="center"/>
            <w:hideMark/>
          </w:tcPr>
          <w:p w14:paraId="2A357029" w14:textId="67645DD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0,971</w:t>
            </w:r>
          </w:p>
        </w:tc>
        <w:tc>
          <w:tcPr>
            <w:tcW w:w="1080" w:type="dxa"/>
            <w:tcBorders>
              <w:top w:val="nil"/>
              <w:left w:val="nil"/>
              <w:bottom w:val="single" w:sz="8" w:space="0" w:color="auto"/>
              <w:right w:val="nil"/>
            </w:tcBorders>
            <w:shd w:val="clear" w:color="auto" w:fill="auto"/>
            <w:noWrap/>
            <w:vAlign w:val="center"/>
            <w:hideMark/>
          </w:tcPr>
          <w:p w14:paraId="5F1C8DC3" w14:textId="3875AF1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0,999</w:t>
            </w:r>
          </w:p>
        </w:tc>
        <w:tc>
          <w:tcPr>
            <w:tcW w:w="1080" w:type="dxa"/>
            <w:tcBorders>
              <w:top w:val="nil"/>
              <w:left w:val="nil"/>
              <w:bottom w:val="single" w:sz="8" w:space="0" w:color="auto"/>
              <w:right w:val="nil"/>
            </w:tcBorders>
            <w:shd w:val="clear" w:color="auto" w:fill="auto"/>
            <w:noWrap/>
            <w:vAlign w:val="center"/>
            <w:hideMark/>
          </w:tcPr>
          <w:p w14:paraId="65776CD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1634519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409AC0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Strakonice</w:t>
            </w:r>
          </w:p>
        </w:tc>
        <w:tc>
          <w:tcPr>
            <w:tcW w:w="1080" w:type="dxa"/>
            <w:tcBorders>
              <w:top w:val="nil"/>
              <w:left w:val="nil"/>
              <w:bottom w:val="single" w:sz="8" w:space="0" w:color="auto"/>
              <w:right w:val="nil"/>
            </w:tcBorders>
            <w:shd w:val="clear" w:color="auto" w:fill="auto"/>
            <w:noWrap/>
            <w:vAlign w:val="center"/>
            <w:hideMark/>
          </w:tcPr>
          <w:p w14:paraId="421A6FD3" w14:textId="32B1EFB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0,966</w:t>
            </w:r>
          </w:p>
        </w:tc>
        <w:tc>
          <w:tcPr>
            <w:tcW w:w="1080" w:type="dxa"/>
            <w:tcBorders>
              <w:top w:val="nil"/>
              <w:left w:val="nil"/>
              <w:bottom w:val="single" w:sz="8" w:space="0" w:color="auto"/>
              <w:right w:val="nil"/>
            </w:tcBorders>
            <w:shd w:val="clear" w:color="auto" w:fill="auto"/>
            <w:noWrap/>
            <w:vAlign w:val="center"/>
            <w:hideMark/>
          </w:tcPr>
          <w:p w14:paraId="0B40CA39" w14:textId="279F633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0,976</w:t>
            </w:r>
          </w:p>
        </w:tc>
        <w:tc>
          <w:tcPr>
            <w:tcW w:w="1080" w:type="dxa"/>
            <w:tcBorders>
              <w:top w:val="nil"/>
              <w:left w:val="nil"/>
              <w:bottom w:val="single" w:sz="8" w:space="0" w:color="auto"/>
              <w:right w:val="nil"/>
            </w:tcBorders>
            <w:shd w:val="clear" w:color="auto" w:fill="auto"/>
            <w:noWrap/>
            <w:vAlign w:val="center"/>
            <w:hideMark/>
          </w:tcPr>
          <w:p w14:paraId="4F9A94A5" w14:textId="54F444B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0,989</w:t>
            </w:r>
          </w:p>
        </w:tc>
        <w:tc>
          <w:tcPr>
            <w:tcW w:w="1080" w:type="dxa"/>
            <w:tcBorders>
              <w:top w:val="nil"/>
              <w:left w:val="nil"/>
              <w:bottom w:val="single" w:sz="8" w:space="0" w:color="auto"/>
              <w:right w:val="nil"/>
            </w:tcBorders>
            <w:shd w:val="clear" w:color="auto" w:fill="auto"/>
            <w:noWrap/>
            <w:vAlign w:val="center"/>
            <w:hideMark/>
          </w:tcPr>
          <w:p w14:paraId="784550A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7DE4D06D"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02BD55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Nymburk</w:t>
            </w:r>
          </w:p>
        </w:tc>
        <w:tc>
          <w:tcPr>
            <w:tcW w:w="1080" w:type="dxa"/>
            <w:tcBorders>
              <w:top w:val="nil"/>
              <w:left w:val="nil"/>
              <w:bottom w:val="single" w:sz="8" w:space="0" w:color="auto"/>
              <w:right w:val="nil"/>
            </w:tcBorders>
            <w:shd w:val="clear" w:color="auto" w:fill="auto"/>
            <w:noWrap/>
            <w:vAlign w:val="center"/>
            <w:hideMark/>
          </w:tcPr>
          <w:p w14:paraId="5CA54F1D" w14:textId="6940CA1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0,959</w:t>
            </w:r>
          </w:p>
        </w:tc>
        <w:tc>
          <w:tcPr>
            <w:tcW w:w="1080" w:type="dxa"/>
            <w:tcBorders>
              <w:top w:val="nil"/>
              <w:left w:val="nil"/>
              <w:bottom w:val="single" w:sz="8" w:space="0" w:color="auto"/>
              <w:right w:val="nil"/>
            </w:tcBorders>
            <w:shd w:val="clear" w:color="auto" w:fill="auto"/>
            <w:noWrap/>
            <w:vAlign w:val="center"/>
            <w:hideMark/>
          </w:tcPr>
          <w:p w14:paraId="4CD8EEF7" w14:textId="1F0B8EC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0,962</w:t>
            </w:r>
          </w:p>
        </w:tc>
        <w:tc>
          <w:tcPr>
            <w:tcW w:w="1080" w:type="dxa"/>
            <w:tcBorders>
              <w:top w:val="nil"/>
              <w:left w:val="nil"/>
              <w:bottom w:val="single" w:sz="8" w:space="0" w:color="auto"/>
              <w:right w:val="nil"/>
            </w:tcBorders>
            <w:shd w:val="clear" w:color="auto" w:fill="auto"/>
            <w:noWrap/>
            <w:vAlign w:val="center"/>
            <w:hideMark/>
          </w:tcPr>
          <w:p w14:paraId="395454FE" w14:textId="63FF67F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734D77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33DE68C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E1CE14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Kladno</w:t>
            </w:r>
          </w:p>
        </w:tc>
        <w:tc>
          <w:tcPr>
            <w:tcW w:w="1080" w:type="dxa"/>
            <w:tcBorders>
              <w:top w:val="nil"/>
              <w:left w:val="nil"/>
              <w:bottom w:val="single" w:sz="8" w:space="0" w:color="auto"/>
              <w:right w:val="nil"/>
            </w:tcBorders>
            <w:shd w:val="clear" w:color="auto" w:fill="auto"/>
            <w:noWrap/>
            <w:vAlign w:val="center"/>
            <w:hideMark/>
          </w:tcPr>
          <w:p w14:paraId="44FC42FB" w14:textId="666E297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0,952</w:t>
            </w:r>
          </w:p>
        </w:tc>
        <w:tc>
          <w:tcPr>
            <w:tcW w:w="1080" w:type="dxa"/>
            <w:tcBorders>
              <w:top w:val="nil"/>
              <w:left w:val="nil"/>
              <w:bottom w:val="single" w:sz="8" w:space="0" w:color="auto"/>
              <w:right w:val="nil"/>
            </w:tcBorders>
            <w:shd w:val="clear" w:color="auto" w:fill="auto"/>
            <w:noWrap/>
            <w:vAlign w:val="center"/>
            <w:hideMark/>
          </w:tcPr>
          <w:p w14:paraId="1CA26244" w14:textId="77AB2FF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0,957</w:t>
            </w:r>
          </w:p>
        </w:tc>
        <w:tc>
          <w:tcPr>
            <w:tcW w:w="1080" w:type="dxa"/>
            <w:tcBorders>
              <w:top w:val="nil"/>
              <w:left w:val="nil"/>
              <w:bottom w:val="single" w:sz="8" w:space="0" w:color="auto"/>
              <w:right w:val="nil"/>
            </w:tcBorders>
            <w:shd w:val="clear" w:color="auto" w:fill="auto"/>
            <w:noWrap/>
            <w:vAlign w:val="center"/>
            <w:hideMark/>
          </w:tcPr>
          <w:p w14:paraId="1CA07E55" w14:textId="4072599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0,995</w:t>
            </w:r>
          </w:p>
        </w:tc>
        <w:tc>
          <w:tcPr>
            <w:tcW w:w="1080" w:type="dxa"/>
            <w:tcBorders>
              <w:top w:val="nil"/>
              <w:left w:val="nil"/>
              <w:bottom w:val="single" w:sz="8" w:space="0" w:color="auto"/>
              <w:right w:val="nil"/>
            </w:tcBorders>
            <w:shd w:val="clear" w:color="auto" w:fill="auto"/>
            <w:noWrap/>
            <w:vAlign w:val="center"/>
            <w:hideMark/>
          </w:tcPr>
          <w:p w14:paraId="541B3C2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7D750B26"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66642E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9</w:t>
            </w:r>
          </w:p>
        </w:tc>
        <w:tc>
          <w:tcPr>
            <w:tcW w:w="1080" w:type="dxa"/>
            <w:tcBorders>
              <w:top w:val="nil"/>
              <w:left w:val="nil"/>
              <w:bottom w:val="single" w:sz="8" w:space="0" w:color="auto"/>
              <w:right w:val="nil"/>
            </w:tcBorders>
            <w:shd w:val="clear" w:color="auto" w:fill="auto"/>
            <w:noWrap/>
            <w:vAlign w:val="center"/>
            <w:hideMark/>
          </w:tcPr>
          <w:p w14:paraId="4C2182FD" w14:textId="3004246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0,952</w:t>
            </w:r>
          </w:p>
        </w:tc>
        <w:tc>
          <w:tcPr>
            <w:tcW w:w="1080" w:type="dxa"/>
            <w:tcBorders>
              <w:top w:val="nil"/>
              <w:left w:val="nil"/>
              <w:bottom w:val="single" w:sz="8" w:space="0" w:color="auto"/>
              <w:right w:val="nil"/>
            </w:tcBorders>
            <w:shd w:val="clear" w:color="auto" w:fill="auto"/>
            <w:noWrap/>
            <w:vAlign w:val="center"/>
            <w:hideMark/>
          </w:tcPr>
          <w:p w14:paraId="3CAB137B" w14:textId="78E051A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0,979</w:t>
            </w:r>
          </w:p>
        </w:tc>
        <w:tc>
          <w:tcPr>
            <w:tcW w:w="1080" w:type="dxa"/>
            <w:tcBorders>
              <w:top w:val="nil"/>
              <w:left w:val="nil"/>
              <w:bottom w:val="single" w:sz="8" w:space="0" w:color="auto"/>
              <w:right w:val="nil"/>
            </w:tcBorders>
            <w:shd w:val="clear" w:color="auto" w:fill="auto"/>
            <w:noWrap/>
            <w:vAlign w:val="center"/>
            <w:hideMark/>
          </w:tcPr>
          <w:p w14:paraId="0A171AEC" w14:textId="149F77A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0,973</w:t>
            </w:r>
          </w:p>
        </w:tc>
        <w:tc>
          <w:tcPr>
            <w:tcW w:w="1080" w:type="dxa"/>
            <w:tcBorders>
              <w:top w:val="nil"/>
              <w:left w:val="nil"/>
              <w:bottom w:val="single" w:sz="8" w:space="0" w:color="auto"/>
              <w:right w:val="nil"/>
            </w:tcBorders>
            <w:shd w:val="clear" w:color="auto" w:fill="auto"/>
            <w:noWrap/>
            <w:vAlign w:val="center"/>
            <w:hideMark/>
          </w:tcPr>
          <w:p w14:paraId="33707CE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7124B4A9"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E39B17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Písek</w:t>
            </w:r>
          </w:p>
        </w:tc>
        <w:tc>
          <w:tcPr>
            <w:tcW w:w="1080" w:type="dxa"/>
            <w:tcBorders>
              <w:top w:val="nil"/>
              <w:left w:val="nil"/>
              <w:bottom w:val="single" w:sz="8" w:space="0" w:color="auto"/>
              <w:right w:val="nil"/>
            </w:tcBorders>
            <w:shd w:val="clear" w:color="auto" w:fill="auto"/>
            <w:noWrap/>
            <w:vAlign w:val="center"/>
            <w:hideMark/>
          </w:tcPr>
          <w:p w14:paraId="5659AAB2" w14:textId="4890964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0,950</w:t>
            </w:r>
          </w:p>
        </w:tc>
        <w:tc>
          <w:tcPr>
            <w:tcW w:w="1080" w:type="dxa"/>
            <w:tcBorders>
              <w:top w:val="nil"/>
              <w:left w:val="nil"/>
              <w:bottom w:val="single" w:sz="8" w:space="0" w:color="auto"/>
              <w:right w:val="nil"/>
            </w:tcBorders>
            <w:shd w:val="clear" w:color="auto" w:fill="auto"/>
            <w:noWrap/>
            <w:vAlign w:val="center"/>
            <w:hideMark/>
          </w:tcPr>
          <w:p w14:paraId="48F65CA9" w14:textId="0554DDD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0,952</w:t>
            </w:r>
          </w:p>
        </w:tc>
        <w:tc>
          <w:tcPr>
            <w:tcW w:w="1080" w:type="dxa"/>
            <w:tcBorders>
              <w:top w:val="nil"/>
              <w:left w:val="nil"/>
              <w:bottom w:val="single" w:sz="8" w:space="0" w:color="auto"/>
              <w:right w:val="nil"/>
            </w:tcBorders>
            <w:shd w:val="clear" w:color="auto" w:fill="auto"/>
            <w:noWrap/>
            <w:vAlign w:val="center"/>
            <w:hideMark/>
          </w:tcPr>
          <w:p w14:paraId="2E4D8BBF" w14:textId="26DB071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6FF6FB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3DB449D3"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2833B55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Přerov</w:t>
            </w:r>
          </w:p>
        </w:tc>
        <w:tc>
          <w:tcPr>
            <w:tcW w:w="1080" w:type="dxa"/>
            <w:tcBorders>
              <w:top w:val="nil"/>
              <w:left w:val="nil"/>
              <w:bottom w:val="single" w:sz="8" w:space="0" w:color="auto"/>
              <w:right w:val="nil"/>
            </w:tcBorders>
            <w:shd w:val="clear" w:color="auto" w:fill="auto"/>
            <w:noWrap/>
            <w:vAlign w:val="center"/>
            <w:hideMark/>
          </w:tcPr>
          <w:p w14:paraId="62C0FE35" w14:textId="679C037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0,947</w:t>
            </w:r>
          </w:p>
        </w:tc>
        <w:tc>
          <w:tcPr>
            <w:tcW w:w="1080" w:type="dxa"/>
            <w:tcBorders>
              <w:top w:val="nil"/>
              <w:left w:val="nil"/>
              <w:bottom w:val="single" w:sz="8" w:space="0" w:color="auto"/>
              <w:right w:val="nil"/>
            </w:tcBorders>
            <w:shd w:val="clear" w:color="auto" w:fill="auto"/>
            <w:noWrap/>
            <w:vAlign w:val="center"/>
            <w:hideMark/>
          </w:tcPr>
          <w:p w14:paraId="20E52028" w14:textId="0F2A095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0,949</w:t>
            </w:r>
          </w:p>
        </w:tc>
        <w:tc>
          <w:tcPr>
            <w:tcW w:w="1080" w:type="dxa"/>
            <w:tcBorders>
              <w:top w:val="nil"/>
              <w:left w:val="nil"/>
              <w:bottom w:val="single" w:sz="8" w:space="0" w:color="auto"/>
              <w:right w:val="nil"/>
            </w:tcBorders>
            <w:shd w:val="clear" w:color="auto" w:fill="auto"/>
            <w:noWrap/>
            <w:vAlign w:val="center"/>
            <w:hideMark/>
          </w:tcPr>
          <w:p w14:paraId="110F5D66" w14:textId="73F0B00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157ED4B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DB978F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881047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Jablonec nad Nisou</w:t>
            </w:r>
          </w:p>
        </w:tc>
        <w:tc>
          <w:tcPr>
            <w:tcW w:w="1080" w:type="dxa"/>
            <w:tcBorders>
              <w:top w:val="nil"/>
              <w:left w:val="nil"/>
              <w:bottom w:val="single" w:sz="8" w:space="0" w:color="auto"/>
              <w:right w:val="nil"/>
            </w:tcBorders>
            <w:shd w:val="clear" w:color="auto" w:fill="auto"/>
            <w:noWrap/>
            <w:vAlign w:val="center"/>
            <w:hideMark/>
          </w:tcPr>
          <w:p w14:paraId="1894F06C" w14:textId="673A76D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0,944</w:t>
            </w:r>
          </w:p>
        </w:tc>
        <w:tc>
          <w:tcPr>
            <w:tcW w:w="1080" w:type="dxa"/>
            <w:tcBorders>
              <w:top w:val="nil"/>
              <w:left w:val="nil"/>
              <w:bottom w:val="single" w:sz="8" w:space="0" w:color="auto"/>
              <w:right w:val="nil"/>
            </w:tcBorders>
            <w:shd w:val="clear" w:color="auto" w:fill="auto"/>
            <w:noWrap/>
            <w:vAlign w:val="center"/>
            <w:hideMark/>
          </w:tcPr>
          <w:p w14:paraId="24D812A3" w14:textId="0943115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0,946</w:t>
            </w:r>
          </w:p>
        </w:tc>
        <w:tc>
          <w:tcPr>
            <w:tcW w:w="1080" w:type="dxa"/>
            <w:tcBorders>
              <w:top w:val="nil"/>
              <w:left w:val="nil"/>
              <w:bottom w:val="single" w:sz="8" w:space="0" w:color="auto"/>
              <w:right w:val="nil"/>
            </w:tcBorders>
            <w:shd w:val="clear" w:color="auto" w:fill="auto"/>
            <w:noWrap/>
            <w:vAlign w:val="center"/>
            <w:hideMark/>
          </w:tcPr>
          <w:p w14:paraId="104FC1EC" w14:textId="5B84653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5ECF31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2F31BB12"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F61F7E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Zlín</w:t>
            </w:r>
          </w:p>
        </w:tc>
        <w:tc>
          <w:tcPr>
            <w:tcW w:w="1080" w:type="dxa"/>
            <w:tcBorders>
              <w:top w:val="nil"/>
              <w:left w:val="nil"/>
              <w:bottom w:val="single" w:sz="8" w:space="0" w:color="auto"/>
              <w:right w:val="nil"/>
            </w:tcBorders>
            <w:shd w:val="clear" w:color="auto" w:fill="auto"/>
            <w:noWrap/>
            <w:vAlign w:val="center"/>
            <w:hideMark/>
          </w:tcPr>
          <w:p w14:paraId="4C70AC97" w14:textId="17A2E3F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0,944</w:t>
            </w:r>
          </w:p>
        </w:tc>
        <w:tc>
          <w:tcPr>
            <w:tcW w:w="1080" w:type="dxa"/>
            <w:tcBorders>
              <w:top w:val="nil"/>
              <w:left w:val="nil"/>
              <w:bottom w:val="single" w:sz="8" w:space="0" w:color="auto"/>
              <w:right w:val="nil"/>
            </w:tcBorders>
            <w:shd w:val="clear" w:color="auto" w:fill="auto"/>
            <w:noWrap/>
            <w:vAlign w:val="center"/>
            <w:hideMark/>
          </w:tcPr>
          <w:p w14:paraId="1999FBDE" w14:textId="1F1870A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0,949</w:t>
            </w:r>
          </w:p>
        </w:tc>
        <w:tc>
          <w:tcPr>
            <w:tcW w:w="1080" w:type="dxa"/>
            <w:tcBorders>
              <w:top w:val="nil"/>
              <w:left w:val="nil"/>
              <w:bottom w:val="single" w:sz="8" w:space="0" w:color="auto"/>
              <w:right w:val="nil"/>
            </w:tcBorders>
            <w:shd w:val="clear" w:color="auto" w:fill="auto"/>
            <w:noWrap/>
            <w:vAlign w:val="center"/>
            <w:hideMark/>
          </w:tcPr>
          <w:p w14:paraId="4360336A" w14:textId="6F3C6A6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0,995</w:t>
            </w:r>
          </w:p>
        </w:tc>
        <w:tc>
          <w:tcPr>
            <w:tcW w:w="1080" w:type="dxa"/>
            <w:tcBorders>
              <w:top w:val="nil"/>
              <w:left w:val="nil"/>
              <w:bottom w:val="single" w:sz="8" w:space="0" w:color="auto"/>
              <w:right w:val="nil"/>
            </w:tcBorders>
            <w:shd w:val="clear" w:color="auto" w:fill="auto"/>
            <w:noWrap/>
            <w:vAlign w:val="center"/>
            <w:hideMark/>
          </w:tcPr>
          <w:p w14:paraId="5CA133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042C7645"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21E2607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Karviná</w:t>
            </w:r>
          </w:p>
        </w:tc>
        <w:tc>
          <w:tcPr>
            <w:tcW w:w="1080" w:type="dxa"/>
            <w:tcBorders>
              <w:top w:val="nil"/>
              <w:left w:val="nil"/>
              <w:bottom w:val="single" w:sz="8" w:space="0" w:color="auto"/>
              <w:right w:val="nil"/>
            </w:tcBorders>
            <w:shd w:val="clear" w:color="auto" w:fill="auto"/>
            <w:noWrap/>
            <w:vAlign w:val="center"/>
            <w:hideMark/>
          </w:tcPr>
          <w:p w14:paraId="049C1858" w14:textId="2B306F1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0,941</w:t>
            </w:r>
          </w:p>
        </w:tc>
        <w:tc>
          <w:tcPr>
            <w:tcW w:w="1080" w:type="dxa"/>
            <w:tcBorders>
              <w:top w:val="nil"/>
              <w:left w:val="nil"/>
              <w:bottom w:val="single" w:sz="8" w:space="0" w:color="auto"/>
              <w:right w:val="nil"/>
            </w:tcBorders>
            <w:shd w:val="clear" w:color="auto" w:fill="auto"/>
            <w:noWrap/>
            <w:vAlign w:val="center"/>
            <w:hideMark/>
          </w:tcPr>
          <w:p w14:paraId="735E8A48" w14:textId="58DB97F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CEBF3B4" w14:textId="04D3F30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0,941</w:t>
            </w:r>
          </w:p>
        </w:tc>
        <w:tc>
          <w:tcPr>
            <w:tcW w:w="1080" w:type="dxa"/>
            <w:tcBorders>
              <w:top w:val="nil"/>
              <w:left w:val="nil"/>
              <w:bottom w:val="single" w:sz="8" w:space="0" w:color="auto"/>
              <w:right w:val="nil"/>
            </w:tcBorders>
            <w:shd w:val="clear" w:color="auto" w:fill="auto"/>
            <w:noWrap/>
            <w:vAlign w:val="center"/>
            <w:hideMark/>
          </w:tcPr>
          <w:p w14:paraId="52F10A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7ABA194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8C1D72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Tábor</w:t>
            </w:r>
          </w:p>
        </w:tc>
        <w:tc>
          <w:tcPr>
            <w:tcW w:w="1080" w:type="dxa"/>
            <w:tcBorders>
              <w:top w:val="nil"/>
              <w:left w:val="nil"/>
              <w:bottom w:val="single" w:sz="8" w:space="0" w:color="auto"/>
              <w:right w:val="nil"/>
            </w:tcBorders>
            <w:shd w:val="clear" w:color="auto" w:fill="auto"/>
            <w:noWrap/>
            <w:vAlign w:val="center"/>
            <w:hideMark/>
          </w:tcPr>
          <w:p w14:paraId="7F680C2B" w14:textId="1FABE18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0,939</w:t>
            </w:r>
          </w:p>
        </w:tc>
        <w:tc>
          <w:tcPr>
            <w:tcW w:w="1080" w:type="dxa"/>
            <w:tcBorders>
              <w:top w:val="nil"/>
              <w:left w:val="nil"/>
              <w:bottom w:val="single" w:sz="8" w:space="0" w:color="auto"/>
              <w:right w:val="nil"/>
            </w:tcBorders>
            <w:shd w:val="clear" w:color="auto" w:fill="auto"/>
            <w:noWrap/>
            <w:vAlign w:val="center"/>
            <w:hideMark/>
          </w:tcPr>
          <w:p w14:paraId="55A7CA60" w14:textId="0EAC087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0,942</w:t>
            </w:r>
          </w:p>
        </w:tc>
        <w:tc>
          <w:tcPr>
            <w:tcW w:w="1080" w:type="dxa"/>
            <w:tcBorders>
              <w:top w:val="nil"/>
              <w:left w:val="nil"/>
              <w:bottom w:val="single" w:sz="8" w:space="0" w:color="auto"/>
              <w:right w:val="nil"/>
            </w:tcBorders>
            <w:shd w:val="clear" w:color="auto" w:fill="auto"/>
            <w:noWrap/>
            <w:vAlign w:val="center"/>
            <w:hideMark/>
          </w:tcPr>
          <w:p w14:paraId="210BAF5A" w14:textId="77C3845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5852C7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08B3F360"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068DA3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Kolín</w:t>
            </w:r>
          </w:p>
        </w:tc>
        <w:tc>
          <w:tcPr>
            <w:tcW w:w="1080" w:type="dxa"/>
            <w:tcBorders>
              <w:top w:val="nil"/>
              <w:left w:val="nil"/>
              <w:bottom w:val="single" w:sz="8" w:space="0" w:color="auto"/>
              <w:right w:val="nil"/>
            </w:tcBorders>
            <w:shd w:val="clear" w:color="auto" w:fill="auto"/>
            <w:noWrap/>
            <w:vAlign w:val="center"/>
            <w:hideMark/>
          </w:tcPr>
          <w:p w14:paraId="6187472A" w14:textId="3DC9618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0,937</w:t>
            </w:r>
          </w:p>
        </w:tc>
        <w:tc>
          <w:tcPr>
            <w:tcW w:w="1080" w:type="dxa"/>
            <w:tcBorders>
              <w:top w:val="nil"/>
              <w:left w:val="nil"/>
              <w:bottom w:val="single" w:sz="8" w:space="0" w:color="auto"/>
              <w:right w:val="nil"/>
            </w:tcBorders>
            <w:shd w:val="clear" w:color="auto" w:fill="auto"/>
            <w:noWrap/>
            <w:vAlign w:val="center"/>
            <w:hideMark/>
          </w:tcPr>
          <w:p w14:paraId="1DC20D65" w14:textId="56B9008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0,940</w:t>
            </w:r>
          </w:p>
        </w:tc>
        <w:tc>
          <w:tcPr>
            <w:tcW w:w="1080" w:type="dxa"/>
            <w:tcBorders>
              <w:top w:val="nil"/>
              <w:left w:val="nil"/>
              <w:bottom w:val="single" w:sz="8" w:space="0" w:color="auto"/>
              <w:right w:val="nil"/>
            </w:tcBorders>
            <w:shd w:val="clear" w:color="auto" w:fill="auto"/>
            <w:noWrap/>
            <w:vAlign w:val="center"/>
            <w:hideMark/>
          </w:tcPr>
          <w:p w14:paraId="3888AE30" w14:textId="3376E2C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6E8F40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532D03F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A8C537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Příbram</w:t>
            </w:r>
          </w:p>
        </w:tc>
        <w:tc>
          <w:tcPr>
            <w:tcW w:w="1080" w:type="dxa"/>
            <w:tcBorders>
              <w:top w:val="nil"/>
              <w:left w:val="nil"/>
              <w:bottom w:val="single" w:sz="8" w:space="0" w:color="auto"/>
              <w:right w:val="nil"/>
            </w:tcBorders>
            <w:shd w:val="clear" w:color="auto" w:fill="auto"/>
            <w:noWrap/>
            <w:vAlign w:val="center"/>
            <w:hideMark/>
          </w:tcPr>
          <w:p w14:paraId="746AA86F" w14:textId="6A7FD3C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0,936</w:t>
            </w:r>
          </w:p>
        </w:tc>
        <w:tc>
          <w:tcPr>
            <w:tcW w:w="1080" w:type="dxa"/>
            <w:tcBorders>
              <w:top w:val="nil"/>
              <w:left w:val="nil"/>
              <w:bottom w:val="single" w:sz="8" w:space="0" w:color="auto"/>
              <w:right w:val="nil"/>
            </w:tcBorders>
            <w:shd w:val="clear" w:color="auto" w:fill="auto"/>
            <w:noWrap/>
            <w:vAlign w:val="center"/>
            <w:hideMark/>
          </w:tcPr>
          <w:p w14:paraId="3ACCB11F" w14:textId="6DBE540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0,943</w:t>
            </w:r>
          </w:p>
        </w:tc>
        <w:tc>
          <w:tcPr>
            <w:tcW w:w="1080" w:type="dxa"/>
            <w:tcBorders>
              <w:top w:val="nil"/>
              <w:left w:val="nil"/>
              <w:bottom w:val="single" w:sz="8" w:space="0" w:color="auto"/>
              <w:right w:val="nil"/>
            </w:tcBorders>
            <w:shd w:val="clear" w:color="auto" w:fill="auto"/>
            <w:noWrap/>
            <w:vAlign w:val="center"/>
            <w:hideMark/>
          </w:tcPr>
          <w:p w14:paraId="59B3C368" w14:textId="4BFBCF2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0,993</w:t>
            </w:r>
          </w:p>
        </w:tc>
        <w:tc>
          <w:tcPr>
            <w:tcW w:w="1080" w:type="dxa"/>
            <w:tcBorders>
              <w:top w:val="nil"/>
              <w:left w:val="nil"/>
              <w:bottom w:val="single" w:sz="8" w:space="0" w:color="auto"/>
              <w:right w:val="nil"/>
            </w:tcBorders>
            <w:shd w:val="clear" w:color="auto" w:fill="auto"/>
            <w:noWrap/>
            <w:vAlign w:val="center"/>
            <w:hideMark/>
          </w:tcPr>
          <w:p w14:paraId="605C621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3C82BE41"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0FE309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Pardubice</w:t>
            </w:r>
          </w:p>
        </w:tc>
        <w:tc>
          <w:tcPr>
            <w:tcW w:w="1080" w:type="dxa"/>
            <w:tcBorders>
              <w:top w:val="nil"/>
              <w:left w:val="nil"/>
              <w:bottom w:val="single" w:sz="8" w:space="0" w:color="auto"/>
              <w:right w:val="nil"/>
            </w:tcBorders>
            <w:shd w:val="clear" w:color="auto" w:fill="auto"/>
            <w:noWrap/>
            <w:vAlign w:val="center"/>
            <w:hideMark/>
          </w:tcPr>
          <w:p w14:paraId="329ACF1F" w14:textId="6B0C53F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0,935</w:t>
            </w:r>
          </w:p>
        </w:tc>
        <w:tc>
          <w:tcPr>
            <w:tcW w:w="1080" w:type="dxa"/>
            <w:tcBorders>
              <w:top w:val="nil"/>
              <w:left w:val="nil"/>
              <w:bottom w:val="single" w:sz="8" w:space="0" w:color="auto"/>
              <w:right w:val="nil"/>
            </w:tcBorders>
            <w:shd w:val="clear" w:color="auto" w:fill="auto"/>
            <w:noWrap/>
            <w:vAlign w:val="center"/>
            <w:hideMark/>
          </w:tcPr>
          <w:p w14:paraId="7808AFED" w14:textId="307855A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0,940</w:t>
            </w:r>
          </w:p>
        </w:tc>
        <w:tc>
          <w:tcPr>
            <w:tcW w:w="1080" w:type="dxa"/>
            <w:tcBorders>
              <w:top w:val="nil"/>
              <w:left w:val="nil"/>
              <w:bottom w:val="single" w:sz="8" w:space="0" w:color="auto"/>
              <w:right w:val="nil"/>
            </w:tcBorders>
            <w:shd w:val="clear" w:color="auto" w:fill="auto"/>
            <w:noWrap/>
            <w:vAlign w:val="center"/>
            <w:hideMark/>
          </w:tcPr>
          <w:p w14:paraId="00521060" w14:textId="6183D1E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0,995</w:t>
            </w:r>
          </w:p>
        </w:tc>
        <w:tc>
          <w:tcPr>
            <w:tcW w:w="1080" w:type="dxa"/>
            <w:tcBorders>
              <w:top w:val="nil"/>
              <w:left w:val="nil"/>
              <w:bottom w:val="single" w:sz="8" w:space="0" w:color="auto"/>
              <w:right w:val="nil"/>
            </w:tcBorders>
            <w:shd w:val="clear" w:color="auto" w:fill="auto"/>
            <w:noWrap/>
            <w:vAlign w:val="center"/>
            <w:hideMark/>
          </w:tcPr>
          <w:p w14:paraId="674AD2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08706D1F"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EC98A9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lastRenderedPageBreak/>
              <w:t>Mělník</w:t>
            </w:r>
          </w:p>
        </w:tc>
        <w:tc>
          <w:tcPr>
            <w:tcW w:w="1080" w:type="dxa"/>
            <w:tcBorders>
              <w:top w:val="nil"/>
              <w:left w:val="nil"/>
              <w:bottom w:val="single" w:sz="8" w:space="0" w:color="auto"/>
              <w:right w:val="nil"/>
            </w:tcBorders>
            <w:shd w:val="clear" w:color="auto" w:fill="auto"/>
            <w:noWrap/>
            <w:vAlign w:val="center"/>
            <w:hideMark/>
          </w:tcPr>
          <w:p w14:paraId="14D5DD68" w14:textId="1A2EC22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0,935</w:t>
            </w:r>
          </w:p>
        </w:tc>
        <w:tc>
          <w:tcPr>
            <w:tcW w:w="1080" w:type="dxa"/>
            <w:tcBorders>
              <w:top w:val="nil"/>
              <w:left w:val="nil"/>
              <w:bottom w:val="single" w:sz="8" w:space="0" w:color="auto"/>
              <w:right w:val="nil"/>
            </w:tcBorders>
            <w:shd w:val="clear" w:color="auto" w:fill="auto"/>
            <w:noWrap/>
            <w:vAlign w:val="center"/>
            <w:hideMark/>
          </w:tcPr>
          <w:p w14:paraId="6B9B94A7" w14:textId="2D61D26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0,938</w:t>
            </w:r>
          </w:p>
        </w:tc>
        <w:tc>
          <w:tcPr>
            <w:tcW w:w="1080" w:type="dxa"/>
            <w:tcBorders>
              <w:top w:val="nil"/>
              <w:left w:val="nil"/>
              <w:bottom w:val="single" w:sz="8" w:space="0" w:color="auto"/>
              <w:right w:val="nil"/>
            </w:tcBorders>
            <w:shd w:val="clear" w:color="auto" w:fill="auto"/>
            <w:noWrap/>
            <w:vAlign w:val="center"/>
            <w:hideMark/>
          </w:tcPr>
          <w:p w14:paraId="4AA2BB82" w14:textId="1E2D6FD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6000595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42141D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C17042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Jeseník</w:t>
            </w:r>
          </w:p>
        </w:tc>
        <w:tc>
          <w:tcPr>
            <w:tcW w:w="1080" w:type="dxa"/>
            <w:tcBorders>
              <w:top w:val="nil"/>
              <w:left w:val="nil"/>
              <w:bottom w:val="single" w:sz="8" w:space="0" w:color="auto"/>
              <w:right w:val="nil"/>
            </w:tcBorders>
            <w:shd w:val="clear" w:color="auto" w:fill="auto"/>
            <w:noWrap/>
            <w:vAlign w:val="center"/>
            <w:hideMark/>
          </w:tcPr>
          <w:p w14:paraId="7A07D184" w14:textId="4603128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0,929</w:t>
            </w:r>
          </w:p>
        </w:tc>
        <w:tc>
          <w:tcPr>
            <w:tcW w:w="1080" w:type="dxa"/>
            <w:tcBorders>
              <w:top w:val="nil"/>
              <w:left w:val="nil"/>
              <w:bottom w:val="single" w:sz="8" w:space="0" w:color="auto"/>
              <w:right w:val="nil"/>
            </w:tcBorders>
            <w:shd w:val="clear" w:color="auto" w:fill="auto"/>
            <w:noWrap/>
            <w:vAlign w:val="center"/>
            <w:hideMark/>
          </w:tcPr>
          <w:p w14:paraId="18FDA460" w14:textId="4ADD100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597AE3F" w14:textId="2C00798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0,929</w:t>
            </w:r>
          </w:p>
        </w:tc>
        <w:tc>
          <w:tcPr>
            <w:tcW w:w="1080" w:type="dxa"/>
            <w:tcBorders>
              <w:top w:val="nil"/>
              <w:left w:val="nil"/>
              <w:bottom w:val="single" w:sz="8" w:space="0" w:color="auto"/>
              <w:right w:val="nil"/>
            </w:tcBorders>
            <w:shd w:val="clear" w:color="auto" w:fill="auto"/>
            <w:noWrap/>
            <w:vAlign w:val="center"/>
            <w:hideMark/>
          </w:tcPr>
          <w:p w14:paraId="370489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C518483"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AE829E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Pelhřimov</w:t>
            </w:r>
          </w:p>
        </w:tc>
        <w:tc>
          <w:tcPr>
            <w:tcW w:w="1080" w:type="dxa"/>
            <w:tcBorders>
              <w:top w:val="nil"/>
              <w:left w:val="nil"/>
              <w:bottom w:val="single" w:sz="8" w:space="0" w:color="auto"/>
              <w:right w:val="nil"/>
            </w:tcBorders>
            <w:shd w:val="clear" w:color="auto" w:fill="auto"/>
            <w:noWrap/>
            <w:vAlign w:val="center"/>
            <w:hideMark/>
          </w:tcPr>
          <w:p w14:paraId="479C575D" w14:textId="56F4476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0,927</w:t>
            </w:r>
          </w:p>
        </w:tc>
        <w:tc>
          <w:tcPr>
            <w:tcW w:w="1080" w:type="dxa"/>
            <w:tcBorders>
              <w:top w:val="nil"/>
              <w:left w:val="nil"/>
              <w:bottom w:val="single" w:sz="8" w:space="0" w:color="auto"/>
              <w:right w:val="nil"/>
            </w:tcBorders>
            <w:shd w:val="clear" w:color="auto" w:fill="auto"/>
            <w:noWrap/>
            <w:vAlign w:val="center"/>
            <w:hideMark/>
          </w:tcPr>
          <w:p w14:paraId="53D05975" w14:textId="5F02EE2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0,960</w:t>
            </w:r>
          </w:p>
        </w:tc>
        <w:tc>
          <w:tcPr>
            <w:tcW w:w="1080" w:type="dxa"/>
            <w:tcBorders>
              <w:top w:val="nil"/>
              <w:left w:val="nil"/>
              <w:bottom w:val="single" w:sz="8" w:space="0" w:color="auto"/>
              <w:right w:val="nil"/>
            </w:tcBorders>
            <w:shd w:val="clear" w:color="auto" w:fill="auto"/>
            <w:noWrap/>
            <w:vAlign w:val="center"/>
            <w:hideMark/>
          </w:tcPr>
          <w:p w14:paraId="7B04D310" w14:textId="6914128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0,965</w:t>
            </w:r>
          </w:p>
        </w:tc>
        <w:tc>
          <w:tcPr>
            <w:tcW w:w="1080" w:type="dxa"/>
            <w:tcBorders>
              <w:top w:val="nil"/>
              <w:left w:val="nil"/>
              <w:bottom w:val="single" w:sz="8" w:space="0" w:color="auto"/>
              <w:right w:val="nil"/>
            </w:tcBorders>
            <w:shd w:val="clear" w:color="auto" w:fill="auto"/>
            <w:noWrap/>
            <w:vAlign w:val="center"/>
            <w:hideMark/>
          </w:tcPr>
          <w:p w14:paraId="03220C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5572BA3F"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E557B5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Sokolov</w:t>
            </w:r>
          </w:p>
        </w:tc>
        <w:tc>
          <w:tcPr>
            <w:tcW w:w="1080" w:type="dxa"/>
            <w:tcBorders>
              <w:top w:val="nil"/>
              <w:left w:val="nil"/>
              <w:bottom w:val="single" w:sz="8" w:space="0" w:color="auto"/>
              <w:right w:val="nil"/>
            </w:tcBorders>
            <w:shd w:val="clear" w:color="auto" w:fill="auto"/>
            <w:noWrap/>
            <w:vAlign w:val="center"/>
            <w:hideMark/>
          </w:tcPr>
          <w:p w14:paraId="6069C312" w14:textId="0201EBD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0,924</w:t>
            </w:r>
          </w:p>
        </w:tc>
        <w:tc>
          <w:tcPr>
            <w:tcW w:w="1080" w:type="dxa"/>
            <w:tcBorders>
              <w:top w:val="nil"/>
              <w:left w:val="nil"/>
              <w:bottom w:val="single" w:sz="8" w:space="0" w:color="auto"/>
              <w:right w:val="nil"/>
            </w:tcBorders>
            <w:shd w:val="clear" w:color="auto" w:fill="auto"/>
            <w:noWrap/>
            <w:vAlign w:val="center"/>
            <w:hideMark/>
          </w:tcPr>
          <w:p w14:paraId="546D7D27" w14:textId="2CD97CF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0,926</w:t>
            </w:r>
          </w:p>
        </w:tc>
        <w:tc>
          <w:tcPr>
            <w:tcW w:w="1080" w:type="dxa"/>
            <w:tcBorders>
              <w:top w:val="nil"/>
              <w:left w:val="nil"/>
              <w:bottom w:val="single" w:sz="8" w:space="0" w:color="auto"/>
              <w:right w:val="nil"/>
            </w:tcBorders>
            <w:shd w:val="clear" w:color="auto" w:fill="auto"/>
            <w:noWrap/>
            <w:vAlign w:val="center"/>
            <w:hideMark/>
          </w:tcPr>
          <w:p w14:paraId="0767256D" w14:textId="7C4BC3F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1B137B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70CF369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2D5FDED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Cheb</w:t>
            </w:r>
          </w:p>
        </w:tc>
        <w:tc>
          <w:tcPr>
            <w:tcW w:w="1080" w:type="dxa"/>
            <w:tcBorders>
              <w:top w:val="nil"/>
              <w:left w:val="nil"/>
              <w:bottom w:val="single" w:sz="8" w:space="0" w:color="auto"/>
              <w:right w:val="nil"/>
            </w:tcBorders>
            <w:shd w:val="clear" w:color="auto" w:fill="auto"/>
            <w:noWrap/>
            <w:vAlign w:val="center"/>
            <w:hideMark/>
          </w:tcPr>
          <w:p w14:paraId="51F4199F" w14:textId="3F6EBC3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0,920</w:t>
            </w:r>
          </w:p>
        </w:tc>
        <w:tc>
          <w:tcPr>
            <w:tcW w:w="1080" w:type="dxa"/>
            <w:tcBorders>
              <w:top w:val="nil"/>
              <w:left w:val="nil"/>
              <w:bottom w:val="single" w:sz="8" w:space="0" w:color="auto"/>
              <w:right w:val="nil"/>
            </w:tcBorders>
            <w:shd w:val="clear" w:color="auto" w:fill="auto"/>
            <w:noWrap/>
            <w:vAlign w:val="center"/>
            <w:hideMark/>
          </w:tcPr>
          <w:p w14:paraId="1C87C1DB" w14:textId="66174D3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0,920</w:t>
            </w:r>
          </w:p>
        </w:tc>
        <w:tc>
          <w:tcPr>
            <w:tcW w:w="1080" w:type="dxa"/>
            <w:tcBorders>
              <w:top w:val="nil"/>
              <w:left w:val="nil"/>
              <w:bottom w:val="single" w:sz="8" w:space="0" w:color="auto"/>
              <w:right w:val="nil"/>
            </w:tcBorders>
            <w:shd w:val="clear" w:color="auto" w:fill="auto"/>
            <w:noWrap/>
            <w:vAlign w:val="center"/>
            <w:hideMark/>
          </w:tcPr>
          <w:p w14:paraId="1F24A0EA" w14:textId="5DC0E53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B3DE6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721CA47C"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86DBA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Rokycany</w:t>
            </w:r>
          </w:p>
        </w:tc>
        <w:tc>
          <w:tcPr>
            <w:tcW w:w="1080" w:type="dxa"/>
            <w:tcBorders>
              <w:top w:val="nil"/>
              <w:left w:val="nil"/>
              <w:bottom w:val="single" w:sz="8" w:space="0" w:color="auto"/>
              <w:right w:val="nil"/>
            </w:tcBorders>
            <w:shd w:val="clear" w:color="auto" w:fill="auto"/>
            <w:noWrap/>
            <w:vAlign w:val="center"/>
            <w:hideMark/>
          </w:tcPr>
          <w:p w14:paraId="04A19897" w14:textId="782C014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0,919</w:t>
            </w:r>
          </w:p>
        </w:tc>
        <w:tc>
          <w:tcPr>
            <w:tcW w:w="1080" w:type="dxa"/>
            <w:tcBorders>
              <w:top w:val="nil"/>
              <w:left w:val="nil"/>
              <w:bottom w:val="single" w:sz="8" w:space="0" w:color="auto"/>
              <w:right w:val="nil"/>
            </w:tcBorders>
            <w:shd w:val="clear" w:color="auto" w:fill="auto"/>
            <w:noWrap/>
            <w:vAlign w:val="center"/>
            <w:hideMark/>
          </w:tcPr>
          <w:p w14:paraId="4667879C" w14:textId="77C605E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CCA52B4" w14:textId="2666CF1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0,919</w:t>
            </w:r>
          </w:p>
        </w:tc>
        <w:tc>
          <w:tcPr>
            <w:tcW w:w="1080" w:type="dxa"/>
            <w:tcBorders>
              <w:top w:val="nil"/>
              <w:left w:val="nil"/>
              <w:bottom w:val="single" w:sz="8" w:space="0" w:color="auto"/>
              <w:right w:val="nil"/>
            </w:tcBorders>
            <w:shd w:val="clear" w:color="auto" w:fill="auto"/>
            <w:noWrap/>
            <w:vAlign w:val="center"/>
            <w:hideMark/>
          </w:tcPr>
          <w:p w14:paraId="48D36D8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6B50003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FDF12D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Jindřichův Hradec</w:t>
            </w:r>
          </w:p>
        </w:tc>
        <w:tc>
          <w:tcPr>
            <w:tcW w:w="1080" w:type="dxa"/>
            <w:tcBorders>
              <w:top w:val="nil"/>
              <w:left w:val="nil"/>
              <w:bottom w:val="single" w:sz="8" w:space="0" w:color="auto"/>
              <w:right w:val="nil"/>
            </w:tcBorders>
            <w:shd w:val="clear" w:color="auto" w:fill="auto"/>
            <w:noWrap/>
            <w:vAlign w:val="center"/>
            <w:hideMark/>
          </w:tcPr>
          <w:p w14:paraId="3BE2D497" w14:textId="76A5D8E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0,919</w:t>
            </w:r>
          </w:p>
        </w:tc>
        <w:tc>
          <w:tcPr>
            <w:tcW w:w="1080" w:type="dxa"/>
            <w:tcBorders>
              <w:top w:val="nil"/>
              <w:left w:val="nil"/>
              <w:bottom w:val="single" w:sz="8" w:space="0" w:color="auto"/>
              <w:right w:val="nil"/>
            </w:tcBorders>
            <w:shd w:val="clear" w:color="auto" w:fill="auto"/>
            <w:noWrap/>
            <w:vAlign w:val="center"/>
            <w:hideMark/>
          </w:tcPr>
          <w:p w14:paraId="080282D2" w14:textId="36E3E25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0,924</w:t>
            </w:r>
          </w:p>
        </w:tc>
        <w:tc>
          <w:tcPr>
            <w:tcW w:w="1080" w:type="dxa"/>
            <w:tcBorders>
              <w:top w:val="nil"/>
              <w:left w:val="nil"/>
              <w:bottom w:val="single" w:sz="8" w:space="0" w:color="auto"/>
              <w:right w:val="nil"/>
            </w:tcBorders>
            <w:shd w:val="clear" w:color="auto" w:fill="auto"/>
            <w:noWrap/>
            <w:vAlign w:val="center"/>
            <w:hideMark/>
          </w:tcPr>
          <w:p w14:paraId="63615D39" w14:textId="6B88210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0,994</w:t>
            </w:r>
          </w:p>
        </w:tc>
        <w:tc>
          <w:tcPr>
            <w:tcW w:w="1080" w:type="dxa"/>
            <w:tcBorders>
              <w:top w:val="nil"/>
              <w:left w:val="nil"/>
              <w:bottom w:val="single" w:sz="8" w:space="0" w:color="auto"/>
              <w:right w:val="nil"/>
            </w:tcBorders>
            <w:shd w:val="clear" w:color="auto" w:fill="auto"/>
            <w:noWrap/>
            <w:vAlign w:val="center"/>
            <w:hideMark/>
          </w:tcPr>
          <w:p w14:paraId="2942309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5EC33891"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725A14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3</w:t>
            </w:r>
          </w:p>
        </w:tc>
        <w:tc>
          <w:tcPr>
            <w:tcW w:w="1080" w:type="dxa"/>
            <w:tcBorders>
              <w:top w:val="nil"/>
              <w:left w:val="nil"/>
              <w:bottom w:val="single" w:sz="8" w:space="0" w:color="auto"/>
              <w:right w:val="nil"/>
            </w:tcBorders>
            <w:shd w:val="clear" w:color="auto" w:fill="auto"/>
            <w:noWrap/>
            <w:vAlign w:val="center"/>
            <w:hideMark/>
          </w:tcPr>
          <w:p w14:paraId="79AA57CB" w14:textId="3AEB7C0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0,914</w:t>
            </w:r>
          </w:p>
        </w:tc>
        <w:tc>
          <w:tcPr>
            <w:tcW w:w="1080" w:type="dxa"/>
            <w:tcBorders>
              <w:top w:val="nil"/>
              <w:left w:val="nil"/>
              <w:bottom w:val="single" w:sz="8" w:space="0" w:color="auto"/>
              <w:right w:val="nil"/>
            </w:tcBorders>
            <w:shd w:val="clear" w:color="auto" w:fill="auto"/>
            <w:noWrap/>
            <w:vAlign w:val="center"/>
            <w:hideMark/>
          </w:tcPr>
          <w:p w14:paraId="16F70FF1" w14:textId="78A8F36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0,921</w:t>
            </w:r>
          </w:p>
        </w:tc>
        <w:tc>
          <w:tcPr>
            <w:tcW w:w="1080" w:type="dxa"/>
            <w:tcBorders>
              <w:top w:val="nil"/>
              <w:left w:val="nil"/>
              <w:bottom w:val="single" w:sz="8" w:space="0" w:color="auto"/>
              <w:right w:val="nil"/>
            </w:tcBorders>
            <w:shd w:val="clear" w:color="auto" w:fill="auto"/>
            <w:noWrap/>
            <w:vAlign w:val="center"/>
            <w:hideMark/>
          </w:tcPr>
          <w:p w14:paraId="1F2B5A82" w14:textId="2685DA9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0,993</w:t>
            </w:r>
          </w:p>
        </w:tc>
        <w:tc>
          <w:tcPr>
            <w:tcW w:w="1080" w:type="dxa"/>
            <w:tcBorders>
              <w:top w:val="nil"/>
              <w:left w:val="nil"/>
              <w:bottom w:val="single" w:sz="8" w:space="0" w:color="auto"/>
              <w:right w:val="nil"/>
            </w:tcBorders>
            <w:shd w:val="clear" w:color="auto" w:fill="auto"/>
            <w:noWrap/>
            <w:vAlign w:val="center"/>
            <w:hideMark/>
          </w:tcPr>
          <w:p w14:paraId="5D3BEB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42AA2680"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25E049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Olomouc</w:t>
            </w:r>
          </w:p>
        </w:tc>
        <w:tc>
          <w:tcPr>
            <w:tcW w:w="1080" w:type="dxa"/>
            <w:tcBorders>
              <w:top w:val="nil"/>
              <w:left w:val="nil"/>
              <w:bottom w:val="single" w:sz="8" w:space="0" w:color="auto"/>
              <w:right w:val="nil"/>
            </w:tcBorders>
            <w:shd w:val="clear" w:color="auto" w:fill="auto"/>
            <w:noWrap/>
            <w:vAlign w:val="center"/>
            <w:hideMark/>
          </w:tcPr>
          <w:p w14:paraId="6BE20C1C" w14:textId="2A4B599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0,914</w:t>
            </w:r>
          </w:p>
        </w:tc>
        <w:tc>
          <w:tcPr>
            <w:tcW w:w="1080" w:type="dxa"/>
            <w:tcBorders>
              <w:top w:val="nil"/>
              <w:left w:val="nil"/>
              <w:bottom w:val="single" w:sz="8" w:space="0" w:color="auto"/>
              <w:right w:val="nil"/>
            </w:tcBorders>
            <w:shd w:val="clear" w:color="auto" w:fill="auto"/>
            <w:noWrap/>
            <w:vAlign w:val="center"/>
            <w:hideMark/>
          </w:tcPr>
          <w:p w14:paraId="59F77B6B" w14:textId="5D9D81E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0,940</w:t>
            </w:r>
          </w:p>
        </w:tc>
        <w:tc>
          <w:tcPr>
            <w:tcW w:w="1080" w:type="dxa"/>
            <w:tcBorders>
              <w:top w:val="nil"/>
              <w:left w:val="nil"/>
              <w:bottom w:val="single" w:sz="8" w:space="0" w:color="auto"/>
              <w:right w:val="nil"/>
            </w:tcBorders>
            <w:shd w:val="clear" w:color="auto" w:fill="auto"/>
            <w:noWrap/>
            <w:vAlign w:val="center"/>
            <w:hideMark/>
          </w:tcPr>
          <w:p w14:paraId="0646A259" w14:textId="0553A27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0,972</w:t>
            </w:r>
          </w:p>
        </w:tc>
        <w:tc>
          <w:tcPr>
            <w:tcW w:w="1080" w:type="dxa"/>
            <w:tcBorders>
              <w:top w:val="nil"/>
              <w:left w:val="nil"/>
              <w:bottom w:val="single" w:sz="8" w:space="0" w:color="auto"/>
              <w:right w:val="nil"/>
            </w:tcBorders>
            <w:shd w:val="clear" w:color="auto" w:fill="auto"/>
            <w:noWrap/>
            <w:vAlign w:val="center"/>
            <w:hideMark/>
          </w:tcPr>
          <w:p w14:paraId="5ECEE8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3E333F01"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1493D12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Děčín</w:t>
            </w:r>
          </w:p>
        </w:tc>
        <w:tc>
          <w:tcPr>
            <w:tcW w:w="1080" w:type="dxa"/>
            <w:tcBorders>
              <w:top w:val="nil"/>
              <w:left w:val="nil"/>
              <w:bottom w:val="single" w:sz="8" w:space="0" w:color="auto"/>
              <w:right w:val="nil"/>
            </w:tcBorders>
            <w:shd w:val="clear" w:color="auto" w:fill="auto"/>
            <w:noWrap/>
            <w:vAlign w:val="center"/>
            <w:hideMark/>
          </w:tcPr>
          <w:p w14:paraId="05CC4234" w14:textId="0F1AE71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0,913</w:t>
            </w:r>
          </w:p>
        </w:tc>
        <w:tc>
          <w:tcPr>
            <w:tcW w:w="1080" w:type="dxa"/>
            <w:tcBorders>
              <w:top w:val="nil"/>
              <w:left w:val="nil"/>
              <w:bottom w:val="single" w:sz="8" w:space="0" w:color="auto"/>
              <w:right w:val="nil"/>
            </w:tcBorders>
            <w:shd w:val="clear" w:color="auto" w:fill="auto"/>
            <w:noWrap/>
            <w:vAlign w:val="center"/>
            <w:hideMark/>
          </w:tcPr>
          <w:p w14:paraId="081487BB" w14:textId="4AC2327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0,914</w:t>
            </w:r>
          </w:p>
        </w:tc>
        <w:tc>
          <w:tcPr>
            <w:tcW w:w="1080" w:type="dxa"/>
            <w:tcBorders>
              <w:top w:val="nil"/>
              <w:left w:val="nil"/>
              <w:bottom w:val="single" w:sz="8" w:space="0" w:color="auto"/>
              <w:right w:val="nil"/>
            </w:tcBorders>
            <w:shd w:val="clear" w:color="auto" w:fill="auto"/>
            <w:noWrap/>
            <w:vAlign w:val="center"/>
            <w:hideMark/>
          </w:tcPr>
          <w:p w14:paraId="16A7C550" w14:textId="20F03A4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3D49404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5F21A80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F04DC1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Česká Lípa</w:t>
            </w:r>
          </w:p>
        </w:tc>
        <w:tc>
          <w:tcPr>
            <w:tcW w:w="1080" w:type="dxa"/>
            <w:tcBorders>
              <w:top w:val="nil"/>
              <w:left w:val="nil"/>
              <w:bottom w:val="single" w:sz="8" w:space="0" w:color="auto"/>
              <w:right w:val="nil"/>
            </w:tcBorders>
            <w:shd w:val="clear" w:color="auto" w:fill="auto"/>
            <w:noWrap/>
            <w:vAlign w:val="center"/>
            <w:hideMark/>
          </w:tcPr>
          <w:p w14:paraId="087BFFDA" w14:textId="4562F37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0,913</w:t>
            </w:r>
          </w:p>
        </w:tc>
        <w:tc>
          <w:tcPr>
            <w:tcW w:w="1080" w:type="dxa"/>
            <w:tcBorders>
              <w:top w:val="nil"/>
              <w:left w:val="nil"/>
              <w:bottom w:val="single" w:sz="8" w:space="0" w:color="auto"/>
              <w:right w:val="nil"/>
            </w:tcBorders>
            <w:shd w:val="clear" w:color="auto" w:fill="auto"/>
            <w:noWrap/>
            <w:vAlign w:val="center"/>
            <w:hideMark/>
          </w:tcPr>
          <w:p w14:paraId="18130917" w14:textId="1983F31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0,915</w:t>
            </w:r>
          </w:p>
        </w:tc>
        <w:tc>
          <w:tcPr>
            <w:tcW w:w="1080" w:type="dxa"/>
            <w:tcBorders>
              <w:top w:val="nil"/>
              <w:left w:val="nil"/>
              <w:bottom w:val="single" w:sz="8" w:space="0" w:color="auto"/>
              <w:right w:val="nil"/>
            </w:tcBorders>
            <w:shd w:val="clear" w:color="auto" w:fill="auto"/>
            <w:noWrap/>
            <w:vAlign w:val="center"/>
            <w:hideMark/>
          </w:tcPr>
          <w:p w14:paraId="2D50885B" w14:textId="553CF2E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058BCC1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35CB3899"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293829A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Uherské Hradiště</w:t>
            </w:r>
          </w:p>
        </w:tc>
        <w:tc>
          <w:tcPr>
            <w:tcW w:w="1080" w:type="dxa"/>
            <w:tcBorders>
              <w:top w:val="nil"/>
              <w:left w:val="nil"/>
              <w:bottom w:val="single" w:sz="8" w:space="0" w:color="auto"/>
              <w:right w:val="nil"/>
            </w:tcBorders>
            <w:shd w:val="clear" w:color="auto" w:fill="auto"/>
            <w:noWrap/>
            <w:vAlign w:val="center"/>
            <w:hideMark/>
          </w:tcPr>
          <w:p w14:paraId="6AA2B0F9" w14:textId="2F5891C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0,909</w:t>
            </w:r>
          </w:p>
        </w:tc>
        <w:tc>
          <w:tcPr>
            <w:tcW w:w="1080" w:type="dxa"/>
            <w:tcBorders>
              <w:top w:val="nil"/>
              <w:left w:val="nil"/>
              <w:bottom w:val="single" w:sz="8" w:space="0" w:color="auto"/>
              <w:right w:val="nil"/>
            </w:tcBorders>
            <w:shd w:val="clear" w:color="auto" w:fill="auto"/>
            <w:noWrap/>
            <w:vAlign w:val="center"/>
            <w:hideMark/>
          </w:tcPr>
          <w:p w14:paraId="7E6C4155" w14:textId="667A470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0,909</w:t>
            </w:r>
          </w:p>
        </w:tc>
        <w:tc>
          <w:tcPr>
            <w:tcW w:w="1080" w:type="dxa"/>
            <w:tcBorders>
              <w:top w:val="nil"/>
              <w:left w:val="nil"/>
              <w:bottom w:val="single" w:sz="8" w:space="0" w:color="auto"/>
              <w:right w:val="nil"/>
            </w:tcBorders>
            <w:shd w:val="clear" w:color="auto" w:fill="auto"/>
            <w:noWrap/>
            <w:vAlign w:val="center"/>
            <w:hideMark/>
          </w:tcPr>
          <w:p w14:paraId="1A1343E8" w14:textId="1D72CD4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7020CF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34F7A249"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047140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Jihlava</w:t>
            </w:r>
          </w:p>
        </w:tc>
        <w:tc>
          <w:tcPr>
            <w:tcW w:w="1080" w:type="dxa"/>
            <w:tcBorders>
              <w:top w:val="nil"/>
              <w:left w:val="nil"/>
              <w:bottom w:val="single" w:sz="8" w:space="0" w:color="auto"/>
              <w:right w:val="nil"/>
            </w:tcBorders>
            <w:shd w:val="clear" w:color="auto" w:fill="auto"/>
            <w:noWrap/>
            <w:vAlign w:val="center"/>
            <w:hideMark/>
          </w:tcPr>
          <w:p w14:paraId="51D85790" w14:textId="49A20A3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0,908</w:t>
            </w:r>
          </w:p>
        </w:tc>
        <w:tc>
          <w:tcPr>
            <w:tcW w:w="1080" w:type="dxa"/>
            <w:tcBorders>
              <w:top w:val="nil"/>
              <w:left w:val="nil"/>
              <w:bottom w:val="single" w:sz="8" w:space="0" w:color="auto"/>
              <w:right w:val="nil"/>
            </w:tcBorders>
            <w:shd w:val="clear" w:color="auto" w:fill="auto"/>
            <w:noWrap/>
            <w:vAlign w:val="center"/>
            <w:hideMark/>
          </w:tcPr>
          <w:p w14:paraId="73A41549" w14:textId="6FC291B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0,910</w:t>
            </w:r>
          </w:p>
        </w:tc>
        <w:tc>
          <w:tcPr>
            <w:tcW w:w="1080" w:type="dxa"/>
            <w:tcBorders>
              <w:top w:val="nil"/>
              <w:left w:val="nil"/>
              <w:bottom w:val="single" w:sz="8" w:space="0" w:color="auto"/>
              <w:right w:val="nil"/>
            </w:tcBorders>
            <w:shd w:val="clear" w:color="auto" w:fill="auto"/>
            <w:noWrap/>
            <w:vAlign w:val="center"/>
            <w:hideMark/>
          </w:tcPr>
          <w:p w14:paraId="78D199E3" w14:textId="6CEB350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1C0989C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27C1F9C3"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1B19A230" w14:textId="3B720DF5"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Praha</w:t>
            </w:r>
            <w:r>
              <w:rPr>
                <w:rFonts w:eastAsia="Times New Roman"/>
                <w:color w:val="000000" w:themeColor="text1"/>
                <w:szCs w:val="24"/>
                <w:lang w:eastAsia="cs-CZ"/>
              </w:rPr>
              <w:noBreakHyphen/>
              <w:t>z</w:t>
            </w:r>
            <w:r w:rsidR="008430BD" w:rsidRPr="001C3EC8">
              <w:rPr>
                <w:rFonts w:eastAsia="Times New Roman"/>
                <w:color w:val="000000" w:themeColor="text1"/>
                <w:szCs w:val="24"/>
                <w:lang w:eastAsia="cs-CZ"/>
              </w:rPr>
              <w:t>ápad</w:t>
            </w:r>
          </w:p>
        </w:tc>
        <w:tc>
          <w:tcPr>
            <w:tcW w:w="1080" w:type="dxa"/>
            <w:tcBorders>
              <w:top w:val="nil"/>
              <w:left w:val="nil"/>
              <w:bottom w:val="single" w:sz="8" w:space="0" w:color="auto"/>
              <w:right w:val="nil"/>
            </w:tcBorders>
            <w:shd w:val="clear" w:color="auto" w:fill="auto"/>
            <w:noWrap/>
            <w:vAlign w:val="center"/>
            <w:hideMark/>
          </w:tcPr>
          <w:p w14:paraId="416FD2D8" w14:textId="22BC6BD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0,906</w:t>
            </w:r>
          </w:p>
        </w:tc>
        <w:tc>
          <w:tcPr>
            <w:tcW w:w="1080" w:type="dxa"/>
            <w:tcBorders>
              <w:top w:val="nil"/>
              <w:left w:val="nil"/>
              <w:bottom w:val="single" w:sz="8" w:space="0" w:color="auto"/>
              <w:right w:val="nil"/>
            </w:tcBorders>
            <w:shd w:val="clear" w:color="auto" w:fill="auto"/>
            <w:noWrap/>
            <w:vAlign w:val="center"/>
            <w:hideMark/>
          </w:tcPr>
          <w:p w14:paraId="79F88647" w14:textId="61BA467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0,907</w:t>
            </w:r>
          </w:p>
        </w:tc>
        <w:tc>
          <w:tcPr>
            <w:tcW w:w="1080" w:type="dxa"/>
            <w:tcBorders>
              <w:top w:val="nil"/>
              <w:left w:val="nil"/>
              <w:bottom w:val="single" w:sz="8" w:space="0" w:color="auto"/>
              <w:right w:val="nil"/>
            </w:tcBorders>
            <w:shd w:val="clear" w:color="auto" w:fill="auto"/>
            <w:noWrap/>
            <w:vAlign w:val="center"/>
            <w:hideMark/>
          </w:tcPr>
          <w:p w14:paraId="4E443B84" w14:textId="6525A2D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0,999</w:t>
            </w:r>
          </w:p>
        </w:tc>
        <w:tc>
          <w:tcPr>
            <w:tcW w:w="1080" w:type="dxa"/>
            <w:tcBorders>
              <w:top w:val="nil"/>
              <w:left w:val="nil"/>
              <w:bottom w:val="single" w:sz="8" w:space="0" w:color="auto"/>
              <w:right w:val="nil"/>
            </w:tcBorders>
            <w:shd w:val="clear" w:color="auto" w:fill="auto"/>
            <w:noWrap/>
            <w:vAlign w:val="center"/>
            <w:hideMark/>
          </w:tcPr>
          <w:p w14:paraId="2AAC1C2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6D0ADF5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7977AA4" w14:textId="0482A5C8"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Frýdek</w:t>
            </w:r>
            <w:r>
              <w:rPr>
                <w:rFonts w:eastAsia="Times New Roman"/>
                <w:color w:val="000000" w:themeColor="text1"/>
                <w:szCs w:val="24"/>
                <w:lang w:eastAsia="cs-CZ"/>
              </w:rPr>
              <w:noBreakHyphen/>
              <w:t>Místek</w:t>
            </w:r>
          </w:p>
        </w:tc>
        <w:tc>
          <w:tcPr>
            <w:tcW w:w="1080" w:type="dxa"/>
            <w:tcBorders>
              <w:top w:val="nil"/>
              <w:left w:val="nil"/>
              <w:bottom w:val="single" w:sz="8" w:space="0" w:color="auto"/>
              <w:right w:val="nil"/>
            </w:tcBorders>
            <w:shd w:val="clear" w:color="auto" w:fill="auto"/>
            <w:noWrap/>
            <w:vAlign w:val="center"/>
            <w:hideMark/>
          </w:tcPr>
          <w:p w14:paraId="6948C662" w14:textId="3F4597E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0,903</w:t>
            </w:r>
          </w:p>
        </w:tc>
        <w:tc>
          <w:tcPr>
            <w:tcW w:w="1080" w:type="dxa"/>
            <w:tcBorders>
              <w:top w:val="nil"/>
              <w:left w:val="nil"/>
              <w:bottom w:val="single" w:sz="8" w:space="0" w:color="auto"/>
              <w:right w:val="nil"/>
            </w:tcBorders>
            <w:shd w:val="clear" w:color="auto" w:fill="auto"/>
            <w:noWrap/>
            <w:vAlign w:val="center"/>
            <w:hideMark/>
          </w:tcPr>
          <w:p w14:paraId="27EF9184" w14:textId="24988D8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0,963</w:t>
            </w:r>
          </w:p>
        </w:tc>
        <w:tc>
          <w:tcPr>
            <w:tcW w:w="1080" w:type="dxa"/>
            <w:tcBorders>
              <w:top w:val="nil"/>
              <w:left w:val="nil"/>
              <w:bottom w:val="single" w:sz="8" w:space="0" w:color="auto"/>
              <w:right w:val="nil"/>
            </w:tcBorders>
            <w:shd w:val="clear" w:color="auto" w:fill="auto"/>
            <w:noWrap/>
            <w:vAlign w:val="center"/>
            <w:hideMark/>
          </w:tcPr>
          <w:p w14:paraId="2CAE4EB8" w14:textId="67FAFA1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0,938</w:t>
            </w:r>
          </w:p>
        </w:tc>
        <w:tc>
          <w:tcPr>
            <w:tcW w:w="1080" w:type="dxa"/>
            <w:tcBorders>
              <w:top w:val="nil"/>
              <w:left w:val="nil"/>
              <w:bottom w:val="single" w:sz="8" w:space="0" w:color="auto"/>
              <w:right w:val="nil"/>
            </w:tcBorders>
            <w:shd w:val="clear" w:color="auto" w:fill="auto"/>
            <w:noWrap/>
            <w:vAlign w:val="center"/>
            <w:hideMark/>
          </w:tcPr>
          <w:p w14:paraId="360EB38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5E895F71"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5280D5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Trutnov</w:t>
            </w:r>
          </w:p>
        </w:tc>
        <w:tc>
          <w:tcPr>
            <w:tcW w:w="1080" w:type="dxa"/>
            <w:tcBorders>
              <w:top w:val="nil"/>
              <w:left w:val="nil"/>
              <w:bottom w:val="single" w:sz="8" w:space="0" w:color="auto"/>
              <w:right w:val="nil"/>
            </w:tcBorders>
            <w:shd w:val="clear" w:color="auto" w:fill="auto"/>
            <w:noWrap/>
            <w:vAlign w:val="center"/>
            <w:hideMark/>
          </w:tcPr>
          <w:p w14:paraId="7C957821" w14:textId="0F212EB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0,897</w:t>
            </w:r>
          </w:p>
        </w:tc>
        <w:tc>
          <w:tcPr>
            <w:tcW w:w="1080" w:type="dxa"/>
            <w:tcBorders>
              <w:top w:val="nil"/>
              <w:left w:val="nil"/>
              <w:bottom w:val="single" w:sz="8" w:space="0" w:color="auto"/>
              <w:right w:val="nil"/>
            </w:tcBorders>
            <w:shd w:val="clear" w:color="auto" w:fill="auto"/>
            <w:noWrap/>
            <w:vAlign w:val="center"/>
            <w:hideMark/>
          </w:tcPr>
          <w:p w14:paraId="0D2E97E8" w14:textId="7B9F9F4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0,900</w:t>
            </w:r>
          </w:p>
        </w:tc>
        <w:tc>
          <w:tcPr>
            <w:tcW w:w="1080" w:type="dxa"/>
            <w:tcBorders>
              <w:top w:val="nil"/>
              <w:left w:val="nil"/>
              <w:bottom w:val="single" w:sz="8" w:space="0" w:color="auto"/>
              <w:right w:val="nil"/>
            </w:tcBorders>
            <w:shd w:val="clear" w:color="auto" w:fill="auto"/>
            <w:noWrap/>
            <w:vAlign w:val="center"/>
            <w:hideMark/>
          </w:tcPr>
          <w:p w14:paraId="4F8653F5" w14:textId="79898C1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0,996</w:t>
            </w:r>
          </w:p>
        </w:tc>
        <w:tc>
          <w:tcPr>
            <w:tcW w:w="1080" w:type="dxa"/>
            <w:tcBorders>
              <w:top w:val="nil"/>
              <w:left w:val="nil"/>
              <w:bottom w:val="single" w:sz="8" w:space="0" w:color="auto"/>
              <w:right w:val="nil"/>
            </w:tcBorders>
            <w:shd w:val="clear" w:color="auto" w:fill="auto"/>
            <w:noWrap/>
            <w:vAlign w:val="center"/>
            <w:hideMark/>
          </w:tcPr>
          <w:p w14:paraId="6F4FAC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74589FF"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71F6CB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Teplice</w:t>
            </w:r>
          </w:p>
        </w:tc>
        <w:tc>
          <w:tcPr>
            <w:tcW w:w="1080" w:type="dxa"/>
            <w:tcBorders>
              <w:top w:val="nil"/>
              <w:left w:val="nil"/>
              <w:bottom w:val="single" w:sz="8" w:space="0" w:color="auto"/>
              <w:right w:val="nil"/>
            </w:tcBorders>
            <w:shd w:val="clear" w:color="auto" w:fill="auto"/>
            <w:noWrap/>
            <w:vAlign w:val="center"/>
            <w:hideMark/>
          </w:tcPr>
          <w:p w14:paraId="6B9A42DA" w14:textId="5E9FF6A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0,892</w:t>
            </w:r>
          </w:p>
        </w:tc>
        <w:tc>
          <w:tcPr>
            <w:tcW w:w="1080" w:type="dxa"/>
            <w:tcBorders>
              <w:top w:val="nil"/>
              <w:left w:val="nil"/>
              <w:bottom w:val="single" w:sz="8" w:space="0" w:color="auto"/>
              <w:right w:val="nil"/>
            </w:tcBorders>
            <w:shd w:val="clear" w:color="auto" w:fill="auto"/>
            <w:noWrap/>
            <w:vAlign w:val="center"/>
            <w:hideMark/>
          </w:tcPr>
          <w:p w14:paraId="1803A301" w14:textId="3ACA282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0,907</w:t>
            </w:r>
          </w:p>
        </w:tc>
        <w:tc>
          <w:tcPr>
            <w:tcW w:w="1080" w:type="dxa"/>
            <w:tcBorders>
              <w:top w:val="nil"/>
              <w:left w:val="nil"/>
              <w:bottom w:val="single" w:sz="8" w:space="0" w:color="auto"/>
              <w:right w:val="nil"/>
            </w:tcBorders>
            <w:shd w:val="clear" w:color="auto" w:fill="auto"/>
            <w:noWrap/>
            <w:vAlign w:val="center"/>
            <w:hideMark/>
          </w:tcPr>
          <w:p w14:paraId="5E910FF0" w14:textId="2AB19DB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0,983</w:t>
            </w:r>
          </w:p>
        </w:tc>
        <w:tc>
          <w:tcPr>
            <w:tcW w:w="1080" w:type="dxa"/>
            <w:tcBorders>
              <w:top w:val="nil"/>
              <w:left w:val="nil"/>
              <w:bottom w:val="single" w:sz="8" w:space="0" w:color="auto"/>
              <w:right w:val="nil"/>
            </w:tcBorders>
            <w:shd w:val="clear" w:color="auto" w:fill="auto"/>
            <w:noWrap/>
            <w:vAlign w:val="center"/>
            <w:hideMark/>
          </w:tcPr>
          <w:p w14:paraId="7E1D5B5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554640F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1CBC57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Ostrava</w:t>
            </w:r>
          </w:p>
        </w:tc>
        <w:tc>
          <w:tcPr>
            <w:tcW w:w="1080" w:type="dxa"/>
            <w:tcBorders>
              <w:top w:val="nil"/>
              <w:left w:val="nil"/>
              <w:bottom w:val="single" w:sz="8" w:space="0" w:color="auto"/>
              <w:right w:val="nil"/>
            </w:tcBorders>
            <w:shd w:val="clear" w:color="auto" w:fill="auto"/>
            <w:noWrap/>
            <w:vAlign w:val="center"/>
            <w:hideMark/>
          </w:tcPr>
          <w:p w14:paraId="116256AC" w14:textId="4C3AB61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0,888</w:t>
            </w:r>
          </w:p>
        </w:tc>
        <w:tc>
          <w:tcPr>
            <w:tcW w:w="1080" w:type="dxa"/>
            <w:tcBorders>
              <w:top w:val="nil"/>
              <w:left w:val="nil"/>
              <w:bottom w:val="single" w:sz="8" w:space="0" w:color="auto"/>
              <w:right w:val="nil"/>
            </w:tcBorders>
            <w:shd w:val="clear" w:color="auto" w:fill="auto"/>
            <w:noWrap/>
            <w:vAlign w:val="center"/>
            <w:hideMark/>
          </w:tcPr>
          <w:p w14:paraId="04A3B711" w14:textId="7AD4339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17B2AB98" w14:textId="09E6CFE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0,888</w:t>
            </w:r>
          </w:p>
        </w:tc>
        <w:tc>
          <w:tcPr>
            <w:tcW w:w="1080" w:type="dxa"/>
            <w:tcBorders>
              <w:top w:val="nil"/>
              <w:left w:val="nil"/>
              <w:bottom w:val="single" w:sz="8" w:space="0" w:color="auto"/>
              <w:right w:val="nil"/>
            </w:tcBorders>
            <w:shd w:val="clear" w:color="auto" w:fill="auto"/>
            <w:noWrap/>
            <w:vAlign w:val="center"/>
            <w:hideMark/>
          </w:tcPr>
          <w:p w14:paraId="3C6DA4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5D817E6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337601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Kroměříž</w:t>
            </w:r>
          </w:p>
        </w:tc>
        <w:tc>
          <w:tcPr>
            <w:tcW w:w="1080" w:type="dxa"/>
            <w:tcBorders>
              <w:top w:val="nil"/>
              <w:left w:val="nil"/>
              <w:bottom w:val="single" w:sz="8" w:space="0" w:color="auto"/>
              <w:right w:val="nil"/>
            </w:tcBorders>
            <w:shd w:val="clear" w:color="auto" w:fill="auto"/>
            <w:noWrap/>
            <w:vAlign w:val="center"/>
            <w:hideMark/>
          </w:tcPr>
          <w:p w14:paraId="7E6EC8DE" w14:textId="392B168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0,886</w:t>
            </w:r>
          </w:p>
        </w:tc>
        <w:tc>
          <w:tcPr>
            <w:tcW w:w="1080" w:type="dxa"/>
            <w:tcBorders>
              <w:top w:val="nil"/>
              <w:left w:val="nil"/>
              <w:bottom w:val="single" w:sz="8" w:space="0" w:color="auto"/>
              <w:right w:val="nil"/>
            </w:tcBorders>
            <w:shd w:val="clear" w:color="auto" w:fill="auto"/>
            <w:noWrap/>
            <w:vAlign w:val="center"/>
            <w:hideMark/>
          </w:tcPr>
          <w:p w14:paraId="7B1CDD6A" w14:textId="6CA3CEB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0,891</w:t>
            </w:r>
          </w:p>
        </w:tc>
        <w:tc>
          <w:tcPr>
            <w:tcW w:w="1080" w:type="dxa"/>
            <w:tcBorders>
              <w:top w:val="nil"/>
              <w:left w:val="nil"/>
              <w:bottom w:val="single" w:sz="8" w:space="0" w:color="auto"/>
              <w:right w:val="nil"/>
            </w:tcBorders>
            <w:shd w:val="clear" w:color="auto" w:fill="auto"/>
            <w:noWrap/>
            <w:vAlign w:val="center"/>
            <w:hideMark/>
          </w:tcPr>
          <w:p w14:paraId="1D672A84" w14:textId="3587843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0,994</w:t>
            </w:r>
          </w:p>
        </w:tc>
        <w:tc>
          <w:tcPr>
            <w:tcW w:w="1080" w:type="dxa"/>
            <w:tcBorders>
              <w:top w:val="nil"/>
              <w:left w:val="nil"/>
              <w:bottom w:val="single" w:sz="8" w:space="0" w:color="auto"/>
              <w:right w:val="nil"/>
            </w:tcBorders>
            <w:shd w:val="clear" w:color="auto" w:fill="auto"/>
            <w:noWrap/>
            <w:vAlign w:val="center"/>
            <w:hideMark/>
          </w:tcPr>
          <w:p w14:paraId="19D6B8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7A56220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BDAACC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Znojmo</w:t>
            </w:r>
          </w:p>
        </w:tc>
        <w:tc>
          <w:tcPr>
            <w:tcW w:w="1080" w:type="dxa"/>
            <w:tcBorders>
              <w:top w:val="nil"/>
              <w:left w:val="nil"/>
              <w:bottom w:val="single" w:sz="8" w:space="0" w:color="auto"/>
              <w:right w:val="nil"/>
            </w:tcBorders>
            <w:shd w:val="clear" w:color="auto" w:fill="auto"/>
            <w:noWrap/>
            <w:vAlign w:val="center"/>
            <w:hideMark/>
          </w:tcPr>
          <w:p w14:paraId="1F241296" w14:textId="4FF8446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0,885</w:t>
            </w:r>
          </w:p>
        </w:tc>
        <w:tc>
          <w:tcPr>
            <w:tcW w:w="1080" w:type="dxa"/>
            <w:tcBorders>
              <w:top w:val="nil"/>
              <w:left w:val="nil"/>
              <w:bottom w:val="single" w:sz="8" w:space="0" w:color="auto"/>
              <w:right w:val="nil"/>
            </w:tcBorders>
            <w:shd w:val="clear" w:color="auto" w:fill="auto"/>
            <w:noWrap/>
            <w:vAlign w:val="center"/>
            <w:hideMark/>
          </w:tcPr>
          <w:p w14:paraId="45E9BD5D" w14:textId="474C2EE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0,888</w:t>
            </w:r>
          </w:p>
        </w:tc>
        <w:tc>
          <w:tcPr>
            <w:tcW w:w="1080" w:type="dxa"/>
            <w:tcBorders>
              <w:top w:val="nil"/>
              <w:left w:val="nil"/>
              <w:bottom w:val="single" w:sz="8" w:space="0" w:color="auto"/>
              <w:right w:val="nil"/>
            </w:tcBorders>
            <w:shd w:val="clear" w:color="auto" w:fill="auto"/>
            <w:noWrap/>
            <w:vAlign w:val="center"/>
            <w:hideMark/>
          </w:tcPr>
          <w:p w14:paraId="33126D75" w14:textId="6170CCB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64FDDE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C92C25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564DA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Praha 2</w:t>
            </w:r>
          </w:p>
        </w:tc>
        <w:tc>
          <w:tcPr>
            <w:tcW w:w="1080" w:type="dxa"/>
            <w:tcBorders>
              <w:top w:val="nil"/>
              <w:left w:val="nil"/>
              <w:bottom w:val="single" w:sz="8" w:space="0" w:color="auto"/>
              <w:right w:val="nil"/>
            </w:tcBorders>
            <w:shd w:val="clear" w:color="auto" w:fill="auto"/>
            <w:noWrap/>
            <w:vAlign w:val="center"/>
            <w:hideMark/>
          </w:tcPr>
          <w:p w14:paraId="192836F1" w14:textId="2EE4202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0,880</w:t>
            </w:r>
          </w:p>
        </w:tc>
        <w:tc>
          <w:tcPr>
            <w:tcW w:w="1080" w:type="dxa"/>
            <w:tcBorders>
              <w:top w:val="nil"/>
              <w:left w:val="nil"/>
              <w:bottom w:val="single" w:sz="8" w:space="0" w:color="auto"/>
              <w:right w:val="nil"/>
            </w:tcBorders>
            <w:shd w:val="clear" w:color="auto" w:fill="auto"/>
            <w:noWrap/>
            <w:vAlign w:val="center"/>
            <w:hideMark/>
          </w:tcPr>
          <w:p w14:paraId="36D06A75" w14:textId="40F3C86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0,884</w:t>
            </w:r>
          </w:p>
        </w:tc>
        <w:tc>
          <w:tcPr>
            <w:tcW w:w="1080" w:type="dxa"/>
            <w:tcBorders>
              <w:top w:val="nil"/>
              <w:left w:val="nil"/>
              <w:bottom w:val="single" w:sz="8" w:space="0" w:color="auto"/>
              <w:right w:val="nil"/>
            </w:tcBorders>
            <w:shd w:val="clear" w:color="auto" w:fill="auto"/>
            <w:noWrap/>
            <w:vAlign w:val="center"/>
            <w:hideMark/>
          </w:tcPr>
          <w:p w14:paraId="7490D91A" w14:textId="34C1944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0,996</w:t>
            </w:r>
          </w:p>
        </w:tc>
        <w:tc>
          <w:tcPr>
            <w:tcW w:w="1080" w:type="dxa"/>
            <w:tcBorders>
              <w:top w:val="nil"/>
              <w:left w:val="nil"/>
              <w:bottom w:val="single" w:sz="8" w:space="0" w:color="auto"/>
              <w:right w:val="nil"/>
            </w:tcBorders>
            <w:shd w:val="clear" w:color="auto" w:fill="auto"/>
            <w:noWrap/>
            <w:vAlign w:val="center"/>
            <w:hideMark/>
          </w:tcPr>
          <w:p w14:paraId="73E5A9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0A643D1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53772F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Šumperk</w:t>
            </w:r>
          </w:p>
        </w:tc>
        <w:tc>
          <w:tcPr>
            <w:tcW w:w="1080" w:type="dxa"/>
            <w:tcBorders>
              <w:top w:val="nil"/>
              <w:left w:val="nil"/>
              <w:bottom w:val="single" w:sz="8" w:space="0" w:color="auto"/>
              <w:right w:val="nil"/>
            </w:tcBorders>
            <w:shd w:val="clear" w:color="auto" w:fill="auto"/>
            <w:noWrap/>
            <w:vAlign w:val="center"/>
            <w:hideMark/>
          </w:tcPr>
          <w:p w14:paraId="2B42D111" w14:textId="584CC0C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0,879</w:t>
            </w:r>
          </w:p>
        </w:tc>
        <w:tc>
          <w:tcPr>
            <w:tcW w:w="1080" w:type="dxa"/>
            <w:tcBorders>
              <w:top w:val="nil"/>
              <w:left w:val="nil"/>
              <w:bottom w:val="single" w:sz="8" w:space="0" w:color="auto"/>
              <w:right w:val="nil"/>
            </w:tcBorders>
            <w:shd w:val="clear" w:color="auto" w:fill="auto"/>
            <w:noWrap/>
            <w:vAlign w:val="center"/>
            <w:hideMark/>
          </w:tcPr>
          <w:p w14:paraId="3D5B3066" w14:textId="050D14B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0,884</w:t>
            </w:r>
          </w:p>
        </w:tc>
        <w:tc>
          <w:tcPr>
            <w:tcW w:w="1080" w:type="dxa"/>
            <w:tcBorders>
              <w:top w:val="nil"/>
              <w:left w:val="nil"/>
              <w:bottom w:val="single" w:sz="8" w:space="0" w:color="auto"/>
              <w:right w:val="nil"/>
            </w:tcBorders>
            <w:shd w:val="clear" w:color="auto" w:fill="auto"/>
            <w:noWrap/>
            <w:vAlign w:val="center"/>
            <w:hideMark/>
          </w:tcPr>
          <w:p w14:paraId="6E5C8DDF" w14:textId="4AB28C3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0,995</w:t>
            </w:r>
          </w:p>
        </w:tc>
        <w:tc>
          <w:tcPr>
            <w:tcW w:w="1080" w:type="dxa"/>
            <w:tcBorders>
              <w:top w:val="nil"/>
              <w:left w:val="nil"/>
              <w:bottom w:val="single" w:sz="8" w:space="0" w:color="auto"/>
              <w:right w:val="nil"/>
            </w:tcBorders>
            <w:shd w:val="clear" w:color="auto" w:fill="auto"/>
            <w:noWrap/>
            <w:vAlign w:val="center"/>
            <w:hideMark/>
          </w:tcPr>
          <w:p w14:paraId="6FBB95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1042B555"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4287E46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Vsetín</w:t>
            </w:r>
          </w:p>
        </w:tc>
        <w:tc>
          <w:tcPr>
            <w:tcW w:w="1080" w:type="dxa"/>
            <w:tcBorders>
              <w:top w:val="nil"/>
              <w:left w:val="nil"/>
              <w:bottom w:val="single" w:sz="8" w:space="0" w:color="auto"/>
              <w:right w:val="nil"/>
            </w:tcBorders>
            <w:shd w:val="clear" w:color="auto" w:fill="auto"/>
            <w:noWrap/>
            <w:vAlign w:val="center"/>
            <w:hideMark/>
          </w:tcPr>
          <w:p w14:paraId="72534AB1" w14:textId="6D2EA38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0,876</w:t>
            </w:r>
          </w:p>
        </w:tc>
        <w:tc>
          <w:tcPr>
            <w:tcW w:w="1080" w:type="dxa"/>
            <w:tcBorders>
              <w:top w:val="nil"/>
              <w:left w:val="nil"/>
              <w:bottom w:val="single" w:sz="8" w:space="0" w:color="auto"/>
              <w:right w:val="nil"/>
            </w:tcBorders>
            <w:shd w:val="clear" w:color="auto" w:fill="auto"/>
            <w:noWrap/>
            <w:vAlign w:val="center"/>
            <w:hideMark/>
          </w:tcPr>
          <w:p w14:paraId="00655660" w14:textId="03CDDAB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0,879</w:t>
            </w:r>
          </w:p>
        </w:tc>
        <w:tc>
          <w:tcPr>
            <w:tcW w:w="1080" w:type="dxa"/>
            <w:tcBorders>
              <w:top w:val="nil"/>
              <w:left w:val="nil"/>
              <w:bottom w:val="single" w:sz="8" w:space="0" w:color="auto"/>
              <w:right w:val="nil"/>
            </w:tcBorders>
            <w:shd w:val="clear" w:color="auto" w:fill="auto"/>
            <w:noWrap/>
            <w:vAlign w:val="center"/>
            <w:hideMark/>
          </w:tcPr>
          <w:p w14:paraId="4AAF4DE8" w14:textId="6B2497C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0,996</w:t>
            </w:r>
          </w:p>
        </w:tc>
        <w:tc>
          <w:tcPr>
            <w:tcW w:w="1080" w:type="dxa"/>
            <w:tcBorders>
              <w:top w:val="nil"/>
              <w:left w:val="nil"/>
              <w:bottom w:val="single" w:sz="8" w:space="0" w:color="auto"/>
              <w:right w:val="nil"/>
            </w:tcBorders>
            <w:shd w:val="clear" w:color="auto" w:fill="auto"/>
            <w:noWrap/>
            <w:vAlign w:val="center"/>
            <w:hideMark/>
          </w:tcPr>
          <w:p w14:paraId="424C9D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2F1FAC12"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A33271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Blansko</w:t>
            </w:r>
          </w:p>
        </w:tc>
        <w:tc>
          <w:tcPr>
            <w:tcW w:w="1080" w:type="dxa"/>
            <w:tcBorders>
              <w:top w:val="nil"/>
              <w:left w:val="nil"/>
              <w:bottom w:val="single" w:sz="8" w:space="0" w:color="auto"/>
              <w:right w:val="nil"/>
            </w:tcBorders>
            <w:shd w:val="clear" w:color="auto" w:fill="auto"/>
            <w:noWrap/>
            <w:vAlign w:val="center"/>
            <w:hideMark/>
          </w:tcPr>
          <w:p w14:paraId="476F7373" w14:textId="24E9F85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0,875</w:t>
            </w:r>
          </w:p>
        </w:tc>
        <w:tc>
          <w:tcPr>
            <w:tcW w:w="1080" w:type="dxa"/>
            <w:tcBorders>
              <w:top w:val="nil"/>
              <w:left w:val="nil"/>
              <w:bottom w:val="single" w:sz="8" w:space="0" w:color="auto"/>
              <w:right w:val="nil"/>
            </w:tcBorders>
            <w:shd w:val="clear" w:color="auto" w:fill="auto"/>
            <w:noWrap/>
            <w:vAlign w:val="center"/>
            <w:hideMark/>
          </w:tcPr>
          <w:p w14:paraId="19ACD14E" w14:textId="0584E8E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0,876</w:t>
            </w:r>
          </w:p>
        </w:tc>
        <w:tc>
          <w:tcPr>
            <w:tcW w:w="1080" w:type="dxa"/>
            <w:tcBorders>
              <w:top w:val="nil"/>
              <w:left w:val="nil"/>
              <w:bottom w:val="single" w:sz="8" w:space="0" w:color="auto"/>
              <w:right w:val="nil"/>
            </w:tcBorders>
            <w:shd w:val="clear" w:color="auto" w:fill="auto"/>
            <w:noWrap/>
            <w:vAlign w:val="center"/>
            <w:hideMark/>
          </w:tcPr>
          <w:p w14:paraId="15E65E9A" w14:textId="3C3462D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0,998</w:t>
            </w:r>
          </w:p>
        </w:tc>
        <w:tc>
          <w:tcPr>
            <w:tcW w:w="1080" w:type="dxa"/>
            <w:tcBorders>
              <w:top w:val="nil"/>
              <w:left w:val="nil"/>
              <w:bottom w:val="single" w:sz="8" w:space="0" w:color="auto"/>
              <w:right w:val="nil"/>
            </w:tcBorders>
            <w:shd w:val="clear" w:color="auto" w:fill="auto"/>
            <w:noWrap/>
            <w:vAlign w:val="center"/>
            <w:hideMark/>
          </w:tcPr>
          <w:p w14:paraId="41C7F57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4BAFC21"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D18F4F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Svitavy</w:t>
            </w:r>
          </w:p>
        </w:tc>
        <w:tc>
          <w:tcPr>
            <w:tcW w:w="1080" w:type="dxa"/>
            <w:tcBorders>
              <w:top w:val="nil"/>
              <w:left w:val="nil"/>
              <w:bottom w:val="single" w:sz="8" w:space="0" w:color="auto"/>
              <w:right w:val="nil"/>
            </w:tcBorders>
            <w:shd w:val="clear" w:color="auto" w:fill="auto"/>
            <w:noWrap/>
            <w:vAlign w:val="center"/>
            <w:hideMark/>
          </w:tcPr>
          <w:p w14:paraId="717AC467" w14:textId="4B84784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0,874</w:t>
            </w:r>
          </w:p>
        </w:tc>
        <w:tc>
          <w:tcPr>
            <w:tcW w:w="1080" w:type="dxa"/>
            <w:tcBorders>
              <w:top w:val="nil"/>
              <w:left w:val="nil"/>
              <w:bottom w:val="single" w:sz="8" w:space="0" w:color="auto"/>
              <w:right w:val="nil"/>
            </w:tcBorders>
            <w:shd w:val="clear" w:color="auto" w:fill="auto"/>
            <w:noWrap/>
            <w:vAlign w:val="center"/>
            <w:hideMark/>
          </w:tcPr>
          <w:p w14:paraId="0DCD9C6E" w14:textId="53E035E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0,874</w:t>
            </w:r>
          </w:p>
        </w:tc>
        <w:tc>
          <w:tcPr>
            <w:tcW w:w="1080" w:type="dxa"/>
            <w:tcBorders>
              <w:top w:val="nil"/>
              <w:left w:val="nil"/>
              <w:bottom w:val="single" w:sz="8" w:space="0" w:color="auto"/>
              <w:right w:val="nil"/>
            </w:tcBorders>
            <w:shd w:val="clear" w:color="auto" w:fill="auto"/>
            <w:noWrap/>
            <w:vAlign w:val="center"/>
            <w:hideMark/>
          </w:tcPr>
          <w:p w14:paraId="23F6E8ED" w14:textId="48D6071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525292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50B5B957"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467694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Havlíčkův Brod</w:t>
            </w:r>
          </w:p>
        </w:tc>
        <w:tc>
          <w:tcPr>
            <w:tcW w:w="1080" w:type="dxa"/>
            <w:tcBorders>
              <w:top w:val="nil"/>
              <w:left w:val="nil"/>
              <w:bottom w:val="single" w:sz="8" w:space="0" w:color="auto"/>
              <w:right w:val="nil"/>
            </w:tcBorders>
            <w:shd w:val="clear" w:color="auto" w:fill="auto"/>
            <w:noWrap/>
            <w:vAlign w:val="center"/>
            <w:hideMark/>
          </w:tcPr>
          <w:p w14:paraId="1E3EF38F" w14:textId="3A5EFCA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0,871</w:t>
            </w:r>
          </w:p>
        </w:tc>
        <w:tc>
          <w:tcPr>
            <w:tcW w:w="1080" w:type="dxa"/>
            <w:tcBorders>
              <w:top w:val="nil"/>
              <w:left w:val="nil"/>
              <w:bottom w:val="single" w:sz="8" w:space="0" w:color="auto"/>
              <w:right w:val="nil"/>
            </w:tcBorders>
            <w:shd w:val="clear" w:color="auto" w:fill="auto"/>
            <w:noWrap/>
            <w:vAlign w:val="center"/>
            <w:hideMark/>
          </w:tcPr>
          <w:p w14:paraId="701266D9" w14:textId="7097276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0,873</w:t>
            </w:r>
          </w:p>
        </w:tc>
        <w:tc>
          <w:tcPr>
            <w:tcW w:w="1080" w:type="dxa"/>
            <w:tcBorders>
              <w:top w:val="nil"/>
              <w:left w:val="nil"/>
              <w:bottom w:val="single" w:sz="8" w:space="0" w:color="auto"/>
              <w:right w:val="nil"/>
            </w:tcBorders>
            <w:shd w:val="clear" w:color="auto" w:fill="auto"/>
            <w:noWrap/>
            <w:vAlign w:val="center"/>
            <w:hideMark/>
          </w:tcPr>
          <w:p w14:paraId="0D0091FD" w14:textId="4ACAB02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69ED53D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4292F0D7"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69429D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Semily</w:t>
            </w:r>
          </w:p>
        </w:tc>
        <w:tc>
          <w:tcPr>
            <w:tcW w:w="1080" w:type="dxa"/>
            <w:tcBorders>
              <w:top w:val="nil"/>
              <w:left w:val="nil"/>
              <w:bottom w:val="single" w:sz="8" w:space="0" w:color="auto"/>
              <w:right w:val="nil"/>
            </w:tcBorders>
            <w:shd w:val="clear" w:color="auto" w:fill="auto"/>
            <w:noWrap/>
            <w:vAlign w:val="center"/>
            <w:hideMark/>
          </w:tcPr>
          <w:p w14:paraId="5D158115" w14:textId="5365991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0,871</w:t>
            </w:r>
          </w:p>
        </w:tc>
        <w:tc>
          <w:tcPr>
            <w:tcW w:w="1080" w:type="dxa"/>
            <w:tcBorders>
              <w:top w:val="nil"/>
              <w:left w:val="nil"/>
              <w:bottom w:val="single" w:sz="8" w:space="0" w:color="auto"/>
              <w:right w:val="nil"/>
            </w:tcBorders>
            <w:shd w:val="clear" w:color="auto" w:fill="auto"/>
            <w:noWrap/>
            <w:vAlign w:val="center"/>
            <w:hideMark/>
          </w:tcPr>
          <w:p w14:paraId="1D05DF05" w14:textId="542A68D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1,000</w:t>
            </w:r>
          </w:p>
        </w:tc>
        <w:tc>
          <w:tcPr>
            <w:tcW w:w="1080" w:type="dxa"/>
            <w:tcBorders>
              <w:top w:val="nil"/>
              <w:left w:val="nil"/>
              <w:bottom w:val="single" w:sz="8" w:space="0" w:color="auto"/>
              <w:right w:val="nil"/>
            </w:tcBorders>
            <w:shd w:val="clear" w:color="auto" w:fill="auto"/>
            <w:noWrap/>
            <w:vAlign w:val="center"/>
            <w:hideMark/>
          </w:tcPr>
          <w:p w14:paraId="054974DF" w14:textId="2D38280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0,871</w:t>
            </w:r>
          </w:p>
        </w:tc>
        <w:tc>
          <w:tcPr>
            <w:tcW w:w="1080" w:type="dxa"/>
            <w:tcBorders>
              <w:top w:val="nil"/>
              <w:left w:val="nil"/>
              <w:bottom w:val="single" w:sz="8" w:space="0" w:color="auto"/>
              <w:right w:val="nil"/>
            </w:tcBorders>
            <w:shd w:val="clear" w:color="auto" w:fill="auto"/>
            <w:noWrap/>
            <w:vAlign w:val="center"/>
            <w:hideMark/>
          </w:tcPr>
          <w:p w14:paraId="6E154F5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224E532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1A2E2F5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Žďár nad Sázavou</w:t>
            </w:r>
          </w:p>
        </w:tc>
        <w:tc>
          <w:tcPr>
            <w:tcW w:w="1080" w:type="dxa"/>
            <w:tcBorders>
              <w:top w:val="nil"/>
              <w:left w:val="nil"/>
              <w:bottom w:val="single" w:sz="8" w:space="0" w:color="auto"/>
              <w:right w:val="nil"/>
            </w:tcBorders>
            <w:shd w:val="clear" w:color="auto" w:fill="auto"/>
            <w:noWrap/>
            <w:vAlign w:val="center"/>
            <w:hideMark/>
          </w:tcPr>
          <w:p w14:paraId="78DBD2A8" w14:textId="5C2C40B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0,870</w:t>
            </w:r>
          </w:p>
        </w:tc>
        <w:tc>
          <w:tcPr>
            <w:tcW w:w="1080" w:type="dxa"/>
            <w:tcBorders>
              <w:top w:val="nil"/>
              <w:left w:val="nil"/>
              <w:bottom w:val="single" w:sz="8" w:space="0" w:color="auto"/>
              <w:right w:val="nil"/>
            </w:tcBorders>
            <w:shd w:val="clear" w:color="auto" w:fill="auto"/>
            <w:noWrap/>
            <w:vAlign w:val="center"/>
            <w:hideMark/>
          </w:tcPr>
          <w:p w14:paraId="242D6900" w14:textId="4B614EB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0,873</w:t>
            </w:r>
          </w:p>
        </w:tc>
        <w:tc>
          <w:tcPr>
            <w:tcW w:w="1080" w:type="dxa"/>
            <w:tcBorders>
              <w:top w:val="nil"/>
              <w:left w:val="nil"/>
              <w:bottom w:val="single" w:sz="8" w:space="0" w:color="auto"/>
              <w:right w:val="nil"/>
            </w:tcBorders>
            <w:shd w:val="clear" w:color="auto" w:fill="auto"/>
            <w:noWrap/>
            <w:vAlign w:val="center"/>
            <w:hideMark/>
          </w:tcPr>
          <w:p w14:paraId="7D21E31D" w14:textId="15A6B0D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0,997</w:t>
            </w:r>
          </w:p>
        </w:tc>
        <w:tc>
          <w:tcPr>
            <w:tcW w:w="1080" w:type="dxa"/>
            <w:tcBorders>
              <w:top w:val="nil"/>
              <w:left w:val="nil"/>
              <w:bottom w:val="single" w:sz="8" w:space="0" w:color="auto"/>
              <w:right w:val="nil"/>
            </w:tcBorders>
            <w:shd w:val="clear" w:color="auto" w:fill="auto"/>
            <w:noWrap/>
            <w:vAlign w:val="center"/>
            <w:hideMark/>
          </w:tcPr>
          <w:p w14:paraId="1812BF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3AEC5071"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1D842C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Břeclav</w:t>
            </w:r>
          </w:p>
        </w:tc>
        <w:tc>
          <w:tcPr>
            <w:tcW w:w="1080" w:type="dxa"/>
            <w:tcBorders>
              <w:top w:val="nil"/>
              <w:left w:val="nil"/>
              <w:bottom w:val="single" w:sz="8" w:space="0" w:color="auto"/>
              <w:right w:val="nil"/>
            </w:tcBorders>
            <w:shd w:val="clear" w:color="auto" w:fill="auto"/>
            <w:noWrap/>
            <w:vAlign w:val="center"/>
            <w:hideMark/>
          </w:tcPr>
          <w:p w14:paraId="508696B2" w14:textId="30F06BF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0,868</w:t>
            </w:r>
          </w:p>
        </w:tc>
        <w:tc>
          <w:tcPr>
            <w:tcW w:w="1080" w:type="dxa"/>
            <w:tcBorders>
              <w:top w:val="nil"/>
              <w:left w:val="nil"/>
              <w:bottom w:val="single" w:sz="8" w:space="0" w:color="auto"/>
              <w:right w:val="nil"/>
            </w:tcBorders>
            <w:shd w:val="clear" w:color="auto" w:fill="auto"/>
            <w:noWrap/>
            <w:vAlign w:val="center"/>
            <w:hideMark/>
          </w:tcPr>
          <w:p w14:paraId="565012AA" w14:textId="308A808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0,868</w:t>
            </w:r>
          </w:p>
        </w:tc>
        <w:tc>
          <w:tcPr>
            <w:tcW w:w="1080" w:type="dxa"/>
            <w:tcBorders>
              <w:top w:val="nil"/>
              <w:left w:val="nil"/>
              <w:bottom w:val="single" w:sz="8" w:space="0" w:color="auto"/>
              <w:right w:val="nil"/>
            </w:tcBorders>
            <w:shd w:val="clear" w:color="auto" w:fill="auto"/>
            <w:noWrap/>
            <w:vAlign w:val="center"/>
            <w:hideMark/>
          </w:tcPr>
          <w:p w14:paraId="58E8E217" w14:textId="1918F72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0,999</w:t>
            </w:r>
          </w:p>
        </w:tc>
        <w:tc>
          <w:tcPr>
            <w:tcW w:w="1080" w:type="dxa"/>
            <w:tcBorders>
              <w:top w:val="nil"/>
              <w:left w:val="nil"/>
              <w:bottom w:val="single" w:sz="8" w:space="0" w:color="auto"/>
              <w:right w:val="nil"/>
            </w:tcBorders>
            <w:shd w:val="clear" w:color="auto" w:fill="auto"/>
            <w:noWrap/>
            <w:vAlign w:val="center"/>
            <w:hideMark/>
          </w:tcPr>
          <w:p w14:paraId="793680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62D4587F"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16D6E3D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Benešov</w:t>
            </w:r>
          </w:p>
        </w:tc>
        <w:tc>
          <w:tcPr>
            <w:tcW w:w="1080" w:type="dxa"/>
            <w:tcBorders>
              <w:top w:val="nil"/>
              <w:left w:val="nil"/>
              <w:bottom w:val="single" w:sz="8" w:space="0" w:color="auto"/>
              <w:right w:val="nil"/>
            </w:tcBorders>
            <w:shd w:val="clear" w:color="auto" w:fill="auto"/>
            <w:noWrap/>
            <w:vAlign w:val="center"/>
            <w:hideMark/>
          </w:tcPr>
          <w:p w14:paraId="4CEF219E" w14:textId="413A433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0,868</w:t>
            </w:r>
          </w:p>
        </w:tc>
        <w:tc>
          <w:tcPr>
            <w:tcW w:w="1080" w:type="dxa"/>
            <w:tcBorders>
              <w:top w:val="nil"/>
              <w:left w:val="nil"/>
              <w:bottom w:val="single" w:sz="8" w:space="0" w:color="auto"/>
              <w:right w:val="nil"/>
            </w:tcBorders>
            <w:shd w:val="clear" w:color="auto" w:fill="auto"/>
            <w:noWrap/>
            <w:vAlign w:val="center"/>
            <w:hideMark/>
          </w:tcPr>
          <w:p w14:paraId="0CE98FEE" w14:textId="3D98B63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0,875</w:t>
            </w:r>
          </w:p>
        </w:tc>
        <w:tc>
          <w:tcPr>
            <w:tcW w:w="1080" w:type="dxa"/>
            <w:tcBorders>
              <w:top w:val="nil"/>
              <w:left w:val="nil"/>
              <w:bottom w:val="single" w:sz="8" w:space="0" w:color="auto"/>
              <w:right w:val="nil"/>
            </w:tcBorders>
            <w:shd w:val="clear" w:color="auto" w:fill="auto"/>
            <w:noWrap/>
            <w:vAlign w:val="center"/>
            <w:hideMark/>
          </w:tcPr>
          <w:p w14:paraId="774355A7" w14:textId="6079D1E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0,992</w:t>
            </w:r>
          </w:p>
        </w:tc>
        <w:tc>
          <w:tcPr>
            <w:tcW w:w="1080" w:type="dxa"/>
            <w:tcBorders>
              <w:top w:val="nil"/>
              <w:left w:val="nil"/>
              <w:bottom w:val="single" w:sz="8" w:space="0" w:color="auto"/>
              <w:right w:val="nil"/>
            </w:tcBorders>
            <w:shd w:val="clear" w:color="auto" w:fill="auto"/>
            <w:noWrap/>
            <w:vAlign w:val="center"/>
            <w:hideMark/>
          </w:tcPr>
          <w:p w14:paraId="6D39F0B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31787B6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753ED03" w14:textId="7BBDCD86"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Plzeň</w:t>
            </w:r>
            <w:r>
              <w:rPr>
                <w:rFonts w:eastAsia="Times New Roman"/>
                <w:color w:val="000000" w:themeColor="text1"/>
                <w:szCs w:val="24"/>
                <w:lang w:eastAsia="cs-CZ"/>
              </w:rPr>
              <w:noBreakHyphen/>
            </w:r>
            <w:r w:rsidR="008430BD" w:rsidRPr="001C3EC8">
              <w:rPr>
                <w:rFonts w:eastAsia="Times New Roman"/>
                <w:color w:val="000000" w:themeColor="text1"/>
                <w:szCs w:val="24"/>
                <w:lang w:eastAsia="cs-CZ"/>
              </w:rPr>
              <w:t>jih</w:t>
            </w:r>
          </w:p>
        </w:tc>
        <w:tc>
          <w:tcPr>
            <w:tcW w:w="1080" w:type="dxa"/>
            <w:tcBorders>
              <w:top w:val="nil"/>
              <w:left w:val="nil"/>
              <w:bottom w:val="single" w:sz="8" w:space="0" w:color="auto"/>
              <w:right w:val="nil"/>
            </w:tcBorders>
            <w:shd w:val="clear" w:color="auto" w:fill="auto"/>
            <w:noWrap/>
            <w:vAlign w:val="center"/>
            <w:hideMark/>
          </w:tcPr>
          <w:p w14:paraId="39B83CA5" w14:textId="3FA0455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0,866</w:t>
            </w:r>
          </w:p>
        </w:tc>
        <w:tc>
          <w:tcPr>
            <w:tcW w:w="1080" w:type="dxa"/>
            <w:tcBorders>
              <w:top w:val="nil"/>
              <w:left w:val="nil"/>
              <w:bottom w:val="single" w:sz="8" w:space="0" w:color="auto"/>
              <w:right w:val="nil"/>
            </w:tcBorders>
            <w:shd w:val="clear" w:color="auto" w:fill="auto"/>
            <w:noWrap/>
            <w:vAlign w:val="center"/>
            <w:hideMark/>
          </w:tcPr>
          <w:p w14:paraId="6BFB5464" w14:textId="57C444D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0,871</w:t>
            </w:r>
          </w:p>
        </w:tc>
        <w:tc>
          <w:tcPr>
            <w:tcW w:w="1080" w:type="dxa"/>
            <w:tcBorders>
              <w:top w:val="nil"/>
              <w:left w:val="nil"/>
              <w:bottom w:val="single" w:sz="8" w:space="0" w:color="auto"/>
              <w:right w:val="nil"/>
            </w:tcBorders>
            <w:shd w:val="clear" w:color="auto" w:fill="auto"/>
            <w:noWrap/>
            <w:vAlign w:val="center"/>
            <w:hideMark/>
          </w:tcPr>
          <w:p w14:paraId="23E160FD" w14:textId="7B8A7A5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0,994</w:t>
            </w:r>
          </w:p>
        </w:tc>
        <w:tc>
          <w:tcPr>
            <w:tcW w:w="1080" w:type="dxa"/>
            <w:tcBorders>
              <w:top w:val="nil"/>
              <w:left w:val="nil"/>
              <w:bottom w:val="single" w:sz="8" w:space="0" w:color="auto"/>
              <w:right w:val="nil"/>
            </w:tcBorders>
            <w:shd w:val="clear" w:color="auto" w:fill="auto"/>
            <w:noWrap/>
            <w:vAlign w:val="center"/>
            <w:hideMark/>
          </w:tcPr>
          <w:p w14:paraId="185289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6FF0CAE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623ECA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České Budějovice</w:t>
            </w:r>
          </w:p>
        </w:tc>
        <w:tc>
          <w:tcPr>
            <w:tcW w:w="1080" w:type="dxa"/>
            <w:tcBorders>
              <w:top w:val="nil"/>
              <w:left w:val="nil"/>
              <w:bottom w:val="single" w:sz="8" w:space="0" w:color="auto"/>
              <w:right w:val="nil"/>
            </w:tcBorders>
            <w:shd w:val="clear" w:color="auto" w:fill="auto"/>
            <w:noWrap/>
            <w:vAlign w:val="center"/>
            <w:hideMark/>
          </w:tcPr>
          <w:p w14:paraId="5B3B67C9" w14:textId="5F9BEB4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0,866</w:t>
            </w:r>
          </w:p>
        </w:tc>
        <w:tc>
          <w:tcPr>
            <w:tcW w:w="1080" w:type="dxa"/>
            <w:tcBorders>
              <w:top w:val="nil"/>
              <w:left w:val="nil"/>
              <w:bottom w:val="single" w:sz="8" w:space="0" w:color="auto"/>
              <w:right w:val="nil"/>
            </w:tcBorders>
            <w:shd w:val="clear" w:color="auto" w:fill="auto"/>
            <w:noWrap/>
            <w:vAlign w:val="center"/>
            <w:hideMark/>
          </w:tcPr>
          <w:p w14:paraId="11097A0A" w14:textId="3659152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0,938</w:t>
            </w:r>
          </w:p>
        </w:tc>
        <w:tc>
          <w:tcPr>
            <w:tcW w:w="1080" w:type="dxa"/>
            <w:tcBorders>
              <w:top w:val="nil"/>
              <w:left w:val="nil"/>
              <w:bottom w:val="single" w:sz="8" w:space="0" w:color="auto"/>
              <w:right w:val="nil"/>
            </w:tcBorders>
            <w:shd w:val="clear" w:color="auto" w:fill="auto"/>
            <w:noWrap/>
            <w:vAlign w:val="center"/>
            <w:hideMark/>
          </w:tcPr>
          <w:p w14:paraId="339B9A50" w14:textId="058D483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0,924</w:t>
            </w:r>
          </w:p>
        </w:tc>
        <w:tc>
          <w:tcPr>
            <w:tcW w:w="1080" w:type="dxa"/>
            <w:tcBorders>
              <w:top w:val="nil"/>
              <w:left w:val="nil"/>
              <w:bottom w:val="single" w:sz="8" w:space="0" w:color="auto"/>
              <w:right w:val="nil"/>
            </w:tcBorders>
            <w:shd w:val="clear" w:color="auto" w:fill="auto"/>
            <w:noWrap/>
            <w:vAlign w:val="center"/>
            <w:hideMark/>
          </w:tcPr>
          <w:p w14:paraId="737BD0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17C7AED8"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03A55E89" w14:textId="6845759C"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Brno</w:t>
            </w:r>
            <w:r>
              <w:rPr>
                <w:rFonts w:eastAsia="Times New Roman"/>
                <w:color w:val="000000" w:themeColor="text1"/>
                <w:szCs w:val="24"/>
                <w:lang w:eastAsia="cs-CZ"/>
              </w:rPr>
              <w:noBreakHyphen/>
            </w:r>
            <w:r w:rsidR="008430BD" w:rsidRPr="001C3EC8">
              <w:rPr>
                <w:rFonts w:eastAsia="Times New Roman"/>
                <w:color w:val="000000" w:themeColor="text1"/>
                <w:szCs w:val="24"/>
                <w:lang w:eastAsia="cs-CZ"/>
              </w:rPr>
              <w:t>venkov</w:t>
            </w:r>
          </w:p>
        </w:tc>
        <w:tc>
          <w:tcPr>
            <w:tcW w:w="1080" w:type="dxa"/>
            <w:tcBorders>
              <w:top w:val="nil"/>
              <w:left w:val="nil"/>
              <w:bottom w:val="single" w:sz="8" w:space="0" w:color="auto"/>
              <w:right w:val="nil"/>
            </w:tcBorders>
            <w:shd w:val="clear" w:color="auto" w:fill="auto"/>
            <w:noWrap/>
            <w:vAlign w:val="center"/>
            <w:hideMark/>
          </w:tcPr>
          <w:p w14:paraId="7A28540E" w14:textId="505F0BF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0,843</w:t>
            </w:r>
          </w:p>
        </w:tc>
        <w:tc>
          <w:tcPr>
            <w:tcW w:w="1080" w:type="dxa"/>
            <w:tcBorders>
              <w:top w:val="nil"/>
              <w:left w:val="nil"/>
              <w:bottom w:val="single" w:sz="8" w:space="0" w:color="auto"/>
              <w:right w:val="nil"/>
            </w:tcBorders>
            <w:shd w:val="clear" w:color="auto" w:fill="auto"/>
            <w:noWrap/>
            <w:vAlign w:val="center"/>
            <w:hideMark/>
          </w:tcPr>
          <w:p w14:paraId="782D9651" w14:textId="48F8166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0,847</w:t>
            </w:r>
          </w:p>
        </w:tc>
        <w:tc>
          <w:tcPr>
            <w:tcW w:w="1080" w:type="dxa"/>
            <w:tcBorders>
              <w:top w:val="nil"/>
              <w:left w:val="nil"/>
              <w:bottom w:val="single" w:sz="8" w:space="0" w:color="auto"/>
              <w:right w:val="nil"/>
            </w:tcBorders>
            <w:shd w:val="clear" w:color="auto" w:fill="auto"/>
            <w:noWrap/>
            <w:vAlign w:val="center"/>
            <w:hideMark/>
          </w:tcPr>
          <w:p w14:paraId="07EC9DBC" w14:textId="0427DCD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0,995</w:t>
            </w:r>
          </w:p>
        </w:tc>
        <w:tc>
          <w:tcPr>
            <w:tcW w:w="1080" w:type="dxa"/>
            <w:tcBorders>
              <w:top w:val="nil"/>
              <w:left w:val="nil"/>
              <w:bottom w:val="single" w:sz="8" w:space="0" w:color="auto"/>
              <w:right w:val="nil"/>
            </w:tcBorders>
            <w:shd w:val="clear" w:color="auto" w:fill="auto"/>
            <w:noWrap/>
            <w:vAlign w:val="center"/>
            <w:hideMark/>
          </w:tcPr>
          <w:p w14:paraId="1B6BF5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1A66421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28B4B1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Český Krumlov</w:t>
            </w:r>
          </w:p>
        </w:tc>
        <w:tc>
          <w:tcPr>
            <w:tcW w:w="1080" w:type="dxa"/>
            <w:tcBorders>
              <w:top w:val="nil"/>
              <w:left w:val="nil"/>
              <w:bottom w:val="single" w:sz="8" w:space="0" w:color="auto"/>
              <w:right w:val="nil"/>
            </w:tcBorders>
            <w:shd w:val="clear" w:color="auto" w:fill="auto"/>
            <w:noWrap/>
            <w:vAlign w:val="center"/>
            <w:hideMark/>
          </w:tcPr>
          <w:p w14:paraId="14CC9B28" w14:textId="41C6D60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0,841</w:t>
            </w:r>
          </w:p>
        </w:tc>
        <w:tc>
          <w:tcPr>
            <w:tcW w:w="1080" w:type="dxa"/>
            <w:tcBorders>
              <w:top w:val="nil"/>
              <w:left w:val="nil"/>
              <w:bottom w:val="single" w:sz="8" w:space="0" w:color="auto"/>
              <w:right w:val="nil"/>
            </w:tcBorders>
            <w:shd w:val="clear" w:color="auto" w:fill="auto"/>
            <w:noWrap/>
            <w:vAlign w:val="center"/>
            <w:hideMark/>
          </w:tcPr>
          <w:p w14:paraId="0869134B" w14:textId="4551B0C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0,842</w:t>
            </w:r>
          </w:p>
        </w:tc>
        <w:tc>
          <w:tcPr>
            <w:tcW w:w="1080" w:type="dxa"/>
            <w:tcBorders>
              <w:top w:val="nil"/>
              <w:left w:val="nil"/>
              <w:bottom w:val="single" w:sz="8" w:space="0" w:color="auto"/>
              <w:right w:val="nil"/>
            </w:tcBorders>
            <w:shd w:val="clear" w:color="auto" w:fill="auto"/>
            <w:noWrap/>
            <w:vAlign w:val="center"/>
            <w:hideMark/>
          </w:tcPr>
          <w:p w14:paraId="4215DBD8" w14:textId="0865FC6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0,999</w:t>
            </w:r>
          </w:p>
        </w:tc>
        <w:tc>
          <w:tcPr>
            <w:tcW w:w="1080" w:type="dxa"/>
            <w:tcBorders>
              <w:top w:val="nil"/>
              <w:left w:val="nil"/>
              <w:bottom w:val="single" w:sz="8" w:space="0" w:color="auto"/>
              <w:right w:val="nil"/>
            </w:tcBorders>
            <w:shd w:val="clear" w:color="auto" w:fill="auto"/>
            <w:noWrap/>
            <w:vAlign w:val="center"/>
            <w:hideMark/>
          </w:tcPr>
          <w:p w14:paraId="5B9FBEC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7C58508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003355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Louny</w:t>
            </w:r>
          </w:p>
        </w:tc>
        <w:tc>
          <w:tcPr>
            <w:tcW w:w="1080" w:type="dxa"/>
            <w:tcBorders>
              <w:top w:val="nil"/>
              <w:left w:val="nil"/>
              <w:bottom w:val="single" w:sz="8" w:space="0" w:color="auto"/>
              <w:right w:val="nil"/>
            </w:tcBorders>
            <w:shd w:val="clear" w:color="auto" w:fill="auto"/>
            <w:noWrap/>
            <w:vAlign w:val="center"/>
            <w:hideMark/>
          </w:tcPr>
          <w:p w14:paraId="76232106" w14:textId="0A2EA2A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0,838</w:t>
            </w:r>
          </w:p>
        </w:tc>
        <w:tc>
          <w:tcPr>
            <w:tcW w:w="1080" w:type="dxa"/>
            <w:tcBorders>
              <w:top w:val="nil"/>
              <w:left w:val="nil"/>
              <w:bottom w:val="single" w:sz="8" w:space="0" w:color="auto"/>
              <w:right w:val="nil"/>
            </w:tcBorders>
            <w:shd w:val="clear" w:color="auto" w:fill="auto"/>
            <w:noWrap/>
            <w:vAlign w:val="center"/>
            <w:hideMark/>
          </w:tcPr>
          <w:p w14:paraId="3CB6E721" w14:textId="7203E51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0,839</w:t>
            </w:r>
          </w:p>
        </w:tc>
        <w:tc>
          <w:tcPr>
            <w:tcW w:w="1080" w:type="dxa"/>
            <w:tcBorders>
              <w:top w:val="nil"/>
              <w:left w:val="nil"/>
              <w:bottom w:val="single" w:sz="8" w:space="0" w:color="auto"/>
              <w:right w:val="nil"/>
            </w:tcBorders>
            <w:shd w:val="clear" w:color="auto" w:fill="auto"/>
            <w:noWrap/>
            <w:vAlign w:val="center"/>
            <w:hideMark/>
          </w:tcPr>
          <w:p w14:paraId="4FCDB1E2" w14:textId="523F692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0,999</w:t>
            </w:r>
          </w:p>
        </w:tc>
        <w:tc>
          <w:tcPr>
            <w:tcW w:w="1080" w:type="dxa"/>
            <w:tcBorders>
              <w:top w:val="nil"/>
              <w:left w:val="nil"/>
              <w:bottom w:val="single" w:sz="8" w:space="0" w:color="auto"/>
              <w:right w:val="nil"/>
            </w:tcBorders>
            <w:shd w:val="clear" w:color="auto" w:fill="auto"/>
            <w:noWrap/>
            <w:vAlign w:val="center"/>
            <w:hideMark/>
          </w:tcPr>
          <w:p w14:paraId="212DFD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0E3CE39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316C05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Brno</w:t>
            </w:r>
          </w:p>
        </w:tc>
        <w:tc>
          <w:tcPr>
            <w:tcW w:w="1080" w:type="dxa"/>
            <w:tcBorders>
              <w:top w:val="nil"/>
              <w:left w:val="nil"/>
              <w:bottom w:val="single" w:sz="8" w:space="0" w:color="auto"/>
              <w:right w:val="nil"/>
            </w:tcBorders>
            <w:shd w:val="clear" w:color="auto" w:fill="auto"/>
            <w:noWrap/>
            <w:vAlign w:val="center"/>
            <w:hideMark/>
          </w:tcPr>
          <w:p w14:paraId="7ADE5792" w14:textId="68061AC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0,838</w:t>
            </w:r>
          </w:p>
        </w:tc>
        <w:tc>
          <w:tcPr>
            <w:tcW w:w="1080" w:type="dxa"/>
            <w:tcBorders>
              <w:top w:val="nil"/>
              <w:left w:val="nil"/>
              <w:bottom w:val="single" w:sz="8" w:space="0" w:color="auto"/>
              <w:right w:val="nil"/>
            </w:tcBorders>
            <w:shd w:val="clear" w:color="auto" w:fill="auto"/>
            <w:noWrap/>
            <w:vAlign w:val="center"/>
            <w:hideMark/>
          </w:tcPr>
          <w:p w14:paraId="3ED26730" w14:textId="0EBECC7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0,996</w:t>
            </w:r>
          </w:p>
        </w:tc>
        <w:tc>
          <w:tcPr>
            <w:tcW w:w="1080" w:type="dxa"/>
            <w:tcBorders>
              <w:top w:val="nil"/>
              <w:left w:val="nil"/>
              <w:bottom w:val="single" w:sz="8" w:space="0" w:color="auto"/>
              <w:right w:val="nil"/>
            </w:tcBorders>
            <w:shd w:val="clear" w:color="auto" w:fill="auto"/>
            <w:noWrap/>
            <w:vAlign w:val="center"/>
            <w:hideMark/>
          </w:tcPr>
          <w:p w14:paraId="28CD6CB0" w14:textId="54B0C41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0,841</w:t>
            </w:r>
          </w:p>
        </w:tc>
        <w:tc>
          <w:tcPr>
            <w:tcW w:w="1080" w:type="dxa"/>
            <w:tcBorders>
              <w:top w:val="nil"/>
              <w:left w:val="nil"/>
              <w:bottom w:val="single" w:sz="8" w:space="0" w:color="auto"/>
              <w:right w:val="nil"/>
            </w:tcBorders>
            <w:shd w:val="clear" w:color="auto" w:fill="auto"/>
            <w:noWrap/>
            <w:vAlign w:val="center"/>
            <w:hideMark/>
          </w:tcPr>
          <w:p w14:paraId="6BCF640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44B06BDC"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50F4E91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Prostějov</w:t>
            </w:r>
          </w:p>
        </w:tc>
        <w:tc>
          <w:tcPr>
            <w:tcW w:w="1080" w:type="dxa"/>
            <w:tcBorders>
              <w:top w:val="nil"/>
              <w:left w:val="nil"/>
              <w:bottom w:val="single" w:sz="8" w:space="0" w:color="auto"/>
              <w:right w:val="nil"/>
            </w:tcBorders>
            <w:shd w:val="clear" w:color="auto" w:fill="auto"/>
            <w:noWrap/>
            <w:vAlign w:val="center"/>
            <w:hideMark/>
          </w:tcPr>
          <w:p w14:paraId="5E9FA04D" w14:textId="6AF9E6F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0,837</w:t>
            </w:r>
          </w:p>
        </w:tc>
        <w:tc>
          <w:tcPr>
            <w:tcW w:w="1080" w:type="dxa"/>
            <w:tcBorders>
              <w:top w:val="nil"/>
              <w:left w:val="nil"/>
              <w:bottom w:val="single" w:sz="8" w:space="0" w:color="auto"/>
              <w:right w:val="nil"/>
            </w:tcBorders>
            <w:shd w:val="clear" w:color="auto" w:fill="auto"/>
            <w:noWrap/>
            <w:vAlign w:val="center"/>
            <w:hideMark/>
          </w:tcPr>
          <w:p w14:paraId="2CD58E9A" w14:textId="721FEDD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0,842</w:t>
            </w:r>
          </w:p>
        </w:tc>
        <w:tc>
          <w:tcPr>
            <w:tcW w:w="1080" w:type="dxa"/>
            <w:tcBorders>
              <w:top w:val="nil"/>
              <w:left w:val="nil"/>
              <w:bottom w:val="single" w:sz="8" w:space="0" w:color="auto"/>
              <w:right w:val="nil"/>
            </w:tcBorders>
            <w:shd w:val="clear" w:color="auto" w:fill="auto"/>
            <w:noWrap/>
            <w:vAlign w:val="center"/>
            <w:hideMark/>
          </w:tcPr>
          <w:p w14:paraId="17CC819D" w14:textId="7D2E8F9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0,993</w:t>
            </w:r>
          </w:p>
        </w:tc>
        <w:tc>
          <w:tcPr>
            <w:tcW w:w="1080" w:type="dxa"/>
            <w:tcBorders>
              <w:top w:val="nil"/>
              <w:left w:val="nil"/>
              <w:bottom w:val="single" w:sz="8" w:space="0" w:color="auto"/>
              <w:right w:val="nil"/>
            </w:tcBorders>
            <w:shd w:val="clear" w:color="auto" w:fill="auto"/>
            <w:noWrap/>
            <w:vAlign w:val="center"/>
            <w:hideMark/>
          </w:tcPr>
          <w:p w14:paraId="1B952B7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5A3635B2"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F26C0A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Chomutov</w:t>
            </w:r>
          </w:p>
        </w:tc>
        <w:tc>
          <w:tcPr>
            <w:tcW w:w="1080" w:type="dxa"/>
            <w:tcBorders>
              <w:top w:val="nil"/>
              <w:left w:val="nil"/>
              <w:bottom w:val="single" w:sz="8" w:space="0" w:color="auto"/>
              <w:right w:val="nil"/>
            </w:tcBorders>
            <w:shd w:val="clear" w:color="auto" w:fill="auto"/>
            <w:noWrap/>
            <w:vAlign w:val="center"/>
            <w:hideMark/>
          </w:tcPr>
          <w:p w14:paraId="4CB95F18" w14:textId="5ED2C19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0,833</w:t>
            </w:r>
          </w:p>
        </w:tc>
        <w:tc>
          <w:tcPr>
            <w:tcW w:w="1080" w:type="dxa"/>
            <w:tcBorders>
              <w:top w:val="nil"/>
              <w:left w:val="nil"/>
              <w:bottom w:val="single" w:sz="8" w:space="0" w:color="auto"/>
              <w:right w:val="nil"/>
            </w:tcBorders>
            <w:shd w:val="clear" w:color="auto" w:fill="auto"/>
            <w:noWrap/>
            <w:vAlign w:val="center"/>
            <w:hideMark/>
          </w:tcPr>
          <w:p w14:paraId="7E81FDCC" w14:textId="09AD96A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0,838</w:t>
            </w:r>
          </w:p>
        </w:tc>
        <w:tc>
          <w:tcPr>
            <w:tcW w:w="1080" w:type="dxa"/>
            <w:tcBorders>
              <w:top w:val="nil"/>
              <w:left w:val="nil"/>
              <w:bottom w:val="single" w:sz="8" w:space="0" w:color="auto"/>
              <w:right w:val="nil"/>
            </w:tcBorders>
            <w:shd w:val="clear" w:color="auto" w:fill="auto"/>
            <w:noWrap/>
            <w:vAlign w:val="center"/>
            <w:hideMark/>
          </w:tcPr>
          <w:p w14:paraId="5BF27265" w14:textId="5DFF3DA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0,994</w:t>
            </w:r>
          </w:p>
        </w:tc>
        <w:tc>
          <w:tcPr>
            <w:tcW w:w="1080" w:type="dxa"/>
            <w:tcBorders>
              <w:top w:val="nil"/>
              <w:left w:val="nil"/>
              <w:bottom w:val="single" w:sz="8" w:space="0" w:color="auto"/>
              <w:right w:val="nil"/>
            </w:tcBorders>
            <w:shd w:val="clear" w:color="auto" w:fill="auto"/>
            <w:noWrap/>
            <w:vAlign w:val="center"/>
            <w:hideMark/>
          </w:tcPr>
          <w:p w14:paraId="7F1B6D1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2C9C2604"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6CB6DC2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Třebíč</w:t>
            </w:r>
          </w:p>
        </w:tc>
        <w:tc>
          <w:tcPr>
            <w:tcW w:w="1080" w:type="dxa"/>
            <w:tcBorders>
              <w:top w:val="nil"/>
              <w:left w:val="nil"/>
              <w:bottom w:val="single" w:sz="8" w:space="0" w:color="auto"/>
              <w:right w:val="nil"/>
            </w:tcBorders>
            <w:shd w:val="clear" w:color="auto" w:fill="auto"/>
            <w:noWrap/>
            <w:vAlign w:val="center"/>
            <w:hideMark/>
          </w:tcPr>
          <w:p w14:paraId="3E29CDD7" w14:textId="0D80941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0,830</w:t>
            </w:r>
          </w:p>
        </w:tc>
        <w:tc>
          <w:tcPr>
            <w:tcW w:w="1080" w:type="dxa"/>
            <w:tcBorders>
              <w:top w:val="nil"/>
              <w:left w:val="nil"/>
              <w:bottom w:val="single" w:sz="8" w:space="0" w:color="auto"/>
              <w:right w:val="nil"/>
            </w:tcBorders>
            <w:shd w:val="clear" w:color="auto" w:fill="auto"/>
            <w:noWrap/>
            <w:vAlign w:val="center"/>
            <w:hideMark/>
          </w:tcPr>
          <w:p w14:paraId="64CA9821" w14:textId="194DE74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0,838</w:t>
            </w:r>
          </w:p>
        </w:tc>
        <w:tc>
          <w:tcPr>
            <w:tcW w:w="1080" w:type="dxa"/>
            <w:tcBorders>
              <w:top w:val="nil"/>
              <w:left w:val="nil"/>
              <w:bottom w:val="single" w:sz="8" w:space="0" w:color="auto"/>
              <w:right w:val="nil"/>
            </w:tcBorders>
            <w:shd w:val="clear" w:color="auto" w:fill="auto"/>
            <w:noWrap/>
            <w:vAlign w:val="center"/>
            <w:hideMark/>
          </w:tcPr>
          <w:p w14:paraId="4B3B20D3" w14:textId="52BC0E6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0,990</w:t>
            </w:r>
          </w:p>
        </w:tc>
        <w:tc>
          <w:tcPr>
            <w:tcW w:w="1080" w:type="dxa"/>
            <w:tcBorders>
              <w:top w:val="nil"/>
              <w:left w:val="nil"/>
              <w:bottom w:val="single" w:sz="8" w:space="0" w:color="auto"/>
              <w:right w:val="nil"/>
            </w:tcBorders>
            <w:shd w:val="clear" w:color="auto" w:fill="auto"/>
            <w:noWrap/>
            <w:vAlign w:val="center"/>
            <w:hideMark/>
          </w:tcPr>
          <w:p w14:paraId="36671BA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651F10FE"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D6B2D3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Bruntál</w:t>
            </w:r>
          </w:p>
        </w:tc>
        <w:tc>
          <w:tcPr>
            <w:tcW w:w="1080" w:type="dxa"/>
            <w:tcBorders>
              <w:top w:val="nil"/>
              <w:left w:val="nil"/>
              <w:bottom w:val="single" w:sz="8" w:space="0" w:color="auto"/>
              <w:right w:val="nil"/>
            </w:tcBorders>
            <w:shd w:val="clear" w:color="auto" w:fill="auto"/>
            <w:noWrap/>
            <w:vAlign w:val="center"/>
            <w:hideMark/>
          </w:tcPr>
          <w:p w14:paraId="13B24E95" w14:textId="2B601F4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0,829</w:t>
            </w:r>
          </w:p>
        </w:tc>
        <w:tc>
          <w:tcPr>
            <w:tcW w:w="1080" w:type="dxa"/>
            <w:tcBorders>
              <w:top w:val="nil"/>
              <w:left w:val="nil"/>
              <w:bottom w:val="single" w:sz="8" w:space="0" w:color="auto"/>
              <w:right w:val="nil"/>
            </w:tcBorders>
            <w:shd w:val="clear" w:color="auto" w:fill="auto"/>
            <w:noWrap/>
            <w:vAlign w:val="center"/>
            <w:hideMark/>
          </w:tcPr>
          <w:p w14:paraId="3A7D5537" w14:textId="6D3B404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0,837</w:t>
            </w:r>
          </w:p>
        </w:tc>
        <w:tc>
          <w:tcPr>
            <w:tcW w:w="1080" w:type="dxa"/>
            <w:tcBorders>
              <w:top w:val="nil"/>
              <w:left w:val="nil"/>
              <w:bottom w:val="single" w:sz="8" w:space="0" w:color="auto"/>
              <w:right w:val="nil"/>
            </w:tcBorders>
            <w:shd w:val="clear" w:color="auto" w:fill="auto"/>
            <w:noWrap/>
            <w:vAlign w:val="center"/>
            <w:hideMark/>
          </w:tcPr>
          <w:p w14:paraId="753AE376" w14:textId="7BEDC18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0,991</w:t>
            </w:r>
          </w:p>
        </w:tc>
        <w:tc>
          <w:tcPr>
            <w:tcW w:w="1080" w:type="dxa"/>
            <w:tcBorders>
              <w:top w:val="nil"/>
              <w:left w:val="nil"/>
              <w:bottom w:val="single" w:sz="8" w:space="0" w:color="auto"/>
              <w:right w:val="nil"/>
            </w:tcBorders>
            <w:shd w:val="clear" w:color="auto" w:fill="auto"/>
            <w:noWrap/>
            <w:vAlign w:val="center"/>
            <w:hideMark/>
          </w:tcPr>
          <w:p w14:paraId="6F3526D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7D295EEA"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73DBBDDB" w14:textId="06B15C39" w:rsidR="008430BD" w:rsidRPr="001C3EC8" w:rsidRDefault="0053190F" w:rsidP="00E077F3">
            <w:pPr>
              <w:spacing w:line="240" w:lineRule="auto"/>
              <w:jc w:val="left"/>
              <w:rPr>
                <w:rFonts w:eastAsia="Times New Roman"/>
                <w:color w:val="000000" w:themeColor="text1"/>
                <w:szCs w:val="24"/>
                <w:lang w:eastAsia="cs-CZ"/>
              </w:rPr>
            </w:pPr>
            <w:r>
              <w:rPr>
                <w:rFonts w:eastAsia="Times New Roman"/>
                <w:color w:val="000000" w:themeColor="text1"/>
                <w:szCs w:val="24"/>
                <w:lang w:eastAsia="cs-CZ"/>
              </w:rPr>
              <w:t>Plzeň</w:t>
            </w:r>
            <w:r>
              <w:rPr>
                <w:rFonts w:eastAsia="Times New Roman"/>
                <w:color w:val="000000" w:themeColor="text1"/>
                <w:szCs w:val="24"/>
                <w:lang w:eastAsia="cs-CZ"/>
              </w:rPr>
              <w:noBreakHyphen/>
              <w:t>m</w:t>
            </w:r>
            <w:r w:rsidR="008430BD" w:rsidRPr="001C3EC8">
              <w:rPr>
                <w:rFonts w:eastAsia="Times New Roman"/>
                <w:color w:val="000000" w:themeColor="text1"/>
                <w:szCs w:val="24"/>
                <w:lang w:eastAsia="cs-CZ"/>
              </w:rPr>
              <w:t>ěsto</w:t>
            </w:r>
          </w:p>
        </w:tc>
        <w:tc>
          <w:tcPr>
            <w:tcW w:w="1080" w:type="dxa"/>
            <w:tcBorders>
              <w:top w:val="nil"/>
              <w:left w:val="nil"/>
              <w:bottom w:val="single" w:sz="8" w:space="0" w:color="auto"/>
              <w:right w:val="nil"/>
            </w:tcBorders>
            <w:shd w:val="clear" w:color="auto" w:fill="auto"/>
            <w:noWrap/>
            <w:vAlign w:val="center"/>
            <w:hideMark/>
          </w:tcPr>
          <w:p w14:paraId="500F75BD" w14:textId="22178CF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0,824</w:t>
            </w:r>
          </w:p>
        </w:tc>
        <w:tc>
          <w:tcPr>
            <w:tcW w:w="1080" w:type="dxa"/>
            <w:tcBorders>
              <w:top w:val="nil"/>
              <w:left w:val="nil"/>
              <w:bottom w:val="single" w:sz="8" w:space="0" w:color="auto"/>
              <w:right w:val="nil"/>
            </w:tcBorders>
            <w:shd w:val="clear" w:color="auto" w:fill="auto"/>
            <w:noWrap/>
            <w:vAlign w:val="center"/>
            <w:hideMark/>
          </w:tcPr>
          <w:p w14:paraId="7C24C52C" w14:textId="4DD5343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0,867</w:t>
            </w:r>
          </w:p>
        </w:tc>
        <w:tc>
          <w:tcPr>
            <w:tcW w:w="1080" w:type="dxa"/>
            <w:tcBorders>
              <w:top w:val="nil"/>
              <w:left w:val="nil"/>
              <w:bottom w:val="single" w:sz="8" w:space="0" w:color="auto"/>
              <w:right w:val="nil"/>
            </w:tcBorders>
            <w:shd w:val="clear" w:color="auto" w:fill="auto"/>
            <w:noWrap/>
            <w:vAlign w:val="center"/>
            <w:hideMark/>
          </w:tcPr>
          <w:p w14:paraId="29AD304E" w14:textId="6216E31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0,950</w:t>
            </w:r>
          </w:p>
        </w:tc>
        <w:tc>
          <w:tcPr>
            <w:tcW w:w="1080" w:type="dxa"/>
            <w:tcBorders>
              <w:top w:val="nil"/>
              <w:left w:val="nil"/>
              <w:bottom w:val="single" w:sz="8" w:space="0" w:color="auto"/>
              <w:right w:val="nil"/>
            </w:tcBorders>
            <w:shd w:val="clear" w:color="auto" w:fill="auto"/>
            <w:noWrap/>
            <w:vAlign w:val="center"/>
            <w:hideMark/>
          </w:tcPr>
          <w:p w14:paraId="7422FBF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DRS</w:t>
            </w:r>
          </w:p>
        </w:tc>
      </w:tr>
      <w:tr w:rsidR="008430BD" w:rsidRPr="001C3EC8" w14:paraId="18682970" w14:textId="77777777" w:rsidTr="00E077F3">
        <w:trPr>
          <w:trHeight w:val="284"/>
        </w:trPr>
        <w:tc>
          <w:tcPr>
            <w:tcW w:w="2720" w:type="dxa"/>
            <w:tcBorders>
              <w:top w:val="nil"/>
              <w:left w:val="nil"/>
              <w:bottom w:val="single" w:sz="8" w:space="0" w:color="auto"/>
              <w:right w:val="nil"/>
            </w:tcBorders>
            <w:shd w:val="clear" w:color="auto" w:fill="auto"/>
            <w:noWrap/>
            <w:vAlign w:val="center"/>
            <w:hideMark/>
          </w:tcPr>
          <w:p w14:paraId="372B20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Jičín</w:t>
            </w:r>
          </w:p>
        </w:tc>
        <w:tc>
          <w:tcPr>
            <w:tcW w:w="1080" w:type="dxa"/>
            <w:tcBorders>
              <w:top w:val="nil"/>
              <w:left w:val="nil"/>
              <w:bottom w:val="single" w:sz="8" w:space="0" w:color="auto"/>
              <w:right w:val="nil"/>
            </w:tcBorders>
            <w:shd w:val="clear" w:color="auto" w:fill="auto"/>
            <w:noWrap/>
            <w:vAlign w:val="center"/>
            <w:hideMark/>
          </w:tcPr>
          <w:p w14:paraId="0C938B2A" w14:textId="18DF78A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0,819</w:t>
            </w:r>
          </w:p>
        </w:tc>
        <w:tc>
          <w:tcPr>
            <w:tcW w:w="1080" w:type="dxa"/>
            <w:tcBorders>
              <w:top w:val="nil"/>
              <w:left w:val="nil"/>
              <w:bottom w:val="single" w:sz="8" w:space="0" w:color="auto"/>
              <w:right w:val="nil"/>
            </w:tcBorders>
            <w:shd w:val="clear" w:color="auto" w:fill="auto"/>
            <w:noWrap/>
            <w:vAlign w:val="center"/>
            <w:hideMark/>
          </w:tcPr>
          <w:p w14:paraId="134E8CF2" w14:textId="33CC0EE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0,848</w:t>
            </w:r>
          </w:p>
        </w:tc>
        <w:tc>
          <w:tcPr>
            <w:tcW w:w="1080" w:type="dxa"/>
            <w:tcBorders>
              <w:top w:val="nil"/>
              <w:left w:val="nil"/>
              <w:bottom w:val="single" w:sz="8" w:space="0" w:color="auto"/>
              <w:right w:val="nil"/>
            </w:tcBorders>
            <w:shd w:val="clear" w:color="auto" w:fill="auto"/>
            <w:noWrap/>
            <w:vAlign w:val="center"/>
            <w:hideMark/>
          </w:tcPr>
          <w:p w14:paraId="4781ECB7" w14:textId="6E751CE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0,966</w:t>
            </w:r>
          </w:p>
        </w:tc>
        <w:tc>
          <w:tcPr>
            <w:tcW w:w="1080" w:type="dxa"/>
            <w:tcBorders>
              <w:top w:val="nil"/>
              <w:left w:val="nil"/>
              <w:bottom w:val="single" w:sz="8" w:space="0" w:color="auto"/>
              <w:right w:val="nil"/>
            </w:tcBorders>
            <w:shd w:val="clear" w:color="auto" w:fill="auto"/>
            <w:noWrap/>
            <w:vAlign w:val="center"/>
            <w:hideMark/>
          </w:tcPr>
          <w:p w14:paraId="5E63094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270B3814" w14:textId="77777777" w:rsidTr="00E077F3">
        <w:trPr>
          <w:trHeight w:val="284"/>
        </w:trPr>
        <w:tc>
          <w:tcPr>
            <w:tcW w:w="2720" w:type="dxa"/>
            <w:tcBorders>
              <w:top w:val="nil"/>
              <w:left w:val="nil"/>
              <w:bottom w:val="double" w:sz="6" w:space="0" w:color="auto"/>
              <w:right w:val="nil"/>
            </w:tcBorders>
            <w:shd w:val="clear" w:color="auto" w:fill="auto"/>
            <w:noWrap/>
            <w:vAlign w:val="center"/>
            <w:hideMark/>
          </w:tcPr>
          <w:p w14:paraId="6F0A611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Vyškov</w:t>
            </w:r>
          </w:p>
        </w:tc>
        <w:tc>
          <w:tcPr>
            <w:tcW w:w="1080" w:type="dxa"/>
            <w:tcBorders>
              <w:top w:val="nil"/>
              <w:left w:val="nil"/>
              <w:bottom w:val="double" w:sz="6" w:space="0" w:color="auto"/>
              <w:right w:val="nil"/>
            </w:tcBorders>
            <w:shd w:val="clear" w:color="auto" w:fill="auto"/>
            <w:noWrap/>
            <w:vAlign w:val="center"/>
            <w:hideMark/>
          </w:tcPr>
          <w:p w14:paraId="7C3B7A0E" w14:textId="20ADA99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0,782</w:t>
            </w:r>
          </w:p>
        </w:tc>
        <w:tc>
          <w:tcPr>
            <w:tcW w:w="1080" w:type="dxa"/>
            <w:tcBorders>
              <w:top w:val="nil"/>
              <w:left w:val="nil"/>
              <w:bottom w:val="double" w:sz="6" w:space="0" w:color="auto"/>
              <w:right w:val="nil"/>
            </w:tcBorders>
            <w:shd w:val="clear" w:color="auto" w:fill="auto"/>
            <w:noWrap/>
            <w:vAlign w:val="center"/>
            <w:hideMark/>
          </w:tcPr>
          <w:p w14:paraId="10C66F0A" w14:textId="542C691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0,802</w:t>
            </w:r>
          </w:p>
        </w:tc>
        <w:tc>
          <w:tcPr>
            <w:tcW w:w="1080" w:type="dxa"/>
            <w:tcBorders>
              <w:top w:val="nil"/>
              <w:left w:val="nil"/>
              <w:bottom w:val="double" w:sz="6" w:space="0" w:color="auto"/>
              <w:right w:val="nil"/>
            </w:tcBorders>
            <w:shd w:val="clear" w:color="auto" w:fill="auto"/>
            <w:noWrap/>
            <w:vAlign w:val="center"/>
            <w:hideMark/>
          </w:tcPr>
          <w:p w14:paraId="279E812A" w14:textId="483D917F"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0,975</w:t>
            </w:r>
          </w:p>
        </w:tc>
        <w:tc>
          <w:tcPr>
            <w:tcW w:w="1080" w:type="dxa"/>
            <w:tcBorders>
              <w:top w:val="nil"/>
              <w:left w:val="nil"/>
              <w:bottom w:val="double" w:sz="6" w:space="0" w:color="auto"/>
              <w:right w:val="nil"/>
            </w:tcBorders>
            <w:shd w:val="clear" w:color="auto" w:fill="auto"/>
            <w:noWrap/>
            <w:vAlign w:val="center"/>
            <w:hideMark/>
          </w:tcPr>
          <w:p w14:paraId="06CDFA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IRS</w:t>
            </w:r>
          </w:p>
        </w:tc>
      </w:tr>
      <w:tr w:rsidR="008430BD" w:rsidRPr="001C3EC8" w14:paraId="47403778" w14:textId="77777777" w:rsidTr="00E077F3">
        <w:trPr>
          <w:trHeight w:val="284"/>
        </w:trPr>
        <w:tc>
          <w:tcPr>
            <w:tcW w:w="2720" w:type="dxa"/>
            <w:tcBorders>
              <w:top w:val="nil"/>
              <w:left w:val="nil"/>
              <w:bottom w:val="double" w:sz="6" w:space="0" w:color="auto"/>
              <w:right w:val="nil"/>
            </w:tcBorders>
            <w:shd w:val="clear" w:color="auto" w:fill="auto"/>
            <w:noWrap/>
            <w:vAlign w:val="center"/>
            <w:hideMark/>
          </w:tcPr>
          <w:p w14:paraId="74730CC3"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80" w:type="dxa"/>
            <w:tcBorders>
              <w:top w:val="nil"/>
              <w:left w:val="nil"/>
              <w:bottom w:val="double" w:sz="6" w:space="0" w:color="auto"/>
              <w:right w:val="nil"/>
            </w:tcBorders>
            <w:shd w:val="clear" w:color="auto" w:fill="auto"/>
            <w:noWrap/>
            <w:vAlign w:val="center"/>
            <w:hideMark/>
          </w:tcPr>
          <w:p w14:paraId="7CBD8933" w14:textId="20948430"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0,929</w:t>
            </w:r>
          </w:p>
        </w:tc>
        <w:tc>
          <w:tcPr>
            <w:tcW w:w="1080" w:type="dxa"/>
            <w:tcBorders>
              <w:top w:val="nil"/>
              <w:left w:val="nil"/>
              <w:bottom w:val="double" w:sz="6" w:space="0" w:color="auto"/>
              <w:right w:val="nil"/>
            </w:tcBorders>
            <w:shd w:val="clear" w:color="auto" w:fill="auto"/>
            <w:noWrap/>
            <w:vAlign w:val="center"/>
            <w:hideMark/>
          </w:tcPr>
          <w:p w14:paraId="0E456D2E" w14:textId="0410A07F"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0,942</w:t>
            </w:r>
          </w:p>
        </w:tc>
        <w:tc>
          <w:tcPr>
            <w:tcW w:w="1080" w:type="dxa"/>
            <w:tcBorders>
              <w:top w:val="nil"/>
              <w:left w:val="nil"/>
              <w:bottom w:val="double" w:sz="6" w:space="0" w:color="auto"/>
              <w:right w:val="nil"/>
            </w:tcBorders>
            <w:shd w:val="clear" w:color="auto" w:fill="auto"/>
            <w:noWrap/>
            <w:vAlign w:val="center"/>
            <w:hideMark/>
          </w:tcPr>
          <w:p w14:paraId="187A36BC" w14:textId="02FAF380"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0,986</w:t>
            </w:r>
          </w:p>
        </w:tc>
        <w:tc>
          <w:tcPr>
            <w:tcW w:w="1080" w:type="dxa"/>
            <w:tcBorders>
              <w:top w:val="nil"/>
              <w:left w:val="nil"/>
              <w:bottom w:val="double" w:sz="6" w:space="0" w:color="auto"/>
              <w:right w:val="nil"/>
            </w:tcBorders>
            <w:shd w:val="clear" w:color="auto" w:fill="auto"/>
            <w:noWrap/>
            <w:vAlign w:val="center"/>
            <w:hideMark/>
          </w:tcPr>
          <w:p w14:paraId="239286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 </w:t>
            </w:r>
          </w:p>
        </w:tc>
      </w:tr>
    </w:tbl>
    <w:p w14:paraId="059CE08C" w14:textId="77777777" w:rsidR="008430BD" w:rsidRPr="001C3EC8" w:rsidRDefault="008430BD" w:rsidP="008430BD">
      <w:pPr>
        <w:pStyle w:val="OdstavecASR"/>
        <w:rPr>
          <w:color w:val="000000" w:themeColor="text1"/>
        </w:rPr>
      </w:pPr>
    </w:p>
    <w:p w14:paraId="6E5F0830" w14:textId="77777777" w:rsidR="008430BD" w:rsidRPr="001C3EC8" w:rsidRDefault="008430BD" w:rsidP="008430BD">
      <w:pPr>
        <w:pStyle w:val="Nadpis1"/>
        <w:pageBreakBefore/>
        <w:numPr>
          <w:ilvl w:val="0"/>
          <w:numId w:val="1"/>
        </w:numPr>
        <w:spacing w:after="120"/>
        <w:rPr>
          <w:color w:val="000000" w:themeColor="text1"/>
        </w:rPr>
      </w:pPr>
      <w:bookmarkStart w:id="359" w:name="_Toc515871244"/>
      <w:bookmarkStart w:id="360" w:name="_Toc75952081"/>
      <w:r w:rsidRPr="001C3EC8">
        <w:rPr>
          <w:color w:val="000000" w:themeColor="text1"/>
        </w:rPr>
        <w:lastRenderedPageBreak/>
        <w:t>Krajské soudy</w:t>
      </w:r>
      <w:bookmarkEnd w:id="359"/>
      <w:bookmarkEnd w:id="360"/>
    </w:p>
    <w:p w14:paraId="4ECA1585" w14:textId="77777777" w:rsidR="008430BD" w:rsidRPr="001C3EC8" w:rsidRDefault="008430BD" w:rsidP="008430BD">
      <w:pPr>
        <w:pStyle w:val="OdstavecASR"/>
        <w:rPr>
          <w:color w:val="000000" w:themeColor="text1"/>
        </w:rPr>
      </w:pPr>
      <w:r w:rsidRPr="001C3EC8">
        <w:rPr>
          <w:color w:val="000000" w:themeColor="text1"/>
        </w:rPr>
        <w:t>Tato část výroční zprávy obsahuje data, která se týkají všech krajských soudů (KS) v ČR, tedy sedmi krajských soudů a Městského soudu v Praze.</w:t>
      </w:r>
    </w:p>
    <w:p w14:paraId="39A8615D" w14:textId="5EB07C50" w:rsidR="008430BD" w:rsidRPr="001C3EC8" w:rsidRDefault="008430BD" w:rsidP="008430BD">
      <w:pPr>
        <w:pStyle w:val="OdstavecASR"/>
        <w:rPr>
          <w:color w:val="000000" w:themeColor="text1"/>
        </w:rPr>
      </w:pPr>
      <w:r w:rsidRPr="001C3EC8">
        <w:rPr>
          <w:color w:val="000000" w:themeColor="text1"/>
        </w:rPr>
        <w:t xml:space="preserve">Struktura je velmi podobná struktuře části 2. V první podkapitole jsou uvedeny statistiky, které se týkají počtu soudců </w:t>
      </w:r>
      <w:r w:rsidR="00CD2266" w:rsidRPr="001C3EC8">
        <w:rPr>
          <w:color w:val="000000" w:themeColor="text1"/>
        </w:rPr>
        <w:t>a</w:t>
      </w:r>
      <w:r w:rsidR="00CD2266">
        <w:rPr>
          <w:color w:val="000000" w:themeColor="text1"/>
        </w:rPr>
        <w:t> </w:t>
      </w:r>
      <w:r w:rsidRPr="001C3EC8">
        <w:rPr>
          <w:color w:val="000000" w:themeColor="text1"/>
        </w:rPr>
        <w:t xml:space="preserve">počtu zaměstnanců ve výkonu. Další kapitoly se věnují jednotlivým soudním agendám. Krajské soudy jsou soudy prvoinstančními a odvolacími. Vyřizují tři hlavní typy agend – civilní včetně obchodní, trestní a správní. V této zprávě jsou civilní (občanskoprávní) a obchodní agenda vykázány dohromady, z obchodní agendy jsou ale zvlášť vykázány insolvence </w:t>
      </w:r>
      <w:r w:rsidR="00CD2266" w:rsidRPr="001C3EC8">
        <w:rPr>
          <w:color w:val="000000" w:themeColor="text1"/>
        </w:rPr>
        <w:t>a</w:t>
      </w:r>
      <w:r w:rsidR="00CD2266">
        <w:rPr>
          <w:color w:val="000000" w:themeColor="text1"/>
        </w:rPr>
        <w:t> </w:t>
      </w:r>
      <w:r w:rsidRPr="001C3EC8">
        <w:rPr>
          <w:color w:val="000000" w:themeColor="text1"/>
        </w:rPr>
        <w:t>dále incidenční spory. Civilní a trestní agendy se dále dělí na prvostupňové a odvolací. Tato část má tedy celkem osm částí věnovaných personálu, civilní a obchodní prvostupňové agendě, civilní odvolací agendě, trestní prvostupňové agendě, trestní odvolací agendě, správní agendě, insolvencím a incidenčním sporům.</w:t>
      </w:r>
    </w:p>
    <w:p w14:paraId="0BAC02A8" w14:textId="77777777" w:rsidR="008430BD" w:rsidRPr="001C3EC8" w:rsidRDefault="008430BD" w:rsidP="008430BD">
      <w:pPr>
        <w:pStyle w:val="OdstavecASR"/>
        <w:rPr>
          <w:color w:val="000000" w:themeColor="text1"/>
        </w:rPr>
      </w:pPr>
      <w:r w:rsidRPr="001C3EC8">
        <w:rPr>
          <w:color w:val="000000" w:themeColor="text1"/>
        </w:rPr>
        <w:t>Ve struktuře agendy krajských soudů proběhly v nedávné době výrazné změny. Na jednu stranu došlo od roku 2014 k přesunu většiny prvostupňových obchodněprávních sporů na okresní soudy, na druhou stranu od roku 2008 postupně narůstala agenda insolvencí fyzických osob – nepodnikatelů (tzv. spotřebitelské insolvence), která do té doby prakticky neexistovala.</w:t>
      </w:r>
    </w:p>
    <w:p w14:paraId="60EEA0A6" w14:textId="1E8DA7FD" w:rsidR="008430BD" w:rsidRPr="001C3EC8" w:rsidRDefault="008430BD" w:rsidP="008430BD">
      <w:pPr>
        <w:pStyle w:val="OdstavecASR"/>
        <w:rPr>
          <w:color w:val="000000" w:themeColor="text1"/>
        </w:rPr>
      </w:pPr>
      <w:r w:rsidRPr="001C3EC8">
        <w:rPr>
          <w:color w:val="000000" w:themeColor="text1"/>
        </w:rPr>
        <w:t xml:space="preserve">Pro většinu agend (tedy ve většině podkapitol) uvádíme délky řízení v kalendářních dnech (průměr, medián a percentil 90). Dále pak prezentujeme data týkající se vyřizování věci – nápad + obživlé věci, vyřízené věci a nevyřízené věci. Nakonec uvádíme další zajímavé statistiky, jako je např. míra odvolání. Údaje jsou většinou graficky zobrazeny v časových řadách pro celou ČR a dále pak v tabulkách pro jednotlivé soudy v roce 2020. Pro krajské soudy je nově častěji využíván přepočet na soudce, neboť stejně jako </w:t>
      </w:r>
      <w:r w:rsidR="00CD2266" w:rsidRPr="001C3EC8">
        <w:rPr>
          <w:color w:val="000000" w:themeColor="text1"/>
        </w:rPr>
        <w:t>u</w:t>
      </w:r>
      <w:r w:rsidR="00CD2266">
        <w:rPr>
          <w:color w:val="000000" w:themeColor="text1"/>
        </w:rPr>
        <w:t> </w:t>
      </w:r>
      <w:r w:rsidRPr="001C3EC8">
        <w:rPr>
          <w:color w:val="000000" w:themeColor="text1"/>
        </w:rPr>
        <w:t xml:space="preserve">soudů okresních jsou k dispozici nová </w:t>
      </w:r>
      <w:r w:rsidR="00CD2266" w:rsidRPr="001C3EC8">
        <w:rPr>
          <w:color w:val="000000" w:themeColor="text1"/>
        </w:rPr>
        <w:t>a</w:t>
      </w:r>
      <w:r w:rsidR="00CD2266">
        <w:rPr>
          <w:color w:val="000000" w:themeColor="text1"/>
        </w:rPr>
        <w:t> </w:t>
      </w:r>
      <w:r w:rsidRPr="001C3EC8">
        <w:rPr>
          <w:color w:val="000000" w:themeColor="text1"/>
        </w:rPr>
        <w:t>podrobnější data.</w:t>
      </w:r>
    </w:p>
    <w:p w14:paraId="3D95F44B" w14:textId="77777777" w:rsidR="008430BD" w:rsidRPr="001C3EC8" w:rsidRDefault="008430BD" w:rsidP="008430BD">
      <w:pPr>
        <w:rPr>
          <w:color w:val="000000" w:themeColor="text1"/>
        </w:rPr>
      </w:pPr>
    </w:p>
    <w:p w14:paraId="3CC9C1FB" w14:textId="77777777" w:rsidR="008430BD" w:rsidRPr="001C3EC8" w:rsidRDefault="008430BD" w:rsidP="008430BD">
      <w:pPr>
        <w:pStyle w:val="Nadpis2"/>
        <w:keepNext w:val="0"/>
        <w:numPr>
          <w:ilvl w:val="1"/>
          <w:numId w:val="1"/>
        </w:numPr>
        <w:spacing w:before="120"/>
      </w:pPr>
      <w:bookmarkStart w:id="361" w:name="_Toc515871245"/>
      <w:bookmarkStart w:id="362" w:name="_Toc75952082"/>
      <w:r w:rsidRPr="001C3EC8">
        <w:t>Personál</w:t>
      </w:r>
      <w:bookmarkEnd w:id="361"/>
      <w:bookmarkEnd w:id="362"/>
    </w:p>
    <w:p w14:paraId="232380C5" w14:textId="2EC6D053" w:rsidR="008430BD" w:rsidRPr="001C3EC8" w:rsidRDefault="008430BD" w:rsidP="008430BD">
      <w:pPr>
        <w:pStyle w:val="OdstavecASR"/>
        <w:rPr>
          <w:color w:val="000000" w:themeColor="text1"/>
        </w:rPr>
      </w:pPr>
      <w:r w:rsidRPr="001C3EC8">
        <w:rPr>
          <w:color w:val="000000" w:themeColor="text1"/>
        </w:rPr>
        <w:t xml:space="preserve">Struktura kapitoly je stejná jako u okresních soudů – jedna část se věnuje soudcům, druhá se zaměřuje na ostatní personál ve výkonu </w:t>
      </w:r>
      <w:r w:rsidR="00CD2266" w:rsidRPr="001C3EC8">
        <w:rPr>
          <w:color w:val="000000" w:themeColor="text1"/>
        </w:rPr>
        <w:t>a</w:t>
      </w:r>
      <w:r w:rsidR="00CD2266">
        <w:rPr>
          <w:color w:val="000000" w:themeColor="text1"/>
        </w:rPr>
        <w:t> </w:t>
      </w:r>
      <w:r w:rsidRPr="001C3EC8">
        <w:rPr>
          <w:color w:val="000000" w:themeColor="text1"/>
        </w:rPr>
        <w:t>třetí se věnuje přísedícím.</w:t>
      </w:r>
    </w:p>
    <w:p w14:paraId="240FBD17" w14:textId="77777777" w:rsidR="008430BD" w:rsidRPr="001C3EC8" w:rsidRDefault="008430BD" w:rsidP="008430BD">
      <w:pPr>
        <w:pStyle w:val="Nadpis3"/>
        <w:keepNext w:val="0"/>
        <w:numPr>
          <w:ilvl w:val="2"/>
          <w:numId w:val="1"/>
        </w:numPr>
        <w:rPr>
          <w:color w:val="000000" w:themeColor="text1"/>
        </w:rPr>
      </w:pPr>
      <w:bookmarkStart w:id="363" w:name="_Toc515871246"/>
      <w:bookmarkStart w:id="364" w:name="_Toc75952083"/>
      <w:r w:rsidRPr="001C3EC8">
        <w:rPr>
          <w:color w:val="000000" w:themeColor="text1"/>
        </w:rPr>
        <w:t>Soudci</w:t>
      </w:r>
      <w:bookmarkEnd w:id="363"/>
      <w:bookmarkEnd w:id="364"/>
    </w:p>
    <w:p w14:paraId="0AD5E5B0" w14:textId="3146AE11" w:rsidR="008430BD" w:rsidRPr="001C3EC8" w:rsidRDefault="008430BD" w:rsidP="008430BD">
      <w:pPr>
        <w:pStyle w:val="OdstavecASR"/>
        <w:rPr>
          <w:color w:val="000000" w:themeColor="text1"/>
        </w:rPr>
      </w:pPr>
      <w:r w:rsidRPr="001C3EC8">
        <w:rPr>
          <w:color w:val="000000" w:themeColor="text1"/>
        </w:rPr>
        <w:t xml:space="preserve">Z grafu je patrný vývoj v evidenčním a plánovaném počtu soudců. Jak jsme uvedli již v podkapitole 2.1.1, </w:t>
      </w:r>
      <w:r w:rsidR="000B22E1" w:rsidRPr="001C3EC8">
        <w:rPr>
          <w:color w:val="000000" w:themeColor="text1"/>
        </w:rPr>
        <w:t xml:space="preserve">byl </w:t>
      </w:r>
      <w:r w:rsidR="00CD2266" w:rsidRPr="001C3EC8">
        <w:rPr>
          <w:color w:val="000000" w:themeColor="text1"/>
        </w:rPr>
        <w:t>v</w:t>
      </w:r>
      <w:r w:rsidR="00CD2266">
        <w:rPr>
          <w:color w:val="000000" w:themeColor="text1"/>
        </w:rPr>
        <w:t> </w:t>
      </w:r>
      <w:r w:rsidR="000B22E1" w:rsidRPr="001C3EC8">
        <w:rPr>
          <w:color w:val="000000" w:themeColor="text1"/>
        </w:rPr>
        <w:t xml:space="preserve">minulosti </w:t>
      </w:r>
      <w:r w:rsidRPr="001C3EC8">
        <w:rPr>
          <w:color w:val="000000" w:themeColor="text1"/>
        </w:rPr>
        <w:t xml:space="preserve">celkový plánovaný počet soudců v ČR prakticky neměnný (3 062 nebo 3 063) </w:t>
      </w:r>
      <w:r w:rsidR="00CD2266" w:rsidRPr="001C3EC8">
        <w:rPr>
          <w:color w:val="000000" w:themeColor="text1"/>
        </w:rPr>
        <w:t>a</w:t>
      </w:r>
      <w:r w:rsidR="00CD2266">
        <w:rPr>
          <w:color w:val="000000" w:themeColor="text1"/>
        </w:rPr>
        <w:t> </w:t>
      </w:r>
      <w:r w:rsidRPr="001C3EC8">
        <w:rPr>
          <w:color w:val="000000" w:themeColor="text1"/>
        </w:rPr>
        <w:t xml:space="preserve">soudci jsou „pouze“ přerozdělováni mezi jednotlivé články soudní soustavy. V tomto přerozdělení si můžeme v delší časové řadě povšimnout stabilního trendu od roku 2013. </w:t>
      </w:r>
      <w:r w:rsidR="00CD2266" w:rsidRPr="001C3EC8">
        <w:rPr>
          <w:color w:val="000000" w:themeColor="text1"/>
        </w:rPr>
        <w:t>U</w:t>
      </w:r>
      <w:r w:rsidR="00CD2266">
        <w:rPr>
          <w:color w:val="000000" w:themeColor="text1"/>
        </w:rPr>
        <w:t> </w:t>
      </w:r>
      <w:r w:rsidRPr="001C3EC8">
        <w:rPr>
          <w:color w:val="000000" w:themeColor="text1"/>
        </w:rPr>
        <w:t>OS docházelo k mírnému postupnému snižování počtu plánovaných soudců (</w:t>
      </w:r>
      <w:r w:rsidR="00CD2266" w:rsidRPr="001C3EC8">
        <w:rPr>
          <w:color w:val="000000" w:themeColor="text1"/>
        </w:rPr>
        <w:t>1</w:t>
      </w:r>
      <w:r w:rsidR="00CD2266">
        <w:rPr>
          <w:color w:val="000000" w:themeColor="text1"/>
        </w:rPr>
        <w:t> </w:t>
      </w:r>
      <w:r w:rsidRPr="001C3EC8">
        <w:rPr>
          <w:color w:val="000000" w:themeColor="text1"/>
        </w:rPr>
        <w:t xml:space="preserve">817 </w:t>
      </w:r>
      <w:r w:rsidR="007C4537" w:rsidRPr="001C3EC8">
        <w:rPr>
          <w:color w:val="000000" w:themeColor="text1"/>
        </w:rPr>
        <w:t xml:space="preserve">v roce 2013 </w:t>
      </w:r>
      <w:r w:rsidRPr="001C3EC8">
        <w:rPr>
          <w:color w:val="000000" w:themeColor="text1"/>
        </w:rPr>
        <w:t>vs. 1</w:t>
      </w:r>
      <w:r w:rsidR="007C4537" w:rsidRPr="001C3EC8">
        <w:rPr>
          <w:color w:val="000000" w:themeColor="text1"/>
        </w:rPr>
        <w:t> </w:t>
      </w:r>
      <w:r w:rsidRPr="001C3EC8">
        <w:rPr>
          <w:color w:val="000000" w:themeColor="text1"/>
        </w:rPr>
        <w:t>761</w:t>
      </w:r>
      <w:r w:rsidR="007C4537" w:rsidRPr="001C3EC8">
        <w:rPr>
          <w:color w:val="000000" w:themeColor="text1"/>
        </w:rPr>
        <w:t xml:space="preserve"> v roce 2018</w:t>
      </w:r>
      <w:r w:rsidRPr="001C3EC8">
        <w:rPr>
          <w:color w:val="000000" w:themeColor="text1"/>
        </w:rPr>
        <w:t xml:space="preserve">), </w:t>
      </w:r>
      <w:r w:rsidR="00CD2266" w:rsidRPr="001C3EC8">
        <w:rPr>
          <w:color w:val="000000" w:themeColor="text1"/>
        </w:rPr>
        <w:t>u</w:t>
      </w:r>
      <w:r w:rsidR="00CD2266">
        <w:rPr>
          <w:color w:val="000000" w:themeColor="text1"/>
        </w:rPr>
        <w:t> </w:t>
      </w:r>
      <w:r w:rsidRPr="001C3EC8">
        <w:rPr>
          <w:color w:val="000000" w:themeColor="text1"/>
        </w:rPr>
        <w:t>KS naopak k postupnému zvyšování plánovaného počtu soudců (</w:t>
      </w:r>
      <w:r w:rsidR="00CD2266" w:rsidRPr="001C3EC8">
        <w:rPr>
          <w:color w:val="000000" w:themeColor="text1"/>
        </w:rPr>
        <w:t>1</w:t>
      </w:r>
      <w:r w:rsidR="00CD2266">
        <w:rPr>
          <w:color w:val="000000" w:themeColor="text1"/>
        </w:rPr>
        <w:t> </w:t>
      </w:r>
      <w:r w:rsidRPr="001C3EC8">
        <w:rPr>
          <w:color w:val="000000" w:themeColor="text1"/>
        </w:rPr>
        <w:t xml:space="preserve">001 </w:t>
      </w:r>
      <w:r w:rsidR="007C4537" w:rsidRPr="001C3EC8">
        <w:rPr>
          <w:color w:val="000000" w:themeColor="text1"/>
        </w:rPr>
        <w:t xml:space="preserve">v roce 2013 </w:t>
      </w:r>
      <w:r w:rsidRPr="001C3EC8">
        <w:rPr>
          <w:color w:val="000000" w:themeColor="text1"/>
        </w:rPr>
        <w:t>vs. 1</w:t>
      </w:r>
      <w:r w:rsidR="007C4537" w:rsidRPr="001C3EC8">
        <w:rPr>
          <w:color w:val="000000" w:themeColor="text1"/>
        </w:rPr>
        <w:t> </w:t>
      </w:r>
      <w:r w:rsidRPr="001C3EC8">
        <w:rPr>
          <w:color w:val="000000" w:themeColor="text1"/>
        </w:rPr>
        <w:t>057</w:t>
      </w:r>
      <w:r w:rsidR="007C4537" w:rsidRPr="001C3EC8">
        <w:rPr>
          <w:color w:val="000000" w:themeColor="text1"/>
        </w:rPr>
        <w:t xml:space="preserve"> v roce 2018</w:t>
      </w:r>
      <w:r w:rsidRPr="001C3EC8">
        <w:rPr>
          <w:color w:val="000000" w:themeColor="text1"/>
        </w:rPr>
        <w:t xml:space="preserve">). V roce 2019 se trend </w:t>
      </w:r>
      <w:r w:rsidR="00CD2266" w:rsidRPr="001C3EC8">
        <w:rPr>
          <w:color w:val="000000" w:themeColor="text1"/>
        </w:rPr>
        <w:t>u</w:t>
      </w:r>
      <w:r w:rsidR="00CD2266">
        <w:rPr>
          <w:color w:val="000000" w:themeColor="text1"/>
        </w:rPr>
        <w:t> </w:t>
      </w:r>
      <w:r w:rsidR="007C4537" w:rsidRPr="001C3EC8">
        <w:rPr>
          <w:color w:val="000000" w:themeColor="text1"/>
        </w:rPr>
        <w:t xml:space="preserve">KS </w:t>
      </w:r>
      <w:r w:rsidRPr="001C3EC8">
        <w:rPr>
          <w:color w:val="000000" w:themeColor="text1"/>
        </w:rPr>
        <w:t xml:space="preserve">zastavil </w:t>
      </w:r>
      <w:r w:rsidR="00CD2266" w:rsidRPr="001C3EC8">
        <w:rPr>
          <w:color w:val="000000" w:themeColor="text1"/>
        </w:rPr>
        <w:t>a</w:t>
      </w:r>
      <w:r w:rsidR="00CD2266">
        <w:rPr>
          <w:color w:val="000000" w:themeColor="text1"/>
        </w:rPr>
        <w:t> </w:t>
      </w:r>
      <w:r w:rsidRPr="001C3EC8">
        <w:rPr>
          <w:color w:val="000000" w:themeColor="text1"/>
        </w:rPr>
        <w:t>došlo k poklesu. V roce 2020 pokračoval trend nastavený v roce 2019. Všechny výše diskutované změny jsou ale marginální.</w:t>
      </w:r>
    </w:p>
    <w:p w14:paraId="4AD94B9B" w14:textId="1E8CFF34" w:rsidR="008430BD" w:rsidRPr="001C3EC8" w:rsidRDefault="008430BD" w:rsidP="008430BD">
      <w:pPr>
        <w:pStyle w:val="OdstavecASR"/>
        <w:rPr>
          <w:color w:val="000000" w:themeColor="text1"/>
        </w:rPr>
      </w:pPr>
      <w:r w:rsidRPr="001C3EC8">
        <w:rPr>
          <w:color w:val="000000" w:themeColor="text1"/>
        </w:rPr>
        <w:t xml:space="preserve">Evidenční počet soudců KS zůstává stabilní. Především je ale dlouhodobě nižší než plánovaný počet soudců (-7 % v roce 2020). U OS je evidenční počet soudců oproti plánovanému v roce 2020 vyšší </w:t>
      </w:r>
      <w:r w:rsidR="00CD2266" w:rsidRPr="001C3EC8">
        <w:rPr>
          <w:color w:val="000000" w:themeColor="text1"/>
        </w:rPr>
        <w:t>a</w:t>
      </w:r>
      <w:r w:rsidR="00CD2266">
        <w:rPr>
          <w:color w:val="000000" w:themeColor="text1"/>
        </w:rPr>
        <w:t> </w:t>
      </w:r>
      <w:r w:rsidRPr="001C3EC8">
        <w:rPr>
          <w:color w:val="000000" w:themeColor="text1"/>
        </w:rPr>
        <w:t xml:space="preserve">zdá se tedy, že předsedové krajských soudů dlouhodobě „dotují“ okresní soudy na úkor svých soudů. Počet soudkyň a soudců na MD/RD zde neuvádíme. U KS obvykle působí starší </w:t>
      </w:r>
      <w:r w:rsidRPr="001C3EC8">
        <w:rPr>
          <w:color w:val="000000" w:themeColor="text1"/>
        </w:rPr>
        <w:lastRenderedPageBreak/>
        <w:t>soudkyně a soudci než u soudů okresních a počet soudkyň a soudců na MD/RD je tedy velmi nízký.</w:t>
      </w:r>
    </w:p>
    <w:p w14:paraId="0D365BC5" w14:textId="415D3391" w:rsidR="008430BD" w:rsidRPr="001C3EC8" w:rsidRDefault="008430BD" w:rsidP="008430BD">
      <w:pPr>
        <w:pStyle w:val="Podnadpis"/>
        <w:rPr>
          <w:color w:val="000000" w:themeColor="text1"/>
        </w:rPr>
      </w:pPr>
      <w:bookmarkStart w:id="365" w:name="_Ref512499826"/>
      <w:bookmarkStart w:id="366" w:name="_Toc515871376"/>
      <w:bookmarkStart w:id="367" w:name="_Toc11135107"/>
      <w:bookmarkStart w:id="368" w:name="_Toc43841426"/>
      <w:bookmarkStart w:id="369" w:name="_Toc75952230"/>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50</w:t>
      </w:r>
      <w:r w:rsidRPr="001C3EC8">
        <w:rPr>
          <w:noProof/>
          <w:color w:val="000000" w:themeColor="text1"/>
        </w:rPr>
        <w:fldChar w:fldCharType="end"/>
      </w:r>
      <w:bookmarkEnd w:id="365"/>
      <w:r w:rsidRPr="001C3EC8">
        <w:rPr>
          <w:color w:val="000000" w:themeColor="text1"/>
        </w:rPr>
        <w:t>: KS – počet soudců v letech 2008–20</w:t>
      </w:r>
      <w:bookmarkEnd w:id="366"/>
      <w:bookmarkEnd w:id="367"/>
      <w:bookmarkEnd w:id="368"/>
      <w:r w:rsidRPr="001C3EC8">
        <w:rPr>
          <w:color w:val="000000" w:themeColor="text1"/>
        </w:rPr>
        <w:t>20</w:t>
      </w:r>
      <w:bookmarkEnd w:id="369"/>
    </w:p>
    <w:p w14:paraId="796B3B9A"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571F71F7" wp14:editId="6C640744">
            <wp:extent cx="5114925" cy="3743325"/>
            <wp:effectExtent l="0" t="0" r="0" b="9525"/>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1DA7523" w14:textId="05AC6AA9" w:rsidR="008430BD" w:rsidRPr="001C3EC8" w:rsidRDefault="008430BD" w:rsidP="008430BD">
      <w:pPr>
        <w:pStyle w:val="OdstavecASR"/>
        <w:rPr>
          <w:color w:val="000000" w:themeColor="text1"/>
        </w:rPr>
      </w:pPr>
      <w:r w:rsidRPr="001C3EC8">
        <w:rPr>
          <w:color w:val="000000" w:themeColor="text1"/>
        </w:rPr>
        <w:t xml:space="preserve">Další graf zachycuje evidenční počet soudců KS dle jednotlivých úseků. Podobně jako u okresních soudů je v roce 2020 civilní a obchodní úsek asi třikrát větší než trestní úsek. Správní úsek je navíc téměř dvaapůlkrát menší než úsek trestní. Poměr velikostí úseků je také velmi stabilní. Nicméně v posledních dvou letech vidíme </w:t>
      </w:r>
      <w:r w:rsidR="0063449F" w:rsidRPr="001C3EC8">
        <w:rPr>
          <w:color w:val="000000" w:themeColor="text1"/>
        </w:rPr>
        <w:t xml:space="preserve">citelný </w:t>
      </w:r>
      <w:r w:rsidRPr="001C3EC8">
        <w:rPr>
          <w:color w:val="000000" w:themeColor="text1"/>
        </w:rPr>
        <w:t xml:space="preserve">nárůst v počtu soudců </w:t>
      </w:r>
      <w:r w:rsidR="0063449F" w:rsidRPr="001C3EC8">
        <w:rPr>
          <w:color w:val="000000" w:themeColor="text1"/>
        </w:rPr>
        <w:t>správního úseku</w:t>
      </w:r>
      <w:r w:rsidRPr="001C3EC8">
        <w:rPr>
          <w:color w:val="000000" w:themeColor="text1"/>
        </w:rPr>
        <w:t xml:space="preserve"> z 88 v roce 2018 na 100 v roce 2020. Jde </w:t>
      </w:r>
      <w:r w:rsidR="00CD2266" w:rsidRPr="001C3EC8">
        <w:rPr>
          <w:color w:val="000000" w:themeColor="text1"/>
        </w:rPr>
        <w:t>o</w:t>
      </w:r>
      <w:r w:rsidR="00CD2266">
        <w:rPr>
          <w:color w:val="000000" w:themeColor="text1"/>
        </w:rPr>
        <w:t> </w:t>
      </w:r>
      <w:r w:rsidRPr="001C3EC8">
        <w:rPr>
          <w:color w:val="000000" w:themeColor="text1"/>
        </w:rPr>
        <w:t xml:space="preserve">reakci na problematickou situaci na správním úseku (viz kapitola </w:t>
      </w:r>
      <w:r w:rsidR="007C4537" w:rsidRPr="001C3EC8">
        <w:rPr>
          <w:color w:val="000000" w:themeColor="text1"/>
        </w:rPr>
        <w:t xml:space="preserve">3.6 </w:t>
      </w:r>
      <w:r w:rsidRPr="001C3EC8">
        <w:rPr>
          <w:color w:val="000000" w:themeColor="text1"/>
        </w:rPr>
        <w:t>o</w:t>
      </w:r>
      <w:r w:rsidR="00CD2266">
        <w:rPr>
          <w:color w:val="000000" w:themeColor="text1"/>
        </w:rPr>
        <w:t> </w:t>
      </w:r>
      <w:r w:rsidRPr="001C3EC8">
        <w:rPr>
          <w:color w:val="000000" w:themeColor="text1"/>
        </w:rPr>
        <w:t>správním soudnictví).</w:t>
      </w:r>
    </w:p>
    <w:p w14:paraId="54CC92A9" w14:textId="7913F091" w:rsidR="008430BD" w:rsidRPr="001C3EC8" w:rsidRDefault="008430BD" w:rsidP="008430BD">
      <w:pPr>
        <w:pStyle w:val="Podnadpis"/>
        <w:rPr>
          <w:color w:val="000000" w:themeColor="text1"/>
        </w:rPr>
      </w:pPr>
      <w:bookmarkStart w:id="370" w:name="_Ref513289709"/>
      <w:bookmarkStart w:id="371" w:name="_Toc515871377"/>
      <w:bookmarkStart w:id="372" w:name="_Toc11135108"/>
      <w:bookmarkStart w:id="373" w:name="_Toc43841427"/>
      <w:bookmarkStart w:id="374" w:name="_Toc75952231"/>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51</w:t>
      </w:r>
      <w:r w:rsidRPr="001C3EC8">
        <w:rPr>
          <w:noProof/>
          <w:color w:val="000000" w:themeColor="text1"/>
        </w:rPr>
        <w:fldChar w:fldCharType="end"/>
      </w:r>
      <w:bookmarkEnd w:id="370"/>
      <w:r w:rsidRPr="001C3EC8">
        <w:rPr>
          <w:color w:val="000000" w:themeColor="text1"/>
        </w:rPr>
        <w:t>: KS – evidenční počet soudců dle soudních úseků v letech 2008–20</w:t>
      </w:r>
      <w:bookmarkEnd w:id="371"/>
      <w:bookmarkEnd w:id="372"/>
      <w:bookmarkEnd w:id="373"/>
      <w:r w:rsidRPr="001C3EC8">
        <w:rPr>
          <w:color w:val="000000" w:themeColor="text1"/>
        </w:rPr>
        <w:t>20</w:t>
      </w:r>
      <w:bookmarkEnd w:id="374"/>
    </w:p>
    <w:p w14:paraId="47233A28"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5477A32E" wp14:editId="0CBBEFB6">
            <wp:extent cx="5114925" cy="3743325"/>
            <wp:effectExtent l="0" t="0" r="0" b="9525"/>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D7AE56D" w14:textId="77777777" w:rsidR="008430BD" w:rsidRPr="001C3EC8" w:rsidRDefault="008430BD" w:rsidP="008430BD">
      <w:pPr>
        <w:pStyle w:val="Podnadpis"/>
        <w:rPr>
          <w:color w:val="000000" w:themeColor="text1"/>
        </w:rPr>
      </w:pPr>
      <w:bookmarkStart w:id="375" w:name="_Ref10547086"/>
      <w:bookmarkStart w:id="376" w:name="_Toc515871464"/>
      <w:bookmarkStart w:id="377" w:name="_Ref10547080"/>
      <w:bookmarkStart w:id="378" w:name="_Toc11133231"/>
      <w:bookmarkStart w:id="379" w:name="_Toc43931206"/>
    </w:p>
    <w:p w14:paraId="5EC058B8" w14:textId="4CA122AB" w:rsidR="008430BD" w:rsidRPr="001C3EC8" w:rsidRDefault="008430BD" w:rsidP="008430BD">
      <w:pPr>
        <w:pStyle w:val="Podnadpis"/>
        <w:rPr>
          <w:color w:val="000000" w:themeColor="text1"/>
        </w:rPr>
      </w:pPr>
      <w:bookmarkStart w:id="380" w:name="_Toc7595233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36</w:t>
      </w:r>
      <w:r w:rsidRPr="001C3EC8">
        <w:rPr>
          <w:noProof/>
          <w:color w:val="000000" w:themeColor="text1"/>
        </w:rPr>
        <w:fldChar w:fldCharType="end"/>
      </w:r>
      <w:bookmarkEnd w:id="375"/>
      <w:r w:rsidRPr="001C3EC8">
        <w:rPr>
          <w:color w:val="000000" w:themeColor="text1"/>
        </w:rPr>
        <w:t>: KS – počet soudců dle soudů</w:t>
      </w:r>
      <w:bookmarkEnd w:id="376"/>
      <w:bookmarkEnd w:id="377"/>
      <w:bookmarkEnd w:id="378"/>
      <w:bookmarkEnd w:id="379"/>
      <w:bookmarkEnd w:id="380"/>
    </w:p>
    <w:tbl>
      <w:tblPr>
        <w:tblW w:w="8880" w:type="dxa"/>
        <w:tblCellMar>
          <w:left w:w="70" w:type="dxa"/>
          <w:right w:w="70" w:type="dxa"/>
        </w:tblCellMar>
        <w:tblLook w:val="04A0" w:firstRow="1" w:lastRow="0" w:firstColumn="1" w:lastColumn="0" w:noHBand="0" w:noVBand="1"/>
      </w:tblPr>
      <w:tblGrid>
        <w:gridCol w:w="2000"/>
        <w:gridCol w:w="1264"/>
        <w:gridCol w:w="1330"/>
        <w:gridCol w:w="1620"/>
        <w:gridCol w:w="1655"/>
        <w:gridCol w:w="1011"/>
      </w:tblGrid>
      <w:tr w:rsidR="008430BD" w:rsidRPr="001C3EC8" w14:paraId="7D797320" w14:textId="77777777" w:rsidTr="00E077F3">
        <w:trPr>
          <w:trHeight w:val="330"/>
        </w:trPr>
        <w:tc>
          <w:tcPr>
            <w:tcW w:w="2000" w:type="dxa"/>
            <w:vMerge w:val="restart"/>
            <w:tcBorders>
              <w:top w:val="double" w:sz="6" w:space="0" w:color="auto"/>
              <w:left w:val="nil"/>
              <w:bottom w:val="double" w:sz="6" w:space="0" w:color="000000"/>
              <w:right w:val="nil"/>
            </w:tcBorders>
            <w:shd w:val="clear" w:color="auto" w:fill="auto"/>
            <w:noWrap/>
            <w:vAlign w:val="center"/>
            <w:hideMark/>
          </w:tcPr>
          <w:p w14:paraId="141867A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1264" w:type="dxa"/>
            <w:vMerge w:val="restart"/>
            <w:tcBorders>
              <w:top w:val="double" w:sz="6" w:space="0" w:color="auto"/>
              <w:left w:val="nil"/>
              <w:bottom w:val="double" w:sz="6" w:space="0" w:color="000000"/>
              <w:right w:val="nil"/>
            </w:tcBorders>
            <w:shd w:val="clear" w:color="auto" w:fill="auto"/>
            <w:vAlign w:val="center"/>
            <w:hideMark/>
          </w:tcPr>
          <w:p w14:paraId="074E5A1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Plánovaný počet soudců</w:t>
            </w:r>
          </w:p>
        </w:tc>
        <w:tc>
          <w:tcPr>
            <w:tcW w:w="5616" w:type="dxa"/>
            <w:gridSpan w:val="4"/>
            <w:tcBorders>
              <w:top w:val="double" w:sz="6" w:space="0" w:color="auto"/>
              <w:left w:val="nil"/>
              <w:bottom w:val="nil"/>
              <w:right w:val="nil"/>
            </w:tcBorders>
            <w:shd w:val="clear" w:color="auto" w:fill="auto"/>
            <w:noWrap/>
            <w:vAlign w:val="center"/>
            <w:hideMark/>
          </w:tcPr>
          <w:p w14:paraId="63E258E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 počet soudců</w:t>
            </w:r>
          </w:p>
        </w:tc>
      </w:tr>
      <w:tr w:rsidR="008430BD" w:rsidRPr="001C3EC8" w14:paraId="79D148A7" w14:textId="77777777" w:rsidTr="00E077F3">
        <w:trPr>
          <w:trHeight w:val="645"/>
        </w:trPr>
        <w:tc>
          <w:tcPr>
            <w:tcW w:w="2000" w:type="dxa"/>
            <w:vMerge/>
            <w:tcBorders>
              <w:top w:val="double" w:sz="6" w:space="0" w:color="auto"/>
              <w:left w:val="nil"/>
              <w:bottom w:val="double" w:sz="6" w:space="0" w:color="000000"/>
              <w:right w:val="nil"/>
            </w:tcBorders>
            <w:vAlign w:val="center"/>
            <w:hideMark/>
          </w:tcPr>
          <w:p w14:paraId="37429154"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264" w:type="dxa"/>
            <w:vMerge/>
            <w:tcBorders>
              <w:top w:val="double" w:sz="6" w:space="0" w:color="auto"/>
              <w:left w:val="nil"/>
              <w:bottom w:val="double" w:sz="6" w:space="0" w:color="000000"/>
              <w:right w:val="nil"/>
            </w:tcBorders>
            <w:vAlign w:val="center"/>
            <w:hideMark/>
          </w:tcPr>
          <w:p w14:paraId="0FCE235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330" w:type="dxa"/>
            <w:tcBorders>
              <w:top w:val="nil"/>
              <w:left w:val="nil"/>
              <w:bottom w:val="double" w:sz="6" w:space="0" w:color="auto"/>
              <w:right w:val="nil"/>
            </w:tcBorders>
            <w:shd w:val="clear" w:color="auto" w:fill="auto"/>
            <w:vAlign w:val="center"/>
            <w:hideMark/>
          </w:tcPr>
          <w:p w14:paraId="722EF36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Civ. + obch. úsek</w:t>
            </w:r>
          </w:p>
        </w:tc>
        <w:tc>
          <w:tcPr>
            <w:tcW w:w="1620" w:type="dxa"/>
            <w:tcBorders>
              <w:top w:val="nil"/>
              <w:left w:val="nil"/>
              <w:bottom w:val="double" w:sz="6" w:space="0" w:color="auto"/>
              <w:right w:val="nil"/>
            </w:tcBorders>
            <w:shd w:val="clear" w:color="auto" w:fill="auto"/>
            <w:noWrap/>
            <w:vAlign w:val="center"/>
            <w:hideMark/>
          </w:tcPr>
          <w:p w14:paraId="0E3BDF9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Trestní úsek</w:t>
            </w:r>
          </w:p>
        </w:tc>
        <w:tc>
          <w:tcPr>
            <w:tcW w:w="1655" w:type="dxa"/>
            <w:tcBorders>
              <w:top w:val="nil"/>
              <w:left w:val="nil"/>
              <w:bottom w:val="double" w:sz="6" w:space="0" w:color="auto"/>
              <w:right w:val="nil"/>
            </w:tcBorders>
            <w:shd w:val="clear" w:color="auto" w:fill="auto"/>
            <w:noWrap/>
            <w:vAlign w:val="center"/>
            <w:hideMark/>
          </w:tcPr>
          <w:p w14:paraId="29FCF6A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Správní úsek</w:t>
            </w:r>
          </w:p>
        </w:tc>
        <w:tc>
          <w:tcPr>
            <w:tcW w:w="1011" w:type="dxa"/>
            <w:tcBorders>
              <w:top w:val="nil"/>
              <w:left w:val="nil"/>
              <w:bottom w:val="double" w:sz="6" w:space="0" w:color="auto"/>
              <w:right w:val="nil"/>
            </w:tcBorders>
            <w:shd w:val="clear" w:color="auto" w:fill="auto"/>
            <w:noWrap/>
            <w:vAlign w:val="center"/>
            <w:hideMark/>
          </w:tcPr>
          <w:p w14:paraId="6890106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Celkem</w:t>
            </w:r>
          </w:p>
        </w:tc>
      </w:tr>
      <w:tr w:rsidR="008430BD" w:rsidRPr="001C3EC8" w14:paraId="3138C15C" w14:textId="77777777" w:rsidTr="00E077F3">
        <w:trPr>
          <w:trHeight w:val="330"/>
        </w:trPr>
        <w:tc>
          <w:tcPr>
            <w:tcW w:w="2000" w:type="dxa"/>
            <w:tcBorders>
              <w:top w:val="single" w:sz="4" w:space="0" w:color="auto"/>
              <w:left w:val="nil"/>
              <w:bottom w:val="single" w:sz="4" w:space="0" w:color="auto"/>
              <w:right w:val="nil"/>
            </w:tcBorders>
            <w:shd w:val="clear" w:color="auto" w:fill="auto"/>
            <w:noWrap/>
            <w:vAlign w:val="bottom"/>
            <w:hideMark/>
          </w:tcPr>
          <w:p w14:paraId="6CDD32B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64" w:type="dxa"/>
            <w:tcBorders>
              <w:top w:val="single" w:sz="4" w:space="0" w:color="auto"/>
              <w:left w:val="nil"/>
              <w:bottom w:val="single" w:sz="4" w:space="0" w:color="auto"/>
              <w:right w:val="nil"/>
            </w:tcBorders>
            <w:shd w:val="clear" w:color="auto" w:fill="auto"/>
            <w:noWrap/>
            <w:vAlign w:val="bottom"/>
            <w:hideMark/>
          </w:tcPr>
          <w:p w14:paraId="7CEE8C3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245</w:t>
            </w:r>
          </w:p>
        </w:tc>
        <w:tc>
          <w:tcPr>
            <w:tcW w:w="1330" w:type="dxa"/>
            <w:tcBorders>
              <w:top w:val="single" w:sz="4" w:space="0" w:color="auto"/>
              <w:left w:val="nil"/>
              <w:bottom w:val="single" w:sz="4" w:space="0" w:color="auto"/>
              <w:right w:val="nil"/>
            </w:tcBorders>
            <w:shd w:val="clear" w:color="auto" w:fill="auto"/>
            <w:noWrap/>
            <w:vAlign w:val="bottom"/>
            <w:hideMark/>
          </w:tcPr>
          <w:p w14:paraId="6686D5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w:t>
            </w:r>
          </w:p>
        </w:tc>
        <w:tc>
          <w:tcPr>
            <w:tcW w:w="1620" w:type="dxa"/>
            <w:tcBorders>
              <w:top w:val="single" w:sz="4" w:space="0" w:color="auto"/>
              <w:left w:val="nil"/>
              <w:bottom w:val="single" w:sz="4" w:space="0" w:color="auto"/>
              <w:right w:val="nil"/>
            </w:tcBorders>
            <w:shd w:val="clear" w:color="auto" w:fill="auto"/>
            <w:noWrap/>
            <w:vAlign w:val="bottom"/>
            <w:hideMark/>
          </w:tcPr>
          <w:p w14:paraId="5DAE0C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p>
        </w:tc>
        <w:tc>
          <w:tcPr>
            <w:tcW w:w="1655" w:type="dxa"/>
            <w:tcBorders>
              <w:top w:val="single" w:sz="4" w:space="0" w:color="auto"/>
              <w:left w:val="nil"/>
              <w:bottom w:val="single" w:sz="4" w:space="0" w:color="auto"/>
              <w:right w:val="nil"/>
            </w:tcBorders>
            <w:shd w:val="clear" w:color="auto" w:fill="auto"/>
            <w:noWrap/>
            <w:vAlign w:val="bottom"/>
            <w:hideMark/>
          </w:tcPr>
          <w:p w14:paraId="79101D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011" w:type="dxa"/>
            <w:tcBorders>
              <w:top w:val="single" w:sz="4" w:space="0" w:color="auto"/>
              <w:left w:val="nil"/>
              <w:bottom w:val="single" w:sz="4" w:space="0" w:color="auto"/>
              <w:right w:val="nil"/>
            </w:tcBorders>
            <w:shd w:val="clear" w:color="auto" w:fill="auto"/>
            <w:noWrap/>
            <w:vAlign w:val="bottom"/>
            <w:hideMark/>
          </w:tcPr>
          <w:p w14:paraId="7A51DA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222</w:t>
            </w:r>
          </w:p>
        </w:tc>
      </w:tr>
      <w:tr w:rsidR="008430BD" w:rsidRPr="001C3EC8" w14:paraId="32C61755" w14:textId="77777777" w:rsidTr="00E077F3">
        <w:trPr>
          <w:trHeight w:val="315"/>
        </w:trPr>
        <w:tc>
          <w:tcPr>
            <w:tcW w:w="2000" w:type="dxa"/>
            <w:tcBorders>
              <w:top w:val="nil"/>
              <w:left w:val="nil"/>
              <w:bottom w:val="single" w:sz="4" w:space="0" w:color="auto"/>
              <w:right w:val="nil"/>
            </w:tcBorders>
            <w:shd w:val="clear" w:color="auto" w:fill="auto"/>
            <w:noWrap/>
            <w:vAlign w:val="bottom"/>
            <w:hideMark/>
          </w:tcPr>
          <w:p w14:paraId="695EC44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64" w:type="dxa"/>
            <w:tcBorders>
              <w:top w:val="nil"/>
              <w:left w:val="nil"/>
              <w:bottom w:val="single" w:sz="4" w:space="0" w:color="auto"/>
              <w:right w:val="nil"/>
            </w:tcBorders>
            <w:shd w:val="clear" w:color="auto" w:fill="auto"/>
            <w:noWrap/>
            <w:vAlign w:val="bottom"/>
            <w:hideMark/>
          </w:tcPr>
          <w:p w14:paraId="739DD5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w:t>
            </w:r>
          </w:p>
        </w:tc>
        <w:tc>
          <w:tcPr>
            <w:tcW w:w="1330" w:type="dxa"/>
            <w:tcBorders>
              <w:top w:val="nil"/>
              <w:left w:val="nil"/>
              <w:bottom w:val="single" w:sz="4" w:space="0" w:color="auto"/>
              <w:right w:val="nil"/>
            </w:tcBorders>
            <w:shd w:val="clear" w:color="auto" w:fill="auto"/>
            <w:noWrap/>
            <w:vAlign w:val="bottom"/>
            <w:hideMark/>
          </w:tcPr>
          <w:p w14:paraId="09024E9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w:t>
            </w:r>
          </w:p>
        </w:tc>
        <w:tc>
          <w:tcPr>
            <w:tcW w:w="1620" w:type="dxa"/>
            <w:tcBorders>
              <w:top w:val="nil"/>
              <w:left w:val="nil"/>
              <w:bottom w:val="single" w:sz="4" w:space="0" w:color="auto"/>
              <w:right w:val="nil"/>
            </w:tcBorders>
            <w:shd w:val="clear" w:color="auto" w:fill="auto"/>
            <w:noWrap/>
            <w:vAlign w:val="bottom"/>
            <w:hideMark/>
          </w:tcPr>
          <w:p w14:paraId="388D3FE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p>
        </w:tc>
        <w:tc>
          <w:tcPr>
            <w:tcW w:w="1655" w:type="dxa"/>
            <w:tcBorders>
              <w:top w:val="nil"/>
              <w:left w:val="nil"/>
              <w:bottom w:val="single" w:sz="4" w:space="0" w:color="auto"/>
              <w:right w:val="nil"/>
            </w:tcBorders>
            <w:shd w:val="clear" w:color="auto" w:fill="auto"/>
            <w:noWrap/>
            <w:vAlign w:val="bottom"/>
            <w:hideMark/>
          </w:tcPr>
          <w:p w14:paraId="1DDA88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011" w:type="dxa"/>
            <w:tcBorders>
              <w:top w:val="nil"/>
              <w:left w:val="nil"/>
              <w:bottom w:val="single" w:sz="4" w:space="0" w:color="auto"/>
              <w:right w:val="nil"/>
            </w:tcBorders>
            <w:shd w:val="clear" w:color="auto" w:fill="auto"/>
            <w:noWrap/>
            <w:vAlign w:val="bottom"/>
            <w:hideMark/>
          </w:tcPr>
          <w:p w14:paraId="63A7AD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w:t>
            </w:r>
          </w:p>
        </w:tc>
      </w:tr>
      <w:tr w:rsidR="008430BD" w:rsidRPr="001C3EC8" w14:paraId="0954D0B8" w14:textId="77777777" w:rsidTr="00E077F3">
        <w:trPr>
          <w:trHeight w:val="315"/>
        </w:trPr>
        <w:tc>
          <w:tcPr>
            <w:tcW w:w="2000" w:type="dxa"/>
            <w:tcBorders>
              <w:top w:val="nil"/>
              <w:left w:val="nil"/>
              <w:bottom w:val="single" w:sz="4" w:space="0" w:color="auto"/>
              <w:right w:val="nil"/>
            </w:tcBorders>
            <w:shd w:val="clear" w:color="auto" w:fill="auto"/>
            <w:noWrap/>
            <w:vAlign w:val="bottom"/>
            <w:hideMark/>
          </w:tcPr>
          <w:p w14:paraId="7479F11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64" w:type="dxa"/>
            <w:tcBorders>
              <w:top w:val="nil"/>
              <w:left w:val="nil"/>
              <w:bottom w:val="single" w:sz="4" w:space="0" w:color="auto"/>
              <w:right w:val="nil"/>
            </w:tcBorders>
            <w:shd w:val="clear" w:color="auto" w:fill="auto"/>
            <w:noWrap/>
            <w:vAlign w:val="bottom"/>
            <w:hideMark/>
          </w:tcPr>
          <w:p w14:paraId="0523F28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w:t>
            </w:r>
          </w:p>
        </w:tc>
        <w:tc>
          <w:tcPr>
            <w:tcW w:w="1330" w:type="dxa"/>
            <w:tcBorders>
              <w:top w:val="nil"/>
              <w:left w:val="nil"/>
              <w:bottom w:val="single" w:sz="4" w:space="0" w:color="auto"/>
              <w:right w:val="nil"/>
            </w:tcBorders>
            <w:shd w:val="clear" w:color="auto" w:fill="auto"/>
            <w:noWrap/>
            <w:vAlign w:val="bottom"/>
            <w:hideMark/>
          </w:tcPr>
          <w:p w14:paraId="4F1CDF5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w:t>
            </w:r>
          </w:p>
        </w:tc>
        <w:tc>
          <w:tcPr>
            <w:tcW w:w="1620" w:type="dxa"/>
            <w:tcBorders>
              <w:top w:val="nil"/>
              <w:left w:val="nil"/>
              <w:bottom w:val="single" w:sz="4" w:space="0" w:color="auto"/>
              <w:right w:val="nil"/>
            </w:tcBorders>
            <w:shd w:val="clear" w:color="auto" w:fill="auto"/>
            <w:noWrap/>
            <w:vAlign w:val="bottom"/>
            <w:hideMark/>
          </w:tcPr>
          <w:p w14:paraId="21B1F2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w:t>
            </w:r>
          </w:p>
        </w:tc>
        <w:tc>
          <w:tcPr>
            <w:tcW w:w="1655" w:type="dxa"/>
            <w:tcBorders>
              <w:top w:val="nil"/>
              <w:left w:val="nil"/>
              <w:bottom w:val="single" w:sz="4" w:space="0" w:color="auto"/>
              <w:right w:val="nil"/>
            </w:tcBorders>
            <w:shd w:val="clear" w:color="auto" w:fill="auto"/>
            <w:noWrap/>
            <w:vAlign w:val="bottom"/>
            <w:hideMark/>
          </w:tcPr>
          <w:p w14:paraId="42A9C6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1011" w:type="dxa"/>
            <w:tcBorders>
              <w:top w:val="nil"/>
              <w:left w:val="nil"/>
              <w:bottom w:val="single" w:sz="4" w:space="0" w:color="auto"/>
              <w:right w:val="nil"/>
            </w:tcBorders>
            <w:shd w:val="clear" w:color="auto" w:fill="auto"/>
            <w:noWrap/>
            <w:vAlign w:val="bottom"/>
            <w:hideMark/>
          </w:tcPr>
          <w:p w14:paraId="063A65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w:t>
            </w:r>
          </w:p>
        </w:tc>
      </w:tr>
      <w:tr w:rsidR="008430BD" w:rsidRPr="001C3EC8" w14:paraId="58AFFA8D" w14:textId="77777777" w:rsidTr="00E077F3">
        <w:trPr>
          <w:trHeight w:val="315"/>
        </w:trPr>
        <w:tc>
          <w:tcPr>
            <w:tcW w:w="2000" w:type="dxa"/>
            <w:tcBorders>
              <w:top w:val="nil"/>
              <w:left w:val="nil"/>
              <w:bottom w:val="single" w:sz="4" w:space="0" w:color="auto"/>
              <w:right w:val="nil"/>
            </w:tcBorders>
            <w:shd w:val="clear" w:color="auto" w:fill="auto"/>
            <w:noWrap/>
            <w:vAlign w:val="bottom"/>
            <w:hideMark/>
          </w:tcPr>
          <w:p w14:paraId="15D7E7E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64" w:type="dxa"/>
            <w:tcBorders>
              <w:top w:val="nil"/>
              <w:left w:val="nil"/>
              <w:bottom w:val="single" w:sz="4" w:space="0" w:color="auto"/>
              <w:right w:val="nil"/>
            </w:tcBorders>
            <w:shd w:val="clear" w:color="auto" w:fill="auto"/>
            <w:noWrap/>
            <w:vAlign w:val="bottom"/>
            <w:hideMark/>
          </w:tcPr>
          <w:p w14:paraId="16E95B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w:t>
            </w:r>
          </w:p>
        </w:tc>
        <w:tc>
          <w:tcPr>
            <w:tcW w:w="1330" w:type="dxa"/>
            <w:tcBorders>
              <w:top w:val="nil"/>
              <w:left w:val="nil"/>
              <w:bottom w:val="single" w:sz="4" w:space="0" w:color="auto"/>
              <w:right w:val="nil"/>
            </w:tcBorders>
            <w:shd w:val="clear" w:color="auto" w:fill="auto"/>
            <w:noWrap/>
            <w:vAlign w:val="bottom"/>
            <w:hideMark/>
          </w:tcPr>
          <w:p w14:paraId="1157919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w:t>
            </w:r>
          </w:p>
        </w:tc>
        <w:tc>
          <w:tcPr>
            <w:tcW w:w="1620" w:type="dxa"/>
            <w:tcBorders>
              <w:top w:val="nil"/>
              <w:left w:val="nil"/>
              <w:bottom w:val="single" w:sz="4" w:space="0" w:color="auto"/>
              <w:right w:val="nil"/>
            </w:tcBorders>
            <w:shd w:val="clear" w:color="auto" w:fill="auto"/>
            <w:noWrap/>
            <w:vAlign w:val="bottom"/>
            <w:hideMark/>
          </w:tcPr>
          <w:p w14:paraId="67781A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w:t>
            </w:r>
          </w:p>
        </w:tc>
        <w:tc>
          <w:tcPr>
            <w:tcW w:w="1655" w:type="dxa"/>
            <w:tcBorders>
              <w:top w:val="nil"/>
              <w:left w:val="nil"/>
              <w:bottom w:val="single" w:sz="4" w:space="0" w:color="auto"/>
              <w:right w:val="nil"/>
            </w:tcBorders>
            <w:shd w:val="clear" w:color="auto" w:fill="auto"/>
            <w:noWrap/>
            <w:vAlign w:val="bottom"/>
            <w:hideMark/>
          </w:tcPr>
          <w:p w14:paraId="05AAF95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1011" w:type="dxa"/>
            <w:tcBorders>
              <w:top w:val="nil"/>
              <w:left w:val="nil"/>
              <w:bottom w:val="single" w:sz="4" w:space="0" w:color="auto"/>
              <w:right w:val="nil"/>
            </w:tcBorders>
            <w:shd w:val="clear" w:color="auto" w:fill="auto"/>
            <w:noWrap/>
            <w:vAlign w:val="bottom"/>
            <w:hideMark/>
          </w:tcPr>
          <w:p w14:paraId="0B2D01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w:t>
            </w:r>
          </w:p>
        </w:tc>
      </w:tr>
      <w:tr w:rsidR="008430BD" w:rsidRPr="001C3EC8" w14:paraId="3F48BD8C" w14:textId="77777777" w:rsidTr="00E077F3">
        <w:trPr>
          <w:trHeight w:val="315"/>
        </w:trPr>
        <w:tc>
          <w:tcPr>
            <w:tcW w:w="2000" w:type="dxa"/>
            <w:tcBorders>
              <w:top w:val="nil"/>
              <w:left w:val="nil"/>
              <w:bottom w:val="single" w:sz="4" w:space="0" w:color="auto"/>
              <w:right w:val="nil"/>
            </w:tcBorders>
            <w:shd w:val="clear" w:color="auto" w:fill="auto"/>
            <w:noWrap/>
            <w:vAlign w:val="bottom"/>
            <w:hideMark/>
          </w:tcPr>
          <w:p w14:paraId="722BCD0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64" w:type="dxa"/>
            <w:tcBorders>
              <w:top w:val="nil"/>
              <w:left w:val="nil"/>
              <w:bottom w:val="single" w:sz="4" w:space="0" w:color="auto"/>
              <w:right w:val="nil"/>
            </w:tcBorders>
            <w:shd w:val="clear" w:color="auto" w:fill="auto"/>
            <w:noWrap/>
            <w:vAlign w:val="bottom"/>
            <w:hideMark/>
          </w:tcPr>
          <w:p w14:paraId="1566B07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w:t>
            </w:r>
          </w:p>
        </w:tc>
        <w:tc>
          <w:tcPr>
            <w:tcW w:w="1330" w:type="dxa"/>
            <w:tcBorders>
              <w:top w:val="nil"/>
              <w:left w:val="nil"/>
              <w:bottom w:val="single" w:sz="4" w:space="0" w:color="auto"/>
              <w:right w:val="nil"/>
            </w:tcBorders>
            <w:shd w:val="clear" w:color="auto" w:fill="auto"/>
            <w:noWrap/>
            <w:vAlign w:val="bottom"/>
            <w:hideMark/>
          </w:tcPr>
          <w:p w14:paraId="1F8D5E9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w:t>
            </w:r>
          </w:p>
        </w:tc>
        <w:tc>
          <w:tcPr>
            <w:tcW w:w="1620" w:type="dxa"/>
            <w:tcBorders>
              <w:top w:val="nil"/>
              <w:left w:val="nil"/>
              <w:bottom w:val="single" w:sz="4" w:space="0" w:color="auto"/>
              <w:right w:val="nil"/>
            </w:tcBorders>
            <w:shd w:val="clear" w:color="auto" w:fill="auto"/>
            <w:noWrap/>
            <w:vAlign w:val="bottom"/>
            <w:hideMark/>
          </w:tcPr>
          <w:p w14:paraId="0D727CA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w:t>
            </w:r>
          </w:p>
        </w:tc>
        <w:tc>
          <w:tcPr>
            <w:tcW w:w="1655" w:type="dxa"/>
            <w:tcBorders>
              <w:top w:val="nil"/>
              <w:left w:val="nil"/>
              <w:bottom w:val="single" w:sz="4" w:space="0" w:color="auto"/>
              <w:right w:val="nil"/>
            </w:tcBorders>
            <w:shd w:val="clear" w:color="auto" w:fill="auto"/>
            <w:noWrap/>
            <w:vAlign w:val="bottom"/>
            <w:hideMark/>
          </w:tcPr>
          <w:p w14:paraId="7C24FC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c>
          <w:tcPr>
            <w:tcW w:w="1011" w:type="dxa"/>
            <w:tcBorders>
              <w:top w:val="nil"/>
              <w:left w:val="nil"/>
              <w:bottom w:val="single" w:sz="4" w:space="0" w:color="auto"/>
              <w:right w:val="nil"/>
            </w:tcBorders>
            <w:shd w:val="clear" w:color="auto" w:fill="auto"/>
            <w:noWrap/>
            <w:vAlign w:val="bottom"/>
            <w:hideMark/>
          </w:tcPr>
          <w:p w14:paraId="31F92D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r>
      <w:tr w:rsidR="008430BD" w:rsidRPr="001C3EC8" w14:paraId="2F65EDE4" w14:textId="77777777" w:rsidTr="00E077F3">
        <w:trPr>
          <w:trHeight w:val="315"/>
        </w:trPr>
        <w:tc>
          <w:tcPr>
            <w:tcW w:w="2000" w:type="dxa"/>
            <w:tcBorders>
              <w:top w:val="nil"/>
              <w:left w:val="nil"/>
              <w:bottom w:val="single" w:sz="4" w:space="0" w:color="auto"/>
              <w:right w:val="nil"/>
            </w:tcBorders>
            <w:shd w:val="clear" w:color="auto" w:fill="auto"/>
            <w:noWrap/>
            <w:vAlign w:val="bottom"/>
            <w:hideMark/>
          </w:tcPr>
          <w:p w14:paraId="649C758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64" w:type="dxa"/>
            <w:tcBorders>
              <w:top w:val="nil"/>
              <w:left w:val="nil"/>
              <w:bottom w:val="single" w:sz="4" w:space="0" w:color="auto"/>
              <w:right w:val="nil"/>
            </w:tcBorders>
            <w:shd w:val="clear" w:color="auto" w:fill="auto"/>
            <w:noWrap/>
            <w:vAlign w:val="bottom"/>
            <w:hideMark/>
          </w:tcPr>
          <w:p w14:paraId="6155BB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330" w:type="dxa"/>
            <w:tcBorders>
              <w:top w:val="nil"/>
              <w:left w:val="nil"/>
              <w:bottom w:val="single" w:sz="4" w:space="0" w:color="auto"/>
              <w:right w:val="nil"/>
            </w:tcBorders>
            <w:shd w:val="clear" w:color="auto" w:fill="auto"/>
            <w:noWrap/>
            <w:vAlign w:val="bottom"/>
            <w:hideMark/>
          </w:tcPr>
          <w:p w14:paraId="31124F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w:t>
            </w:r>
          </w:p>
        </w:tc>
        <w:tc>
          <w:tcPr>
            <w:tcW w:w="1620" w:type="dxa"/>
            <w:tcBorders>
              <w:top w:val="nil"/>
              <w:left w:val="nil"/>
              <w:bottom w:val="single" w:sz="4" w:space="0" w:color="auto"/>
              <w:right w:val="nil"/>
            </w:tcBorders>
            <w:shd w:val="clear" w:color="auto" w:fill="auto"/>
            <w:noWrap/>
            <w:vAlign w:val="bottom"/>
            <w:hideMark/>
          </w:tcPr>
          <w:p w14:paraId="267A61F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1655" w:type="dxa"/>
            <w:tcBorders>
              <w:top w:val="nil"/>
              <w:left w:val="nil"/>
              <w:bottom w:val="single" w:sz="4" w:space="0" w:color="auto"/>
              <w:right w:val="nil"/>
            </w:tcBorders>
            <w:shd w:val="clear" w:color="auto" w:fill="auto"/>
            <w:noWrap/>
            <w:vAlign w:val="bottom"/>
            <w:hideMark/>
          </w:tcPr>
          <w:p w14:paraId="400E3F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w:t>
            </w:r>
          </w:p>
        </w:tc>
        <w:tc>
          <w:tcPr>
            <w:tcW w:w="1011" w:type="dxa"/>
            <w:tcBorders>
              <w:top w:val="nil"/>
              <w:left w:val="nil"/>
              <w:bottom w:val="single" w:sz="4" w:space="0" w:color="auto"/>
              <w:right w:val="nil"/>
            </w:tcBorders>
            <w:shd w:val="clear" w:color="auto" w:fill="auto"/>
            <w:noWrap/>
            <w:vAlign w:val="bottom"/>
            <w:hideMark/>
          </w:tcPr>
          <w:p w14:paraId="7DAB4A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w:t>
            </w:r>
          </w:p>
        </w:tc>
      </w:tr>
      <w:tr w:rsidR="008430BD" w:rsidRPr="001C3EC8" w14:paraId="0CD057D1" w14:textId="77777777" w:rsidTr="00E077F3">
        <w:trPr>
          <w:trHeight w:val="315"/>
        </w:trPr>
        <w:tc>
          <w:tcPr>
            <w:tcW w:w="2000" w:type="dxa"/>
            <w:tcBorders>
              <w:top w:val="nil"/>
              <w:left w:val="nil"/>
              <w:bottom w:val="single" w:sz="4" w:space="0" w:color="auto"/>
              <w:right w:val="nil"/>
            </w:tcBorders>
            <w:shd w:val="clear" w:color="auto" w:fill="auto"/>
            <w:noWrap/>
            <w:vAlign w:val="bottom"/>
            <w:hideMark/>
          </w:tcPr>
          <w:p w14:paraId="7464197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64" w:type="dxa"/>
            <w:tcBorders>
              <w:top w:val="nil"/>
              <w:left w:val="nil"/>
              <w:bottom w:val="single" w:sz="4" w:space="0" w:color="auto"/>
              <w:right w:val="nil"/>
            </w:tcBorders>
            <w:shd w:val="clear" w:color="auto" w:fill="auto"/>
            <w:noWrap/>
            <w:vAlign w:val="bottom"/>
            <w:hideMark/>
          </w:tcPr>
          <w:p w14:paraId="3F3202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160</w:t>
            </w:r>
          </w:p>
        </w:tc>
        <w:tc>
          <w:tcPr>
            <w:tcW w:w="1330" w:type="dxa"/>
            <w:tcBorders>
              <w:top w:val="nil"/>
              <w:left w:val="nil"/>
              <w:bottom w:val="single" w:sz="4" w:space="0" w:color="auto"/>
              <w:right w:val="nil"/>
            </w:tcBorders>
            <w:shd w:val="clear" w:color="auto" w:fill="auto"/>
            <w:noWrap/>
            <w:vAlign w:val="bottom"/>
            <w:hideMark/>
          </w:tcPr>
          <w:p w14:paraId="7C84ED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w:t>
            </w:r>
          </w:p>
        </w:tc>
        <w:tc>
          <w:tcPr>
            <w:tcW w:w="1620" w:type="dxa"/>
            <w:tcBorders>
              <w:top w:val="nil"/>
              <w:left w:val="nil"/>
              <w:bottom w:val="single" w:sz="4" w:space="0" w:color="auto"/>
              <w:right w:val="nil"/>
            </w:tcBorders>
            <w:shd w:val="clear" w:color="auto" w:fill="auto"/>
            <w:noWrap/>
            <w:vAlign w:val="bottom"/>
            <w:hideMark/>
          </w:tcPr>
          <w:p w14:paraId="12949C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w:t>
            </w:r>
          </w:p>
        </w:tc>
        <w:tc>
          <w:tcPr>
            <w:tcW w:w="1655" w:type="dxa"/>
            <w:tcBorders>
              <w:top w:val="nil"/>
              <w:left w:val="nil"/>
              <w:bottom w:val="single" w:sz="4" w:space="0" w:color="auto"/>
              <w:right w:val="nil"/>
            </w:tcBorders>
            <w:shd w:val="clear" w:color="auto" w:fill="auto"/>
            <w:noWrap/>
            <w:vAlign w:val="bottom"/>
            <w:hideMark/>
          </w:tcPr>
          <w:p w14:paraId="6A3E0B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w:t>
            </w:r>
          </w:p>
        </w:tc>
        <w:tc>
          <w:tcPr>
            <w:tcW w:w="1011" w:type="dxa"/>
            <w:tcBorders>
              <w:top w:val="nil"/>
              <w:left w:val="nil"/>
              <w:bottom w:val="single" w:sz="4" w:space="0" w:color="auto"/>
              <w:right w:val="nil"/>
            </w:tcBorders>
            <w:shd w:val="clear" w:color="auto" w:fill="auto"/>
            <w:noWrap/>
            <w:vAlign w:val="bottom"/>
            <w:hideMark/>
          </w:tcPr>
          <w:p w14:paraId="694EBD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163</w:t>
            </w:r>
          </w:p>
        </w:tc>
      </w:tr>
      <w:tr w:rsidR="008430BD" w:rsidRPr="001C3EC8" w14:paraId="4E1E4A9E" w14:textId="77777777" w:rsidTr="00E077F3">
        <w:trPr>
          <w:trHeight w:val="330"/>
        </w:trPr>
        <w:tc>
          <w:tcPr>
            <w:tcW w:w="2000" w:type="dxa"/>
            <w:tcBorders>
              <w:top w:val="nil"/>
              <w:left w:val="nil"/>
              <w:bottom w:val="double" w:sz="6" w:space="0" w:color="auto"/>
              <w:right w:val="nil"/>
            </w:tcBorders>
            <w:shd w:val="clear" w:color="auto" w:fill="auto"/>
            <w:noWrap/>
            <w:vAlign w:val="bottom"/>
            <w:hideMark/>
          </w:tcPr>
          <w:p w14:paraId="2FC5B3F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64" w:type="dxa"/>
            <w:tcBorders>
              <w:top w:val="nil"/>
              <w:left w:val="nil"/>
              <w:bottom w:val="double" w:sz="6" w:space="0" w:color="auto"/>
              <w:right w:val="nil"/>
            </w:tcBorders>
            <w:shd w:val="clear" w:color="auto" w:fill="auto"/>
            <w:noWrap/>
            <w:vAlign w:val="bottom"/>
            <w:hideMark/>
          </w:tcPr>
          <w:p w14:paraId="4E959F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159</w:t>
            </w:r>
          </w:p>
        </w:tc>
        <w:tc>
          <w:tcPr>
            <w:tcW w:w="1330" w:type="dxa"/>
            <w:tcBorders>
              <w:top w:val="nil"/>
              <w:left w:val="nil"/>
              <w:bottom w:val="double" w:sz="6" w:space="0" w:color="auto"/>
              <w:right w:val="nil"/>
            </w:tcBorders>
            <w:shd w:val="clear" w:color="auto" w:fill="auto"/>
            <w:noWrap/>
            <w:vAlign w:val="bottom"/>
            <w:hideMark/>
          </w:tcPr>
          <w:p w14:paraId="5D0E7E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w:t>
            </w:r>
          </w:p>
        </w:tc>
        <w:tc>
          <w:tcPr>
            <w:tcW w:w="1620" w:type="dxa"/>
            <w:tcBorders>
              <w:top w:val="nil"/>
              <w:left w:val="nil"/>
              <w:bottom w:val="double" w:sz="6" w:space="0" w:color="auto"/>
              <w:right w:val="nil"/>
            </w:tcBorders>
            <w:shd w:val="clear" w:color="auto" w:fill="auto"/>
            <w:noWrap/>
            <w:vAlign w:val="bottom"/>
            <w:hideMark/>
          </w:tcPr>
          <w:p w14:paraId="100C9A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1655" w:type="dxa"/>
            <w:tcBorders>
              <w:top w:val="nil"/>
              <w:left w:val="nil"/>
              <w:bottom w:val="double" w:sz="6" w:space="0" w:color="auto"/>
              <w:right w:val="nil"/>
            </w:tcBorders>
            <w:shd w:val="clear" w:color="auto" w:fill="auto"/>
            <w:noWrap/>
            <w:vAlign w:val="bottom"/>
            <w:hideMark/>
          </w:tcPr>
          <w:p w14:paraId="4E9147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1011" w:type="dxa"/>
            <w:tcBorders>
              <w:top w:val="nil"/>
              <w:left w:val="nil"/>
              <w:bottom w:val="double" w:sz="6" w:space="0" w:color="auto"/>
              <w:right w:val="nil"/>
            </w:tcBorders>
            <w:shd w:val="clear" w:color="auto" w:fill="auto"/>
            <w:noWrap/>
            <w:vAlign w:val="bottom"/>
            <w:hideMark/>
          </w:tcPr>
          <w:p w14:paraId="36614E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140</w:t>
            </w:r>
          </w:p>
        </w:tc>
      </w:tr>
      <w:tr w:rsidR="008430BD" w:rsidRPr="001C3EC8" w14:paraId="790A6473" w14:textId="77777777" w:rsidTr="00E077F3">
        <w:trPr>
          <w:trHeight w:val="345"/>
        </w:trPr>
        <w:tc>
          <w:tcPr>
            <w:tcW w:w="2000" w:type="dxa"/>
            <w:tcBorders>
              <w:top w:val="nil"/>
              <w:left w:val="nil"/>
              <w:bottom w:val="double" w:sz="6" w:space="0" w:color="auto"/>
              <w:right w:val="nil"/>
            </w:tcBorders>
            <w:shd w:val="clear" w:color="auto" w:fill="auto"/>
            <w:noWrap/>
            <w:vAlign w:val="bottom"/>
            <w:hideMark/>
          </w:tcPr>
          <w:p w14:paraId="7B216BC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64" w:type="dxa"/>
            <w:tcBorders>
              <w:top w:val="nil"/>
              <w:left w:val="nil"/>
              <w:bottom w:val="double" w:sz="6" w:space="0" w:color="auto"/>
              <w:right w:val="nil"/>
            </w:tcBorders>
            <w:shd w:val="clear" w:color="auto" w:fill="auto"/>
            <w:noWrap/>
            <w:vAlign w:val="bottom"/>
            <w:hideMark/>
          </w:tcPr>
          <w:p w14:paraId="4C30D66F" w14:textId="6FF64B60"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w:t>
            </w:r>
            <w:r w:rsidRPr="001C3EC8">
              <w:rPr>
                <w:rFonts w:eastAsia="Times New Roman"/>
                <w:b/>
                <w:bCs/>
                <w:color w:val="000000" w:themeColor="text1"/>
                <w:szCs w:val="24"/>
                <w:lang w:eastAsia="cs-CZ"/>
              </w:rPr>
              <w:t>020</w:t>
            </w:r>
          </w:p>
        </w:tc>
        <w:tc>
          <w:tcPr>
            <w:tcW w:w="1330" w:type="dxa"/>
            <w:tcBorders>
              <w:top w:val="nil"/>
              <w:left w:val="nil"/>
              <w:bottom w:val="double" w:sz="6" w:space="0" w:color="auto"/>
              <w:right w:val="nil"/>
            </w:tcBorders>
            <w:shd w:val="clear" w:color="auto" w:fill="auto"/>
            <w:noWrap/>
            <w:vAlign w:val="bottom"/>
            <w:hideMark/>
          </w:tcPr>
          <w:p w14:paraId="089F470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626</w:t>
            </w:r>
          </w:p>
        </w:tc>
        <w:tc>
          <w:tcPr>
            <w:tcW w:w="1620" w:type="dxa"/>
            <w:tcBorders>
              <w:top w:val="nil"/>
              <w:left w:val="nil"/>
              <w:bottom w:val="double" w:sz="6" w:space="0" w:color="auto"/>
              <w:right w:val="nil"/>
            </w:tcBorders>
            <w:shd w:val="clear" w:color="auto" w:fill="auto"/>
            <w:noWrap/>
            <w:vAlign w:val="bottom"/>
            <w:hideMark/>
          </w:tcPr>
          <w:p w14:paraId="617598A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224</w:t>
            </w:r>
          </w:p>
        </w:tc>
        <w:tc>
          <w:tcPr>
            <w:tcW w:w="1655" w:type="dxa"/>
            <w:tcBorders>
              <w:top w:val="nil"/>
              <w:left w:val="nil"/>
              <w:bottom w:val="double" w:sz="6" w:space="0" w:color="auto"/>
              <w:right w:val="nil"/>
            </w:tcBorders>
            <w:shd w:val="clear" w:color="auto" w:fill="auto"/>
            <w:noWrap/>
            <w:vAlign w:val="bottom"/>
            <w:hideMark/>
          </w:tcPr>
          <w:p w14:paraId="776F5F0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100</w:t>
            </w:r>
          </w:p>
        </w:tc>
        <w:tc>
          <w:tcPr>
            <w:tcW w:w="1011" w:type="dxa"/>
            <w:tcBorders>
              <w:top w:val="nil"/>
              <w:left w:val="nil"/>
              <w:bottom w:val="double" w:sz="6" w:space="0" w:color="auto"/>
              <w:right w:val="nil"/>
            </w:tcBorders>
            <w:shd w:val="clear" w:color="auto" w:fill="auto"/>
            <w:noWrap/>
            <w:vAlign w:val="bottom"/>
            <w:hideMark/>
          </w:tcPr>
          <w:p w14:paraId="069E114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950</w:t>
            </w:r>
          </w:p>
        </w:tc>
      </w:tr>
    </w:tbl>
    <w:p w14:paraId="1EBC99CC" w14:textId="77777777" w:rsidR="008430BD" w:rsidRPr="001C3EC8" w:rsidRDefault="008430BD" w:rsidP="008430BD">
      <w:pPr>
        <w:rPr>
          <w:color w:val="000000" w:themeColor="text1"/>
        </w:rPr>
      </w:pPr>
    </w:p>
    <w:p w14:paraId="4464F110" w14:textId="31269429" w:rsidR="008430BD" w:rsidRPr="001C3EC8" w:rsidRDefault="008430BD" w:rsidP="008430BD">
      <w:pPr>
        <w:pStyle w:val="OdstavecASR"/>
        <w:rPr>
          <w:color w:val="000000" w:themeColor="text1"/>
        </w:rPr>
      </w:pPr>
      <w:r w:rsidRPr="001C3EC8">
        <w:rPr>
          <w:color w:val="000000" w:themeColor="text1"/>
        </w:rPr>
        <w:t xml:space="preserve">Velmi mírné pohyby v počtu soudců jsou vidět </w:t>
      </w:r>
      <w:r w:rsidR="00CD2266" w:rsidRPr="001C3EC8">
        <w:rPr>
          <w:color w:val="000000" w:themeColor="text1"/>
        </w:rPr>
        <w:t>i</w:t>
      </w:r>
      <w:r w:rsidR="00CD2266">
        <w:rPr>
          <w:color w:val="000000" w:themeColor="text1"/>
        </w:rPr>
        <w:t> </w:t>
      </w:r>
      <w:r w:rsidRPr="001C3EC8">
        <w:rPr>
          <w:color w:val="000000" w:themeColor="text1"/>
        </w:rPr>
        <w:t>mezi jednotlivými KS. Poměry mezi velikostmi úseků jsou u všech krajských soudů podobné. Existují zde ale určité odchylky, například MS v Praze má relativně menší trestní úsek. Jak je z tabulky patrné, největší je MS Praha a nejmenší je KS České Budějovice. MS Praha je asi čtyřikrát až pětkrát větší než KS České Budějovice.</w:t>
      </w:r>
    </w:p>
    <w:p w14:paraId="6F80D75D" w14:textId="77777777" w:rsidR="008430BD" w:rsidRPr="001C3EC8" w:rsidRDefault="008430BD" w:rsidP="008430BD">
      <w:pPr>
        <w:pStyle w:val="OdstavecASR"/>
        <w:rPr>
          <w:color w:val="000000" w:themeColor="text1"/>
        </w:rPr>
      </w:pPr>
      <w:r w:rsidRPr="001C3EC8">
        <w:rPr>
          <w:color w:val="000000" w:themeColor="text1"/>
        </w:rPr>
        <w:t>Velikost soudů (počet soudců) je stejně jako u OS určena dle systemizace, zohledňuje tedy počet napadlých věcí. Ten pak vyplývá z ukazatelů, jako je počet obyvatel, nezaměstnanost apod.</w:t>
      </w:r>
    </w:p>
    <w:p w14:paraId="3CD301D9" w14:textId="77777777" w:rsidR="008430BD" w:rsidRPr="001C3EC8" w:rsidRDefault="008430BD" w:rsidP="008430BD">
      <w:pPr>
        <w:pStyle w:val="OdstavecASR"/>
        <w:rPr>
          <w:color w:val="000000" w:themeColor="text1"/>
        </w:rPr>
      </w:pPr>
      <w:r w:rsidRPr="001C3EC8">
        <w:rPr>
          <w:color w:val="000000" w:themeColor="text1"/>
        </w:rPr>
        <w:t>Další graf a tabulka zobrazují podíl žen v soudnictví v časových řadách a podle soudů.</w:t>
      </w:r>
    </w:p>
    <w:p w14:paraId="05FAAD70" w14:textId="65B5937A" w:rsidR="008430BD" w:rsidRPr="001C3EC8" w:rsidRDefault="008430BD" w:rsidP="008430BD">
      <w:pPr>
        <w:pStyle w:val="Podnadpis"/>
        <w:rPr>
          <w:color w:val="000000" w:themeColor="text1"/>
        </w:rPr>
      </w:pPr>
      <w:bookmarkStart w:id="381" w:name="_Toc515871378"/>
      <w:bookmarkStart w:id="382" w:name="_Toc11135109"/>
      <w:bookmarkStart w:id="383" w:name="_Toc43841428"/>
      <w:bookmarkStart w:id="384" w:name="_Toc75952232"/>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52</w:t>
      </w:r>
      <w:r w:rsidRPr="001C3EC8">
        <w:rPr>
          <w:noProof/>
          <w:color w:val="000000" w:themeColor="text1"/>
        </w:rPr>
        <w:fldChar w:fldCharType="end"/>
      </w:r>
      <w:r w:rsidRPr="001C3EC8">
        <w:rPr>
          <w:color w:val="000000" w:themeColor="text1"/>
        </w:rPr>
        <w:t>: KS – evidenční počet soudců dle pohlaví v letech 2008–201</w:t>
      </w:r>
      <w:bookmarkEnd w:id="381"/>
      <w:bookmarkEnd w:id="382"/>
      <w:r w:rsidRPr="001C3EC8">
        <w:rPr>
          <w:color w:val="000000" w:themeColor="text1"/>
        </w:rPr>
        <w:t>9</w:t>
      </w:r>
      <w:bookmarkEnd w:id="383"/>
      <w:bookmarkEnd w:id="384"/>
    </w:p>
    <w:p w14:paraId="7CDC5FBA"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0E7BDFC" wp14:editId="75702E1B">
            <wp:extent cx="5114925" cy="3743325"/>
            <wp:effectExtent l="0" t="0" r="0" b="9525"/>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D514BB2" w14:textId="77777777" w:rsidR="008430BD" w:rsidRPr="001C3EC8" w:rsidRDefault="008430BD" w:rsidP="008430BD">
      <w:pPr>
        <w:rPr>
          <w:color w:val="000000" w:themeColor="text1"/>
        </w:rPr>
      </w:pPr>
    </w:p>
    <w:p w14:paraId="22D1BF83" w14:textId="53D170FA" w:rsidR="008430BD" w:rsidRPr="001C3EC8" w:rsidRDefault="008430BD" w:rsidP="008430BD">
      <w:pPr>
        <w:pStyle w:val="Podnadpis"/>
        <w:rPr>
          <w:color w:val="000000" w:themeColor="text1"/>
        </w:rPr>
      </w:pPr>
      <w:bookmarkStart w:id="385" w:name="_Toc515871465"/>
      <w:bookmarkStart w:id="386" w:name="_Toc11133232"/>
      <w:bookmarkStart w:id="387" w:name="_Toc43931207"/>
      <w:bookmarkStart w:id="388" w:name="_Toc75952340"/>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37</w:t>
      </w:r>
      <w:r w:rsidRPr="001C3EC8">
        <w:rPr>
          <w:noProof/>
          <w:color w:val="000000" w:themeColor="text1"/>
        </w:rPr>
        <w:fldChar w:fldCharType="end"/>
      </w:r>
      <w:r w:rsidRPr="001C3EC8">
        <w:rPr>
          <w:color w:val="000000" w:themeColor="text1"/>
        </w:rPr>
        <w:t>: KS – evidenční počet soudců dle pohlaví a soudů</w:t>
      </w:r>
      <w:bookmarkEnd w:id="385"/>
      <w:bookmarkEnd w:id="386"/>
      <w:bookmarkEnd w:id="387"/>
      <w:bookmarkEnd w:id="388"/>
    </w:p>
    <w:tbl>
      <w:tblPr>
        <w:tblW w:w="6800" w:type="dxa"/>
        <w:tblCellMar>
          <w:left w:w="70" w:type="dxa"/>
          <w:right w:w="70" w:type="dxa"/>
        </w:tblCellMar>
        <w:tblLook w:val="04A0" w:firstRow="1" w:lastRow="0" w:firstColumn="1" w:lastColumn="0" w:noHBand="0" w:noVBand="1"/>
      </w:tblPr>
      <w:tblGrid>
        <w:gridCol w:w="2480"/>
        <w:gridCol w:w="1113"/>
        <w:gridCol w:w="1607"/>
        <w:gridCol w:w="1600"/>
      </w:tblGrid>
      <w:tr w:rsidR="008430BD" w:rsidRPr="001C3EC8" w14:paraId="6A6A267E"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3ACC1E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7596C4E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340CCEE6" w14:textId="340D704D"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žen </w:t>
            </w:r>
            <w:r w:rsidR="00CD2266" w:rsidRPr="001C3EC8">
              <w:rPr>
                <w:rFonts w:eastAsia="Times New Roman"/>
                <w:b/>
                <w:bCs/>
                <w:color w:val="000000" w:themeColor="text1"/>
                <w:szCs w:val="24"/>
                <w:lang w:eastAsia="cs-CZ"/>
              </w:rPr>
              <w:t>v</w:t>
            </w:r>
            <w:r w:rsidR="00CD2266">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5D6B76A1"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0553A0EB"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113" w:type="dxa"/>
            <w:tcBorders>
              <w:top w:val="nil"/>
              <w:left w:val="nil"/>
              <w:bottom w:val="double" w:sz="6" w:space="0" w:color="auto"/>
              <w:right w:val="nil"/>
            </w:tcBorders>
            <w:shd w:val="clear" w:color="auto" w:fill="auto"/>
            <w:noWrap/>
            <w:vAlign w:val="center"/>
            <w:hideMark/>
          </w:tcPr>
          <w:p w14:paraId="7451157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Žen</w:t>
            </w:r>
          </w:p>
        </w:tc>
        <w:tc>
          <w:tcPr>
            <w:tcW w:w="1607" w:type="dxa"/>
            <w:tcBorders>
              <w:top w:val="nil"/>
              <w:left w:val="nil"/>
              <w:bottom w:val="double" w:sz="6" w:space="0" w:color="auto"/>
              <w:right w:val="nil"/>
            </w:tcBorders>
            <w:shd w:val="clear" w:color="auto" w:fill="auto"/>
            <w:noWrap/>
            <w:vAlign w:val="center"/>
            <w:hideMark/>
          </w:tcPr>
          <w:p w14:paraId="65B2262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7E6E02B9"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6FF0A8B5"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EB2EF6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113" w:type="dxa"/>
            <w:tcBorders>
              <w:top w:val="single" w:sz="4" w:space="0" w:color="auto"/>
              <w:left w:val="nil"/>
              <w:bottom w:val="single" w:sz="4" w:space="0" w:color="auto"/>
              <w:right w:val="nil"/>
            </w:tcBorders>
            <w:shd w:val="clear" w:color="auto" w:fill="auto"/>
            <w:noWrap/>
            <w:vAlign w:val="bottom"/>
            <w:hideMark/>
          </w:tcPr>
          <w:p w14:paraId="319738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143</w:t>
            </w:r>
          </w:p>
        </w:tc>
        <w:tc>
          <w:tcPr>
            <w:tcW w:w="1607" w:type="dxa"/>
            <w:tcBorders>
              <w:top w:val="single" w:sz="4" w:space="0" w:color="auto"/>
              <w:left w:val="nil"/>
              <w:bottom w:val="single" w:sz="4" w:space="0" w:color="auto"/>
              <w:right w:val="nil"/>
            </w:tcBorders>
            <w:shd w:val="clear" w:color="auto" w:fill="auto"/>
            <w:noWrap/>
            <w:vAlign w:val="bottom"/>
            <w:hideMark/>
          </w:tcPr>
          <w:p w14:paraId="1159D14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w:t>
            </w:r>
          </w:p>
        </w:tc>
        <w:tc>
          <w:tcPr>
            <w:tcW w:w="1600" w:type="dxa"/>
            <w:tcBorders>
              <w:top w:val="single" w:sz="4" w:space="0" w:color="auto"/>
              <w:left w:val="nil"/>
              <w:bottom w:val="single" w:sz="4" w:space="0" w:color="auto"/>
              <w:right w:val="nil"/>
            </w:tcBorders>
            <w:shd w:val="clear" w:color="auto" w:fill="auto"/>
            <w:noWrap/>
            <w:vAlign w:val="bottom"/>
            <w:hideMark/>
          </w:tcPr>
          <w:p w14:paraId="3DBF536F" w14:textId="301FB99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64,41</w:t>
            </w:r>
          </w:p>
        </w:tc>
      </w:tr>
      <w:tr w:rsidR="008430BD" w:rsidRPr="001C3EC8" w14:paraId="23579C0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E850A5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113" w:type="dxa"/>
            <w:tcBorders>
              <w:top w:val="nil"/>
              <w:left w:val="nil"/>
              <w:bottom w:val="single" w:sz="4" w:space="0" w:color="auto"/>
              <w:right w:val="nil"/>
            </w:tcBorders>
            <w:shd w:val="clear" w:color="auto" w:fill="auto"/>
            <w:noWrap/>
            <w:vAlign w:val="bottom"/>
            <w:hideMark/>
          </w:tcPr>
          <w:p w14:paraId="50EB46C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58</w:t>
            </w:r>
          </w:p>
        </w:tc>
        <w:tc>
          <w:tcPr>
            <w:tcW w:w="1607" w:type="dxa"/>
            <w:tcBorders>
              <w:top w:val="nil"/>
              <w:left w:val="nil"/>
              <w:bottom w:val="single" w:sz="4" w:space="0" w:color="auto"/>
              <w:right w:val="nil"/>
            </w:tcBorders>
            <w:shd w:val="clear" w:color="auto" w:fill="auto"/>
            <w:noWrap/>
            <w:vAlign w:val="bottom"/>
            <w:hideMark/>
          </w:tcPr>
          <w:p w14:paraId="6D066A7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w:t>
            </w:r>
          </w:p>
        </w:tc>
        <w:tc>
          <w:tcPr>
            <w:tcW w:w="1600" w:type="dxa"/>
            <w:tcBorders>
              <w:top w:val="nil"/>
              <w:left w:val="nil"/>
              <w:bottom w:val="single" w:sz="4" w:space="0" w:color="auto"/>
              <w:right w:val="nil"/>
            </w:tcBorders>
            <w:shd w:val="clear" w:color="auto" w:fill="auto"/>
            <w:noWrap/>
            <w:vAlign w:val="bottom"/>
            <w:hideMark/>
          </w:tcPr>
          <w:p w14:paraId="2A308B2A" w14:textId="1F2D278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63,04</w:t>
            </w:r>
          </w:p>
        </w:tc>
      </w:tr>
      <w:tr w:rsidR="008430BD" w:rsidRPr="001C3EC8" w14:paraId="37216C25"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308B2B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113" w:type="dxa"/>
            <w:tcBorders>
              <w:top w:val="nil"/>
              <w:left w:val="nil"/>
              <w:bottom w:val="single" w:sz="4" w:space="0" w:color="auto"/>
              <w:right w:val="nil"/>
            </w:tcBorders>
            <w:shd w:val="clear" w:color="auto" w:fill="auto"/>
            <w:noWrap/>
            <w:vAlign w:val="bottom"/>
            <w:hideMark/>
          </w:tcPr>
          <w:p w14:paraId="2FBD2D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c>
          <w:tcPr>
            <w:tcW w:w="1607" w:type="dxa"/>
            <w:tcBorders>
              <w:top w:val="nil"/>
              <w:left w:val="nil"/>
              <w:bottom w:val="single" w:sz="4" w:space="0" w:color="auto"/>
              <w:right w:val="nil"/>
            </w:tcBorders>
            <w:shd w:val="clear" w:color="auto" w:fill="auto"/>
            <w:noWrap/>
            <w:vAlign w:val="bottom"/>
            <w:hideMark/>
          </w:tcPr>
          <w:p w14:paraId="0780224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p>
        </w:tc>
        <w:tc>
          <w:tcPr>
            <w:tcW w:w="1600" w:type="dxa"/>
            <w:tcBorders>
              <w:top w:val="nil"/>
              <w:left w:val="nil"/>
              <w:bottom w:val="single" w:sz="4" w:space="0" w:color="auto"/>
              <w:right w:val="nil"/>
            </w:tcBorders>
            <w:shd w:val="clear" w:color="auto" w:fill="auto"/>
            <w:noWrap/>
            <w:vAlign w:val="bottom"/>
            <w:hideMark/>
          </w:tcPr>
          <w:p w14:paraId="59AF5A20" w14:textId="7851545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44,64</w:t>
            </w:r>
          </w:p>
        </w:tc>
      </w:tr>
      <w:tr w:rsidR="008430BD" w:rsidRPr="001C3EC8" w14:paraId="1B97745A"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83E9E3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113" w:type="dxa"/>
            <w:tcBorders>
              <w:top w:val="nil"/>
              <w:left w:val="nil"/>
              <w:bottom w:val="single" w:sz="4" w:space="0" w:color="auto"/>
              <w:right w:val="nil"/>
            </w:tcBorders>
            <w:shd w:val="clear" w:color="auto" w:fill="auto"/>
            <w:noWrap/>
            <w:vAlign w:val="bottom"/>
            <w:hideMark/>
          </w:tcPr>
          <w:p w14:paraId="35483E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1607" w:type="dxa"/>
            <w:tcBorders>
              <w:top w:val="nil"/>
              <w:left w:val="nil"/>
              <w:bottom w:val="single" w:sz="4" w:space="0" w:color="auto"/>
              <w:right w:val="nil"/>
            </w:tcBorders>
            <w:shd w:val="clear" w:color="auto" w:fill="auto"/>
            <w:noWrap/>
            <w:vAlign w:val="bottom"/>
            <w:hideMark/>
          </w:tcPr>
          <w:p w14:paraId="2F8460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w:t>
            </w:r>
          </w:p>
        </w:tc>
        <w:tc>
          <w:tcPr>
            <w:tcW w:w="1600" w:type="dxa"/>
            <w:tcBorders>
              <w:top w:val="nil"/>
              <w:left w:val="nil"/>
              <w:bottom w:val="single" w:sz="4" w:space="0" w:color="auto"/>
              <w:right w:val="nil"/>
            </w:tcBorders>
            <w:shd w:val="clear" w:color="auto" w:fill="auto"/>
            <w:noWrap/>
            <w:vAlign w:val="bottom"/>
            <w:hideMark/>
          </w:tcPr>
          <w:p w14:paraId="0485C9B2" w14:textId="2309EDA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56,58</w:t>
            </w:r>
          </w:p>
        </w:tc>
      </w:tr>
      <w:tr w:rsidR="008430BD" w:rsidRPr="001C3EC8" w14:paraId="625A1557"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C576D8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113" w:type="dxa"/>
            <w:tcBorders>
              <w:top w:val="nil"/>
              <w:left w:val="nil"/>
              <w:bottom w:val="single" w:sz="4" w:space="0" w:color="auto"/>
              <w:right w:val="nil"/>
            </w:tcBorders>
            <w:shd w:val="clear" w:color="auto" w:fill="auto"/>
            <w:noWrap/>
            <w:vAlign w:val="bottom"/>
            <w:hideMark/>
          </w:tcPr>
          <w:p w14:paraId="611081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w:t>
            </w:r>
          </w:p>
        </w:tc>
        <w:tc>
          <w:tcPr>
            <w:tcW w:w="1607" w:type="dxa"/>
            <w:tcBorders>
              <w:top w:val="nil"/>
              <w:left w:val="nil"/>
              <w:bottom w:val="single" w:sz="4" w:space="0" w:color="auto"/>
              <w:right w:val="nil"/>
            </w:tcBorders>
            <w:shd w:val="clear" w:color="auto" w:fill="auto"/>
            <w:noWrap/>
            <w:vAlign w:val="bottom"/>
            <w:hideMark/>
          </w:tcPr>
          <w:p w14:paraId="5155EE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w:t>
            </w:r>
          </w:p>
        </w:tc>
        <w:tc>
          <w:tcPr>
            <w:tcW w:w="1600" w:type="dxa"/>
            <w:tcBorders>
              <w:top w:val="nil"/>
              <w:left w:val="nil"/>
              <w:bottom w:val="single" w:sz="4" w:space="0" w:color="auto"/>
              <w:right w:val="nil"/>
            </w:tcBorders>
            <w:shd w:val="clear" w:color="auto" w:fill="auto"/>
            <w:noWrap/>
            <w:vAlign w:val="bottom"/>
            <w:hideMark/>
          </w:tcPr>
          <w:p w14:paraId="68AA24FE" w14:textId="5D27C8B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51,28</w:t>
            </w:r>
          </w:p>
        </w:tc>
      </w:tr>
      <w:tr w:rsidR="008430BD" w:rsidRPr="001C3EC8" w14:paraId="41D486D9"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4F1881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113" w:type="dxa"/>
            <w:tcBorders>
              <w:top w:val="nil"/>
              <w:left w:val="nil"/>
              <w:bottom w:val="single" w:sz="4" w:space="0" w:color="auto"/>
              <w:right w:val="nil"/>
            </w:tcBorders>
            <w:shd w:val="clear" w:color="auto" w:fill="auto"/>
            <w:noWrap/>
            <w:vAlign w:val="bottom"/>
            <w:hideMark/>
          </w:tcPr>
          <w:p w14:paraId="30FFB4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607" w:type="dxa"/>
            <w:tcBorders>
              <w:top w:val="nil"/>
              <w:left w:val="nil"/>
              <w:bottom w:val="single" w:sz="4" w:space="0" w:color="auto"/>
              <w:right w:val="nil"/>
            </w:tcBorders>
            <w:shd w:val="clear" w:color="auto" w:fill="auto"/>
            <w:noWrap/>
            <w:vAlign w:val="bottom"/>
            <w:hideMark/>
          </w:tcPr>
          <w:p w14:paraId="5CC5F9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c>
          <w:tcPr>
            <w:tcW w:w="1600" w:type="dxa"/>
            <w:tcBorders>
              <w:top w:val="nil"/>
              <w:left w:val="nil"/>
              <w:bottom w:val="single" w:sz="4" w:space="0" w:color="auto"/>
              <w:right w:val="nil"/>
            </w:tcBorders>
            <w:shd w:val="clear" w:color="auto" w:fill="auto"/>
            <w:noWrap/>
            <w:vAlign w:val="bottom"/>
            <w:hideMark/>
          </w:tcPr>
          <w:p w14:paraId="31EF3BC3" w14:textId="62C907C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41,67</w:t>
            </w:r>
          </w:p>
        </w:tc>
      </w:tr>
      <w:tr w:rsidR="008430BD" w:rsidRPr="001C3EC8" w14:paraId="3427D3A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14618F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113" w:type="dxa"/>
            <w:tcBorders>
              <w:top w:val="nil"/>
              <w:left w:val="nil"/>
              <w:bottom w:val="single" w:sz="4" w:space="0" w:color="auto"/>
              <w:right w:val="nil"/>
            </w:tcBorders>
            <w:shd w:val="clear" w:color="auto" w:fill="auto"/>
            <w:noWrap/>
            <w:vAlign w:val="bottom"/>
            <w:hideMark/>
          </w:tcPr>
          <w:p w14:paraId="49385E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78</w:t>
            </w:r>
          </w:p>
        </w:tc>
        <w:tc>
          <w:tcPr>
            <w:tcW w:w="1607" w:type="dxa"/>
            <w:tcBorders>
              <w:top w:val="nil"/>
              <w:left w:val="nil"/>
              <w:bottom w:val="single" w:sz="4" w:space="0" w:color="auto"/>
              <w:right w:val="nil"/>
            </w:tcBorders>
            <w:shd w:val="clear" w:color="auto" w:fill="auto"/>
            <w:noWrap/>
            <w:vAlign w:val="bottom"/>
            <w:hideMark/>
          </w:tcPr>
          <w:p w14:paraId="129F51F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w:t>
            </w:r>
          </w:p>
        </w:tc>
        <w:tc>
          <w:tcPr>
            <w:tcW w:w="1600" w:type="dxa"/>
            <w:tcBorders>
              <w:top w:val="nil"/>
              <w:left w:val="nil"/>
              <w:bottom w:val="single" w:sz="4" w:space="0" w:color="auto"/>
              <w:right w:val="nil"/>
            </w:tcBorders>
            <w:shd w:val="clear" w:color="auto" w:fill="auto"/>
            <w:noWrap/>
            <w:vAlign w:val="bottom"/>
            <w:hideMark/>
          </w:tcPr>
          <w:p w14:paraId="05193C38" w14:textId="52AEFA8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47,85</w:t>
            </w:r>
          </w:p>
        </w:tc>
      </w:tr>
      <w:tr w:rsidR="008430BD" w:rsidRPr="001C3EC8" w14:paraId="74520C84"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76EEDCE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113" w:type="dxa"/>
            <w:tcBorders>
              <w:top w:val="nil"/>
              <w:left w:val="nil"/>
              <w:bottom w:val="double" w:sz="6" w:space="0" w:color="auto"/>
              <w:right w:val="nil"/>
            </w:tcBorders>
            <w:shd w:val="clear" w:color="auto" w:fill="auto"/>
            <w:noWrap/>
            <w:vAlign w:val="bottom"/>
            <w:hideMark/>
          </w:tcPr>
          <w:p w14:paraId="449D1E6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72</w:t>
            </w:r>
          </w:p>
        </w:tc>
        <w:tc>
          <w:tcPr>
            <w:tcW w:w="1607" w:type="dxa"/>
            <w:tcBorders>
              <w:top w:val="nil"/>
              <w:left w:val="nil"/>
              <w:bottom w:val="double" w:sz="6" w:space="0" w:color="auto"/>
              <w:right w:val="nil"/>
            </w:tcBorders>
            <w:shd w:val="clear" w:color="auto" w:fill="auto"/>
            <w:noWrap/>
            <w:vAlign w:val="bottom"/>
            <w:hideMark/>
          </w:tcPr>
          <w:p w14:paraId="5AA312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w:t>
            </w:r>
          </w:p>
        </w:tc>
        <w:tc>
          <w:tcPr>
            <w:tcW w:w="1600" w:type="dxa"/>
            <w:tcBorders>
              <w:top w:val="nil"/>
              <w:left w:val="nil"/>
              <w:bottom w:val="double" w:sz="6" w:space="0" w:color="auto"/>
              <w:right w:val="nil"/>
            </w:tcBorders>
            <w:shd w:val="clear" w:color="auto" w:fill="auto"/>
            <w:noWrap/>
            <w:vAlign w:val="bottom"/>
            <w:hideMark/>
          </w:tcPr>
          <w:p w14:paraId="3D1BF350" w14:textId="392E281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51,43</w:t>
            </w:r>
          </w:p>
        </w:tc>
      </w:tr>
      <w:tr w:rsidR="008430BD" w:rsidRPr="001C3EC8" w14:paraId="3F4545F9"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0AB71699"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113" w:type="dxa"/>
            <w:tcBorders>
              <w:top w:val="nil"/>
              <w:left w:val="nil"/>
              <w:bottom w:val="double" w:sz="6" w:space="0" w:color="auto"/>
              <w:right w:val="nil"/>
            </w:tcBorders>
            <w:shd w:val="clear" w:color="auto" w:fill="auto"/>
            <w:noWrap/>
            <w:vAlign w:val="bottom"/>
            <w:hideMark/>
          </w:tcPr>
          <w:p w14:paraId="2CEA9BC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514</w:t>
            </w:r>
          </w:p>
        </w:tc>
        <w:tc>
          <w:tcPr>
            <w:tcW w:w="1607" w:type="dxa"/>
            <w:tcBorders>
              <w:top w:val="nil"/>
              <w:left w:val="nil"/>
              <w:bottom w:val="double" w:sz="6" w:space="0" w:color="auto"/>
              <w:right w:val="nil"/>
            </w:tcBorders>
            <w:shd w:val="clear" w:color="auto" w:fill="auto"/>
            <w:noWrap/>
            <w:vAlign w:val="bottom"/>
            <w:hideMark/>
          </w:tcPr>
          <w:p w14:paraId="3F6659D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436</w:t>
            </w:r>
          </w:p>
        </w:tc>
        <w:tc>
          <w:tcPr>
            <w:tcW w:w="1600" w:type="dxa"/>
            <w:tcBorders>
              <w:top w:val="nil"/>
              <w:left w:val="nil"/>
              <w:bottom w:val="double" w:sz="6" w:space="0" w:color="auto"/>
              <w:right w:val="nil"/>
            </w:tcBorders>
            <w:shd w:val="clear" w:color="auto" w:fill="auto"/>
            <w:noWrap/>
            <w:vAlign w:val="bottom"/>
            <w:hideMark/>
          </w:tcPr>
          <w:p w14:paraId="54904F76" w14:textId="5BABBA1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54,11</w:t>
            </w:r>
          </w:p>
        </w:tc>
      </w:tr>
    </w:tbl>
    <w:p w14:paraId="5F9A2EB5" w14:textId="77777777" w:rsidR="008430BD" w:rsidRPr="001C3EC8" w:rsidRDefault="008430BD" w:rsidP="008430BD">
      <w:pPr>
        <w:rPr>
          <w:color w:val="000000" w:themeColor="text1"/>
        </w:rPr>
      </w:pPr>
    </w:p>
    <w:p w14:paraId="38FEBA02" w14:textId="77777777" w:rsidR="008430BD" w:rsidRPr="001C3EC8" w:rsidRDefault="008430BD" w:rsidP="008430BD">
      <w:pPr>
        <w:pStyle w:val="OdstavecASR"/>
        <w:rPr>
          <w:color w:val="000000" w:themeColor="text1"/>
        </w:rPr>
      </w:pPr>
      <w:r w:rsidRPr="001C3EC8">
        <w:rPr>
          <w:color w:val="000000" w:themeColor="text1"/>
        </w:rPr>
        <w:t>Z dat můžeme vyvodit několik zajímavých závěrů:</w:t>
      </w:r>
    </w:p>
    <w:p w14:paraId="1F32B9EB" w14:textId="77777777" w:rsidR="008430BD" w:rsidRPr="001C3EC8" w:rsidRDefault="008430BD" w:rsidP="008430BD">
      <w:pPr>
        <w:pStyle w:val="OdstavecASR"/>
        <w:numPr>
          <w:ilvl w:val="0"/>
          <w:numId w:val="14"/>
        </w:numPr>
        <w:rPr>
          <w:color w:val="000000" w:themeColor="text1"/>
        </w:rPr>
      </w:pPr>
      <w:r w:rsidRPr="001C3EC8">
        <w:rPr>
          <w:color w:val="000000" w:themeColor="text1"/>
        </w:rPr>
        <w:t>Stejně jako u OS působí i u krajských soudů více soudkyň než soudců. Podíl žen je ale nižší než u okresních soudů (67,05 %, viz tabulka č. 2). Jak uvidíme níže, tento jev se dále prohlubuje nejen s každým dalším rokem, ale také s každým dalším stupněm soudní soustavy, což ukazuje, že soudnictví v současné době zřejmě stále nenabízí stejné příležitosti mužům a ženám.</w:t>
      </w:r>
    </w:p>
    <w:p w14:paraId="78132204" w14:textId="02BFB54D" w:rsidR="008430BD" w:rsidRPr="001C3EC8" w:rsidRDefault="008430BD" w:rsidP="008430BD">
      <w:pPr>
        <w:pStyle w:val="OdstavecASR"/>
        <w:numPr>
          <w:ilvl w:val="0"/>
          <w:numId w:val="14"/>
        </w:numPr>
        <w:rPr>
          <w:color w:val="000000" w:themeColor="text1"/>
        </w:rPr>
      </w:pPr>
      <w:r w:rsidRPr="001C3EC8">
        <w:rPr>
          <w:color w:val="000000" w:themeColor="text1"/>
        </w:rPr>
        <w:lastRenderedPageBreak/>
        <w:t>Rozdíly mezi soudy jsou výrazně větší než u okresních soudů. Nejvyšší podíl žen mezi soudci má KS Praha (64 %) a nejnižší KS Hradec Králové (42 %), což je o </w:t>
      </w:r>
      <w:proofErr w:type="gramStart"/>
      <w:r w:rsidRPr="001C3EC8">
        <w:rPr>
          <w:color w:val="000000" w:themeColor="text1"/>
        </w:rPr>
        <w:t>22 procentních</w:t>
      </w:r>
      <w:proofErr w:type="gramEnd"/>
      <w:r w:rsidRPr="001C3EC8">
        <w:rPr>
          <w:color w:val="000000" w:themeColor="text1"/>
        </w:rPr>
        <w:t xml:space="preserve"> bodů méně.</w:t>
      </w:r>
    </w:p>
    <w:p w14:paraId="110CF5C2" w14:textId="5ED684BA" w:rsidR="008430BD" w:rsidRPr="001C3EC8" w:rsidRDefault="008430BD" w:rsidP="008430BD">
      <w:pPr>
        <w:pStyle w:val="OdstavecASR"/>
        <w:numPr>
          <w:ilvl w:val="0"/>
          <w:numId w:val="14"/>
        </w:numPr>
        <w:rPr>
          <w:color w:val="000000" w:themeColor="text1"/>
        </w:rPr>
      </w:pPr>
      <w:r w:rsidRPr="001C3EC8">
        <w:rPr>
          <w:color w:val="000000" w:themeColor="text1"/>
        </w:rPr>
        <w:t xml:space="preserve">Podíl žen v krajském soudnictví velmi zvolna klesá. V roce 2008 byl podíl žen kolem 60 %, v roce 2020 je již </w:t>
      </w:r>
      <w:r w:rsidR="00CD2266" w:rsidRPr="001C3EC8">
        <w:rPr>
          <w:color w:val="000000" w:themeColor="text1"/>
        </w:rPr>
        <w:t>o</w:t>
      </w:r>
      <w:r w:rsidR="00CD2266">
        <w:rPr>
          <w:color w:val="000000" w:themeColor="text1"/>
        </w:rPr>
        <w:t> </w:t>
      </w:r>
      <w:r w:rsidRPr="001C3EC8">
        <w:rPr>
          <w:color w:val="000000" w:themeColor="text1"/>
        </w:rPr>
        <w:t xml:space="preserve">šest procentních bodů nižší (v průběhu roku 2017 odešlo 10 soudkyň a přišlo 12 soudců krajských soudů, v roce 2018 odešly další 4 soudkyně a přibylo 10 nových soudců krajských soudů, v roce 2019 ubylo 10 soudkyň </w:t>
      </w:r>
      <w:r w:rsidR="00CD2266" w:rsidRPr="001C3EC8">
        <w:rPr>
          <w:color w:val="000000" w:themeColor="text1"/>
        </w:rPr>
        <w:t>a</w:t>
      </w:r>
      <w:r w:rsidR="00CD2266">
        <w:rPr>
          <w:color w:val="000000" w:themeColor="text1"/>
        </w:rPr>
        <w:t> </w:t>
      </w:r>
      <w:r w:rsidRPr="001C3EC8">
        <w:rPr>
          <w:color w:val="000000" w:themeColor="text1"/>
        </w:rPr>
        <w:t xml:space="preserve">přibyli 2 soudci </w:t>
      </w:r>
      <w:r w:rsidR="00CD2266" w:rsidRPr="001C3EC8">
        <w:rPr>
          <w:color w:val="000000" w:themeColor="text1"/>
        </w:rPr>
        <w:t>a</w:t>
      </w:r>
      <w:r w:rsidR="00CD2266">
        <w:rPr>
          <w:color w:val="000000" w:themeColor="text1"/>
        </w:rPr>
        <w:t> </w:t>
      </w:r>
      <w:r w:rsidRPr="001C3EC8">
        <w:rPr>
          <w:color w:val="000000" w:themeColor="text1"/>
        </w:rPr>
        <w:t xml:space="preserve">v roce 2020 ubyly </w:t>
      </w:r>
      <w:r w:rsidR="00CD2266" w:rsidRPr="001C3EC8">
        <w:rPr>
          <w:color w:val="000000" w:themeColor="text1"/>
        </w:rPr>
        <w:t>2</w:t>
      </w:r>
      <w:r w:rsidR="00CD2266">
        <w:rPr>
          <w:color w:val="000000" w:themeColor="text1"/>
        </w:rPr>
        <w:t> </w:t>
      </w:r>
      <w:r w:rsidRPr="001C3EC8">
        <w:rPr>
          <w:color w:val="000000" w:themeColor="text1"/>
        </w:rPr>
        <w:t xml:space="preserve">soudkyně </w:t>
      </w:r>
      <w:r w:rsidR="00CD2266" w:rsidRPr="001C3EC8">
        <w:rPr>
          <w:color w:val="000000" w:themeColor="text1"/>
        </w:rPr>
        <w:t>a</w:t>
      </w:r>
      <w:r w:rsidR="00CD2266">
        <w:rPr>
          <w:color w:val="000000" w:themeColor="text1"/>
        </w:rPr>
        <w:t> </w:t>
      </w:r>
      <w:r w:rsidRPr="001C3EC8">
        <w:rPr>
          <w:color w:val="000000" w:themeColor="text1"/>
        </w:rPr>
        <w:t xml:space="preserve">přibylo </w:t>
      </w:r>
      <w:r w:rsidR="00CD2266" w:rsidRPr="001C3EC8">
        <w:rPr>
          <w:color w:val="000000" w:themeColor="text1"/>
        </w:rPr>
        <w:t>5</w:t>
      </w:r>
      <w:r w:rsidR="00CD2266">
        <w:rPr>
          <w:color w:val="000000" w:themeColor="text1"/>
        </w:rPr>
        <w:t> </w:t>
      </w:r>
      <w:r w:rsidRPr="001C3EC8">
        <w:rPr>
          <w:color w:val="000000" w:themeColor="text1"/>
        </w:rPr>
        <w:t>soudců). Analýza příčin této skutečnosti by překročila rámec této zprávy.</w:t>
      </w:r>
    </w:p>
    <w:p w14:paraId="393CC228" w14:textId="77777777" w:rsidR="008430BD" w:rsidRPr="001C3EC8" w:rsidRDefault="008430BD" w:rsidP="008430BD">
      <w:pPr>
        <w:pStyle w:val="OdstavecASR"/>
        <w:rPr>
          <w:color w:val="000000" w:themeColor="text1"/>
        </w:rPr>
      </w:pPr>
      <w:r w:rsidRPr="001C3EC8">
        <w:rPr>
          <w:color w:val="000000" w:themeColor="text1"/>
        </w:rPr>
        <w:t>Dále uvádíme data ohledně věku soudců.</w:t>
      </w:r>
    </w:p>
    <w:p w14:paraId="6AF15896" w14:textId="5BB9D0AC" w:rsidR="008430BD" w:rsidRPr="001C3EC8" w:rsidRDefault="008430BD" w:rsidP="008430BD">
      <w:pPr>
        <w:pStyle w:val="Podnadpis"/>
        <w:rPr>
          <w:color w:val="000000" w:themeColor="text1"/>
        </w:rPr>
      </w:pPr>
      <w:bookmarkStart w:id="389" w:name="_Toc11135110"/>
      <w:bookmarkStart w:id="390" w:name="_Toc43841429"/>
      <w:bookmarkStart w:id="391" w:name="_Toc75952233"/>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53</w:t>
      </w:r>
      <w:r w:rsidRPr="001C3EC8">
        <w:rPr>
          <w:noProof/>
          <w:color w:val="000000" w:themeColor="text1"/>
        </w:rPr>
        <w:fldChar w:fldCharType="end"/>
      </w:r>
      <w:r w:rsidRPr="001C3EC8">
        <w:rPr>
          <w:color w:val="000000" w:themeColor="text1"/>
        </w:rPr>
        <w:t>: KS – věkové složení soudců v letech 2008–20</w:t>
      </w:r>
      <w:bookmarkEnd w:id="389"/>
      <w:bookmarkEnd w:id="390"/>
      <w:r w:rsidRPr="001C3EC8">
        <w:rPr>
          <w:color w:val="000000" w:themeColor="text1"/>
        </w:rPr>
        <w:t>20</w:t>
      </w:r>
      <w:bookmarkEnd w:id="391"/>
    </w:p>
    <w:p w14:paraId="47E06D73"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6BA5BF89" wp14:editId="50B1E32E">
            <wp:extent cx="5114925" cy="3743325"/>
            <wp:effectExtent l="0" t="0" r="0" b="9525"/>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7D3B178" w14:textId="77777777" w:rsidR="008430BD" w:rsidRPr="001C3EC8" w:rsidRDefault="008430BD" w:rsidP="008430BD">
      <w:pPr>
        <w:rPr>
          <w:color w:val="000000" w:themeColor="text1"/>
        </w:rPr>
      </w:pPr>
    </w:p>
    <w:p w14:paraId="5F4BF028" w14:textId="77777777" w:rsidR="008430BD" w:rsidRPr="001C3EC8" w:rsidRDefault="008430BD" w:rsidP="008430BD">
      <w:pPr>
        <w:spacing w:line="240" w:lineRule="auto"/>
        <w:jc w:val="left"/>
        <w:rPr>
          <w:rFonts w:eastAsia="Times New Roman"/>
          <w:b/>
          <w:iCs/>
          <w:color w:val="000000" w:themeColor="text1"/>
          <w:spacing w:val="15"/>
          <w:szCs w:val="24"/>
        </w:rPr>
      </w:pPr>
      <w:bookmarkStart w:id="392" w:name="_Toc515871466"/>
      <w:bookmarkStart w:id="393" w:name="_Toc11133233"/>
      <w:bookmarkStart w:id="394" w:name="_Toc43931208"/>
      <w:r w:rsidRPr="001C3EC8">
        <w:rPr>
          <w:color w:val="000000" w:themeColor="text1"/>
        </w:rPr>
        <w:br w:type="page"/>
      </w:r>
    </w:p>
    <w:p w14:paraId="7F4904C5" w14:textId="0CA64C60" w:rsidR="008430BD" w:rsidRPr="001C3EC8" w:rsidRDefault="008430BD" w:rsidP="008430BD">
      <w:pPr>
        <w:pStyle w:val="Podnadpis"/>
        <w:rPr>
          <w:color w:val="000000" w:themeColor="text1"/>
        </w:rPr>
      </w:pPr>
      <w:bookmarkStart w:id="395" w:name="_Toc75952341"/>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38</w:t>
      </w:r>
      <w:r w:rsidRPr="001C3EC8">
        <w:rPr>
          <w:noProof/>
          <w:color w:val="000000" w:themeColor="text1"/>
        </w:rPr>
        <w:fldChar w:fldCharType="end"/>
      </w:r>
      <w:r w:rsidRPr="001C3EC8">
        <w:rPr>
          <w:color w:val="000000" w:themeColor="text1"/>
        </w:rPr>
        <w:t>: KS – věková struktura soudců dle krajů</w:t>
      </w:r>
      <w:bookmarkEnd w:id="392"/>
      <w:bookmarkEnd w:id="393"/>
      <w:bookmarkEnd w:id="394"/>
      <w:bookmarkEnd w:id="395"/>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8430BD" w:rsidRPr="001C3EC8" w14:paraId="1D285377"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F48FC64" w14:textId="0F9DBC96"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441" w:type="dxa"/>
            <w:gridSpan w:val="4"/>
            <w:tcBorders>
              <w:top w:val="double" w:sz="6" w:space="0" w:color="auto"/>
              <w:left w:val="nil"/>
              <w:bottom w:val="nil"/>
              <w:right w:val="nil"/>
            </w:tcBorders>
            <w:shd w:val="clear" w:color="auto" w:fill="auto"/>
            <w:noWrap/>
            <w:vAlign w:val="center"/>
            <w:hideMark/>
          </w:tcPr>
          <w:p w14:paraId="1E0767D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Podíl na celkovém počtu soudců dle věku</w:t>
            </w:r>
          </w:p>
        </w:tc>
      </w:tr>
      <w:tr w:rsidR="008430BD" w:rsidRPr="001C3EC8" w14:paraId="590395D4"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2F16CF54"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191C8DD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777AB0D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38DF47B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68CE9A5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61 až 70 let</w:t>
            </w:r>
          </w:p>
        </w:tc>
      </w:tr>
      <w:tr w:rsidR="008430BD" w:rsidRPr="001C3EC8" w14:paraId="07083D53"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997D5E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50F520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4,82</w:t>
            </w:r>
          </w:p>
        </w:tc>
        <w:tc>
          <w:tcPr>
            <w:tcW w:w="1355" w:type="dxa"/>
            <w:tcBorders>
              <w:top w:val="single" w:sz="4" w:space="0" w:color="auto"/>
              <w:left w:val="nil"/>
              <w:bottom w:val="single" w:sz="4" w:space="0" w:color="auto"/>
              <w:right w:val="nil"/>
            </w:tcBorders>
            <w:shd w:val="clear" w:color="auto" w:fill="auto"/>
            <w:noWrap/>
            <w:vAlign w:val="bottom"/>
            <w:hideMark/>
          </w:tcPr>
          <w:p w14:paraId="66E17A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29,39</w:t>
            </w:r>
          </w:p>
        </w:tc>
        <w:tc>
          <w:tcPr>
            <w:tcW w:w="1355" w:type="dxa"/>
            <w:tcBorders>
              <w:top w:val="single" w:sz="4" w:space="0" w:color="auto"/>
              <w:left w:val="nil"/>
              <w:bottom w:val="single" w:sz="4" w:space="0" w:color="auto"/>
              <w:right w:val="nil"/>
            </w:tcBorders>
            <w:shd w:val="clear" w:color="auto" w:fill="auto"/>
            <w:noWrap/>
            <w:vAlign w:val="bottom"/>
            <w:hideMark/>
          </w:tcPr>
          <w:p w14:paraId="732C2E7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35,96</w:t>
            </w:r>
          </w:p>
        </w:tc>
        <w:tc>
          <w:tcPr>
            <w:tcW w:w="1355" w:type="dxa"/>
            <w:tcBorders>
              <w:top w:val="single" w:sz="4" w:space="0" w:color="auto"/>
              <w:left w:val="nil"/>
              <w:bottom w:val="single" w:sz="4" w:space="0" w:color="auto"/>
              <w:right w:val="nil"/>
            </w:tcBorders>
            <w:shd w:val="clear" w:color="auto" w:fill="auto"/>
            <w:noWrap/>
            <w:vAlign w:val="bottom"/>
            <w:hideMark/>
          </w:tcPr>
          <w:p w14:paraId="010063F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29,82</w:t>
            </w:r>
          </w:p>
        </w:tc>
      </w:tr>
      <w:tr w:rsidR="008430BD" w:rsidRPr="001C3EC8" w14:paraId="5E900DA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22541E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4A5E8C2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14,43</w:t>
            </w:r>
          </w:p>
        </w:tc>
        <w:tc>
          <w:tcPr>
            <w:tcW w:w="1355" w:type="dxa"/>
            <w:tcBorders>
              <w:top w:val="nil"/>
              <w:left w:val="nil"/>
              <w:bottom w:val="single" w:sz="4" w:space="0" w:color="auto"/>
              <w:right w:val="nil"/>
            </w:tcBorders>
            <w:shd w:val="clear" w:color="auto" w:fill="auto"/>
            <w:noWrap/>
            <w:vAlign w:val="bottom"/>
            <w:hideMark/>
          </w:tcPr>
          <w:p w14:paraId="2833AA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27,84</w:t>
            </w:r>
          </w:p>
        </w:tc>
        <w:tc>
          <w:tcPr>
            <w:tcW w:w="1355" w:type="dxa"/>
            <w:tcBorders>
              <w:top w:val="nil"/>
              <w:left w:val="nil"/>
              <w:bottom w:val="single" w:sz="4" w:space="0" w:color="auto"/>
              <w:right w:val="nil"/>
            </w:tcBorders>
            <w:shd w:val="clear" w:color="auto" w:fill="auto"/>
            <w:noWrap/>
            <w:vAlign w:val="bottom"/>
            <w:hideMark/>
          </w:tcPr>
          <w:p w14:paraId="6111A3E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37,11</w:t>
            </w:r>
          </w:p>
        </w:tc>
        <w:tc>
          <w:tcPr>
            <w:tcW w:w="1355" w:type="dxa"/>
            <w:tcBorders>
              <w:top w:val="nil"/>
              <w:left w:val="nil"/>
              <w:bottom w:val="single" w:sz="4" w:space="0" w:color="auto"/>
              <w:right w:val="nil"/>
            </w:tcBorders>
            <w:shd w:val="clear" w:color="auto" w:fill="auto"/>
            <w:noWrap/>
            <w:vAlign w:val="bottom"/>
            <w:hideMark/>
          </w:tcPr>
          <w:p w14:paraId="7CC9A37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20,62</w:t>
            </w:r>
          </w:p>
        </w:tc>
      </w:tr>
      <w:tr w:rsidR="008430BD" w:rsidRPr="001C3EC8" w14:paraId="4890A4D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76987C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068AC6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10,53</w:t>
            </w:r>
          </w:p>
        </w:tc>
        <w:tc>
          <w:tcPr>
            <w:tcW w:w="1355" w:type="dxa"/>
            <w:tcBorders>
              <w:top w:val="nil"/>
              <w:left w:val="nil"/>
              <w:bottom w:val="single" w:sz="4" w:space="0" w:color="auto"/>
              <w:right w:val="nil"/>
            </w:tcBorders>
            <w:shd w:val="clear" w:color="auto" w:fill="auto"/>
            <w:noWrap/>
            <w:vAlign w:val="bottom"/>
            <w:hideMark/>
          </w:tcPr>
          <w:p w14:paraId="14F36A4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29,82</w:t>
            </w:r>
          </w:p>
        </w:tc>
        <w:tc>
          <w:tcPr>
            <w:tcW w:w="1355" w:type="dxa"/>
            <w:tcBorders>
              <w:top w:val="nil"/>
              <w:left w:val="nil"/>
              <w:bottom w:val="single" w:sz="4" w:space="0" w:color="auto"/>
              <w:right w:val="nil"/>
            </w:tcBorders>
            <w:shd w:val="clear" w:color="auto" w:fill="auto"/>
            <w:noWrap/>
            <w:vAlign w:val="bottom"/>
            <w:hideMark/>
          </w:tcPr>
          <w:p w14:paraId="59400FE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33,33</w:t>
            </w:r>
          </w:p>
        </w:tc>
        <w:tc>
          <w:tcPr>
            <w:tcW w:w="1355" w:type="dxa"/>
            <w:tcBorders>
              <w:top w:val="nil"/>
              <w:left w:val="nil"/>
              <w:bottom w:val="single" w:sz="4" w:space="0" w:color="auto"/>
              <w:right w:val="nil"/>
            </w:tcBorders>
            <w:shd w:val="clear" w:color="auto" w:fill="auto"/>
            <w:noWrap/>
            <w:vAlign w:val="bottom"/>
            <w:hideMark/>
          </w:tcPr>
          <w:p w14:paraId="09B039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26,32</w:t>
            </w:r>
          </w:p>
        </w:tc>
      </w:tr>
      <w:tr w:rsidR="008430BD" w:rsidRPr="001C3EC8" w14:paraId="7412A60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010911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469BEA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w:t>
            </w:r>
          </w:p>
        </w:tc>
        <w:tc>
          <w:tcPr>
            <w:tcW w:w="1355" w:type="dxa"/>
            <w:tcBorders>
              <w:top w:val="nil"/>
              <w:left w:val="nil"/>
              <w:bottom w:val="single" w:sz="4" w:space="0" w:color="auto"/>
              <w:right w:val="nil"/>
            </w:tcBorders>
            <w:shd w:val="clear" w:color="auto" w:fill="auto"/>
            <w:noWrap/>
            <w:vAlign w:val="bottom"/>
            <w:hideMark/>
          </w:tcPr>
          <w:p w14:paraId="668184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33,75</w:t>
            </w:r>
          </w:p>
        </w:tc>
        <w:tc>
          <w:tcPr>
            <w:tcW w:w="1355" w:type="dxa"/>
            <w:tcBorders>
              <w:top w:val="nil"/>
              <w:left w:val="nil"/>
              <w:bottom w:val="single" w:sz="4" w:space="0" w:color="auto"/>
              <w:right w:val="nil"/>
            </w:tcBorders>
            <w:shd w:val="clear" w:color="auto" w:fill="auto"/>
            <w:noWrap/>
            <w:vAlign w:val="bottom"/>
            <w:hideMark/>
          </w:tcPr>
          <w:p w14:paraId="11BC70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32,50</w:t>
            </w:r>
          </w:p>
        </w:tc>
        <w:tc>
          <w:tcPr>
            <w:tcW w:w="1355" w:type="dxa"/>
            <w:tcBorders>
              <w:top w:val="nil"/>
              <w:left w:val="nil"/>
              <w:bottom w:val="single" w:sz="4" w:space="0" w:color="auto"/>
              <w:right w:val="nil"/>
            </w:tcBorders>
            <w:shd w:val="clear" w:color="auto" w:fill="auto"/>
            <w:noWrap/>
            <w:vAlign w:val="bottom"/>
            <w:hideMark/>
          </w:tcPr>
          <w:p w14:paraId="054646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28,75</w:t>
            </w:r>
          </w:p>
        </w:tc>
      </w:tr>
      <w:tr w:rsidR="008430BD" w:rsidRPr="001C3EC8" w14:paraId="60208E5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A7931F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667DAF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6,84</w:t>
            </w:r>
          </w:p>
        </w:tc>
        <w:tc>
          <w:tcPr>
            <w:tcW w:w="1355" w:type="dxa"/>
            <w:tcBorders>
              <w:top w:val="nil"/>
              <w:left w:val="nil"/>
              <w:bottom w:val="single" w:sz="4" w:space="0" w:color="auto"/>
              <w:right w:val="nil"/>
            </w:tcBorders>
            <w:shd w:val="clear" w:color="auto" w:fill="auto"/>
            <w:noWrap/>
            <w:vAlign w:val="bottom"/>
            <w:hideMark/>
          </w:tcPr>
          <w:p w14:paraId="7ECAA5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51,28</w:t>
            </w:r>
          </w:p>
        </w:tc>
        <w:tc>
          <w:tcPr>
            <w:tcW w:w="1355" w:type="dxa"/>
            <w:tcBorders>
              <w:top w:val="nil"/>
              <w:left w:val="nil"/>
              <w:bottom w:val="single" w:sz="4" w:space="0" w:color="auto"/>
              <w:right w:val="nil"/>
            </w:tcBorders>
            <w:shd w:val="clear" w:color="auto" w:fill="auto"/>
            <w:noWrap/>
            <w:vAlign w:val="bottom"/>
            <w:hideMark/>
          </w:tcPr>
          <w:p w14:paraId="3F43699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29,06</w:t>
            </w:r>
          </w:p>
        </w:tc>
        <w:tc>
          <w:tcPr>
            <w:tcW w:w="1355" w:type="dxa"/>
            <w:tcBorders>
              <w:top w:val="nil"/>
              <w:left w:val="nil"/>
              <w:bottom w:val="single" w:sz="4" w:space="0" w:color="auto"/>
              <w:right w:val="nil"/>
            </w:tcBorders>
            <w:shd w:val="clear" w:color="auto" w:fill="auto"/>
            <w:noWrap/>
            <w:vAlign w:val="bottom"/>
            <w:hideMark/>
          </w:tcPr>
          <w:p w14:paraId="1835B9A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12,82</w:t>
            </w:r>
          </w:p>
        </w:tc>
      </w:tr>
      <w:tr w:rsidR="008430BD" w:rsidRPr="001C3EC8" w14:paraId="66B77B1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C027D4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668D9B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6,17</w:t>
            </w:r>
          </w:p>
        </w:tc>
        <w:tc>
          <w:tcPr>
            <w:tcW w:w="1355" w:type="dxa"/>
            <w:tcBorders>
              <w:top w:val="nil"/>
              <w:left w:val="nil"/>
              <w:bottom w:val="single" w:sz="4" w:space="0" w:color="auto"/>
              <w:right w:val="nil"/>
            </w:tcBorders>
            <w:shd w:val="clear" w:color="auto" w:fill="auto"/>
            <w:noWrap/>
            <w:vAlign w:val="bottom"/>
            <w:hideMark/>
          </w:tcPr>
          <w:p w14:paraId="61968E3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25,93</w:t>
            </w:r>
          </w:p>
        </w:tc>
        <w:tc>
          <w:tcPr>
            <w:tcW w:w="1355" w:type="dxa"/>
            <w:tcBorders>
              <w:top w:val="nil"/>
              <w:left w:val="nil"/>
              <w:bottom w:val="single" w:sz="4" w:space="0" w:color="auto"/>
              <w:right w:val="nil"/>
            </w:tcBorders>
            <w:shd w:val="clear" w:color="auto" w:fill="auto"/>
            <w:noWrap/>
            <w:vAlign w:val="bottom"/>
            <w:hideMark/>
          </w:tcPr>
          <w:p w14:paraId="67DA2A0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41,98</w:t>
            </w:r>
          </w:p>
        </w:tc>
        <w:tc>
          <w:tcPr>
            <w:tcW w:w="1355" w:type="dxa"/>
            <w:tcBorders>
              <w:top w:val="nil"/>
              <w:left w:val="nil"/>
              <w:bottom w:val="single" w:sz="4" w:space="0" w:color="auto"/>
              <w:right w:val="nil"/>
            </w:tcBorders>
            <w:shd w:val="clear" w:color="auto" w:fill="auto"/>
            <w:noWrap/>
            <w:vAlign w:val="bottom"/>
            <w:hideMark/>
          </w:tcPr>
          <w:p w14:paraId="378AE67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25,93</w:t>
            </w:r>
          </w:p>
        </w:tc>
      </w:tr>
      <w:tr w:rsidR="008430BD" w:rsidRPr="001C3EC8" w14:paraId="36EE4F31"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7F99C0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2DE3E31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6,25</w:t>
            </w:r>
          </w:p>
        </w:tc>
        <w:tc>
          <w:tcPr>
            <w:tcW w:w="1355" w:type="dxa"/>
            <w:tcBorders>
              <w:top w:val="nil"/>
              <w:left w:val="nil"/>
              <w:bottom w:val="single" w:sz="4" w:space="0" w:color="auto"/>
              <w:right w:val="nil"/>
            </w:tcBorders>
            <w:shd w:val="clear" w:color="auto" w:fill="auto"/>
            <w:noWrap/>
            <w:vAlign w:val="bottom"/>
            <w:hideMark/>
          </w:tcPr>
          <w:p w14:paraId="1A8B5FF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34,38</w:t>
            </w:r>
          </w:p>
        </w:tc>
        <w:tc>
          <w:tcPr>
            <w:tcW w:w="1355" w:type="dxa"/>
            <w:tcBorders>
              <w:top w:val="nil"/>
              <w:left w:val="nil"/>
              <w:bottom w:val="single" w:sz="4" w:space="0" w:color="auto"/>
              <w:right w:val="nil"/>
            </w:tcBorders>
            <w:shd w:val="clear" w:color="auto" w:fill="auto"/>
            <w:noWrap/>
            <w:vAlign w:val="bottom"/>
            <w:hideMark/>
          </w:tcPr>
          <w:p w14:paraId="6FEE52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38,13</w:t>
            </w:r>
          </w:p>
        </w:tc>
        <w:tc>
          <w:tcPr>
            <w:tcW w:w="1355" w:type="dxa"/>
            <w:tcBorders>
              <w:top w:val="nil"/>
              <w:left w:val="nil"/>
              <w:bottom w:val="single" w:sz="4" w:space="0" w:color="auto"/>
              <w:right w:val="nil"/>
            </w:tcBorders>
            <w:shd w:val="clear" w:color="auto" w:fill="auto"/>
            <w:noWrap/>
            <w:vAlign w:val="bottom"/>
            <w:hideMark/>
          </w:tcPr>
          <w:p w14:paraId="24CF11E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21,25</w:t>
            </w:r>
          </w:p>
        </w:tc>
      </w:tr>
      <w:tr w:rsidR="008430BD" w:rsidRPr="001C3EC8" w14:paraId="02CA48E6"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6F60CBD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6F78C40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3,55</w:t>
            </w:r>
          </w:p>
        </w:tc>
        <w:tc>
          <w:tcPr>
            <w:tcW w:w="1355" w:type="dxa"/>
            <w:tcBorders>
              <w:top w:val="nil"/>
              <w:left w:val="nil"/>
              <w:bottom w:val="double" w:sz="6" w:space="0" w:color="auto"/>
              <w:right w:val="nil"/>
            </w:tcBorders>
            <w:shd w:val="clear" w:color="auto" w:fill="auto"/>
            <w:noWrap/>
            <w:vAlign w:val="bottom"/>
            <w:hideMark/>
          </w:tcPr>
          <w:p w14:paraId="07063BE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43,26</w:t>
            </w:r>
          </w:p>
        </w:tc>
        <w:tc>
          <w:tcPr>
            <w:tcW w:w="1355" w:type="dxa"/>
            <w:tcBorders>
              <w:top w:val="nil"/>
              <w:left w:val="nil"/>
              <w:bottom w:val="double" w:sz="6" w:space="0" w:color="auto"/>
              <w:right w:val="nil"/>
            </w:tcBorders>
            <w:shd w:val="clear" w:color="auto" w:fill="auto"/>
            <w:noWrap/>
            <w:vAlign w:val="bottom"/>
            <w:hideMark/>
          </w:tcPr>
          <w:p w14:paraId="1534FF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37,59</w:t>
            </w:r>
          </w:p>
        </w:tc>
        <w:tc>
          <w:tcPr>
            <w:tcW w:w="1355" w:type="dxa"/>
            <w:tcBorders>
              <w:top w:val="nil"/>
              <w:left w:val="nil"/>
              <w:bottom w:val="double" w:sz="6" w:space="0" w:color="auto"/>
              <w:right w:val="nil"/>
            </w:tcBorders>
            <w:shd w:val="clear" w:color="auto" w:fill="auto"/>
            <w:noWrap/>
            <w:vAlign w:val="bottom"/>
            <w:hideMark/>
          </w:tcPr>
          <w:p w14:paraId="2D3FC73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15,60</w:t>
            </w:r>
          </w:p>
        </w:tc>
      </w:tr>
      <w:tr w:rsidR="008430BD" w:rsidRPr="001C3EC8" w14:paraId="2B73C790"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255B50B6"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3B340F9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6,56</w:t>
            </w:r>
          </w:p>
        </w:tc>
        <w:tc>
          <w:tcPr>
            <w:tcW w:w="1355" w:type="dxa"/>
            <w:tcBorders>
              <w:top w:val="nil"/>
              <w:left w:val="nil"/>
              <w:bottom w:val="double" w:sz="6" w:space="0" w:color="auto"/>
              <w:right w:val="nil"/>
            </w:tcBorders>
            <w:shd w:val="clear" w:color="auto" w:fill="auto"/>
            <w:noWrap/>
            <w:vAlign w:val="bottom"/>
            <w:hideMark/>
          </w:tcPr>
          <w:p w14:paraId="5746EA8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34,86</w:t>
            </w:r>
          </w:p>
        </w:tc>
        <w:tc>
          <w:tcPr>
            <w:tcW w:w="1355" w:type="dxa"/>
            <w:tcBorders>
              <w:top w:val="nil"/>
              <w:left w:val="nil"/>
              <w:bottom w:val="double" w:sz="6" w:space="0" w:color="auto"/>
              <w:right w:val="nil"/>
            </w:tcBorders>
            <w:shd w:val="clear" w:color="auto" w:fill="auto"/>
            <w:noWrap/>
            <w:vAlign w:val="bottom"/>
            <w:hideMark/>
          </w:tcPr>
          <w:p w14:paraId="56A0DCC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35,90</w:t>
            </w:r>
          </w:p>
        </w:tc>
        <w:tc>
          <w:tcPr>
            <w:tcW w:w="1355" w:type="dxa"/>
            <w:tcBorders>
              <w:top w:val="nil"/>
              <w:left w:val="nil"/>
              <w:bottom w:val="double" w:sz="6" w:space="0" w:color="auto"/>
              <w:right w:val="nil"/>
            </w:tcBorders>
            <w:shd w:val="clear" w:color="auto" w:fill="auto"/>
            <w:noWrap/>
            <w:vAlign w:val="bottom"/>
            <w:hideMark/>
          </w:tcPr>
          <w:p w14:paraId="7442383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22,68</w:t>
            </w:r>
          </w:p>
        </w:tc>
      </w:tr>
    </w:tbl>
    <w:p w14:paraId="13BBA5AC" w14:textId="77777777" w:rsidR="008430BD" w:rsidRPr="001C3EC8" w:rsidRDefault="008430BD" w:rsidP="008430BD">
      <w:pPr>
        <w:rPr>
          <w:color w:val="000000" w:themeColor="text1"/>
        </w:rPr>
      </w:pPr>
    </w:p>
    <w:p w14:paraId="20CF8077" w14:textId="77777777" w:rsidR="008430BD" w:rsidRPr="001C3EC8" w:rsidRDefault="008430BD" w:rsidP="008430BD">
      <w:pPr>
        <w:pStyle w:val="OdstavecASR"/>
        <w:rPr>
          <w:color w:val="000000" w:themeColor="text1"/>
        </w:rPr>
      </w:pPr>
      <w:r w:rsidRPr="001C3EC8">
        <w:rPr>
          <w:color w:val="000000" w:themeColor="text1"/>
        </w:rPr>
        <w:t>Z těchto dat můžeme vyvodit následující závěry:</w:t>
      </w:r>
    </w:p>
    <w:p w14:paraId="53802BEC" w14:textId="2E716B30" w:rsidR="008430BD" w:rsidRPr="001C3EC8" w:rsidRDefault="008430BD" w:rsidP="008430BD">
      <w:pPr>
        <w:pStyle w:val="OdstavecASR"/>
        <w:numPr>
          <w:ilvl w:val="0"/>
          <w:numId w:val="15"/>
        </w:numPr>
        <w:rPr>
          <w:color w:val="000000" w:themeColor="text1"/>
        </w:rPr>
      </w:pPr>
      <w:r w:rsidRPr="001C3EC8">
        <w:rPr>
          <w:color w:val="000000" w:themeColor="text1"/>
        </w:rPr>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w:t>
      </w:r>
      <w:r w:rsidR="00CD2266" w:rsidRPr="001C3EC8">
        <w:rPr>
          <w:color w:val="000000" w:themeColor="text1"/>
        </w:rPr>
        <w:t>a</w:t>
      </w:r>
      <w:r w:rsidR="00CD2266">
        <w:rPr>
          <w:color w:val="000000" w:themeColor="text1"/>
        </w:rPr>
        <w:t> </w:t>
      </w:r>
      <w:r w:rsidRPr="001C3EC8">
        <w:rPr>
          <w:color w:val="000000" w:themeColor="text1"/>
        </w:rPr>
        <w:t>později případně i k VS, NS nebo NSS). Mezi jmenováním a přeložením samozřejmě většinou uplyne několik let.</w:t>
      </w:r>
    </w:p>
    <w:p w14:paraId="7721DCA4" w14:textId="75B069CC" w:rsidR="008430BD" w:rsidRPr="001C3EC8" w:rsidRDefault="008430BD" w:rsidP="008430BD">
      <w:pPr>
        <w:pStyle w:val="OdstavecASR"/>
        <w:numPr>
          <w:ilvl w:val="0"/>
          <w:numId w:val="15"/>
        </w:numPr>
        <w:rPr>
          <w:color w:val="000000" w:themeColor="text1"/>
        </w:rPr>
      </w:pPr>
      <w:r w:rsidRPr="001C3EC8">
        <w:rPr>
          <w:color w:val="000000" w:themeColor="text1"/>
        </w:rPr>
        <w:t xml:space="preserve">K dispozici nejsou detailní údaje </w:t>
      </w:r>
      <w:r w:rsidR="00CD2266" w:rsidRPr="001C3EC8">
        <w:rPr>
          <w:color w:val="000000" w:themeColor="text1"/>
        </w:rPr>
        <w:t>o</w:t>
      </w:r>
      <w:r w:rsidR="00CD2266">
        <w:rPr>
          <w:color w:val="000000" w:themeColor="text1"/>
        </w:rPr>
        <w:t> </w:t>
      </w:r>
      <w:r w:rsidRPr="001C3EC8">
        <w:rPr>
          <w:color w:val="000000" w:themeColor="text1"/>
        </w:rPr>
        <w:t>věku soudců, takže nelze přesně říct, kde jsou soudci nejmladší. Dle podílů jednotlivých skupin se ale zdá, že nejmladší soudci jsou v průměru u KS v Ústí nad Labem či KS v Praze, kde v roce 2020 došlo k výraznému omlazení</w:t>
      </w:r>
      <w:r w:rsidR="00311CE3" w:rsidRPr="001C3EC8">
        <w:rPr>
          <w:color w:val="000000" w:themeColor="text1"/>
        </w:rPr>
        <w:t>,</w:t>
      </w:r>
      <w:r w:rsidRPr="001C3EC8">
        <w:rPr>
          <w:color w:val="000000" w:themeColor="text1"/>
        </w:rPr>
        <w:t xml:space="preserve"> a nejstarší pravděpodobně </w:t>
      </w:r>
      <w:r w:rsidR="00CD2266" w:rsidRPr="001C3EC8">
        <w:rPr>
          <w:color w:val="000000" w:themeColor="text1"/>
        </w:rPr>
        <w:t>u</w:t>
      </w:r>
      <w:r w:rsidR="00CD2266">
        <w:rPr>
          <w:color w:val="000000" w:themeColor="text1"/>
        </w:rPr>
        <w:t> </w:t>
      </w:r>
      <w:r w:rsidRPr="001C3EC8">
        <w:rPr>
          <w:color w:val="000000" w:themeColor="text1"/>
        </w:rPr>
        <w:t>MS v Praze.</w:t>
      </w:r>
    </w:p>
    <w:p w14:paraId="691A6C99" w14:textId="068710C7" w:rsidR="008430BD" w:rsidRPr="001C3EC8" w:rsidRDefault="008430BD" w:rsidP="008430BD">
      <w:pPr>
        <w:pStyle w:val="OdstavecASR"/>
        <w:numPr>
          <w:ilvl w:val="0"/>
          <w:numId w:val="15"/>
        </w:numPr>
        <w:rPr>
          <w:color w:val="000000" w:themeColor="text1"/>
        </w:rPr>
      </w:pPr>
      <w:r w:rsidRPr="001C3EC8">
        <w:rPr>
          <w:color w:val="000000" w:themeColor="text1"/>
        </w:rPr>
        <w:t xml:space="preserve">I u KS se věk soudců postupně zvyšoval až do roku 2018, přičemž počet soudců v nejvyšší věkové kategorii zůstával v podstatě stabilní. V roce 2019 nedošlo k prakticky žádné změně ve věkové struktuře soudů. V roce 2020 rovněž nedošlo k žádné velké změně. Zdá se, že se mírně zvýšil podíl soudců mezi 40 </w:t>
      </w:r>
      <w:r w:rsidR="00CD2266" w:rsidRPr="001C3EC8">
        <w:rPr>
          <w:color w:val="000000" w:themeColor="text1"/>
        </w:rPr>
        <w:t>a</w:t>
      </w:r>
      <w:r w:rsidR="00CD2266">
        <w:rPr>
          <w:color w:val="000000" w:themeColor="text1"/>
        </w:rPr>
        <w:t> </w:t>
      </w:r>
      <w:r w:rsidRPr="001C3EC8">
        <w:rPr>
          <w:color w:val="000000" w:themeColor="text1"/>
        </w:rPr>
        <w:t>50 lety věku. Důvody pro zvyšování věkového průměru jsou obdobné, plynou především ze zvyšování evidenčního počtu soudců před rokem 2006 a ze zvyšování průměrného věku jmenovaných soudců. Pokud jsou u okresních soudů v průměru starší soudci, budou logicky ke krajským soudům také překládáni starší soudci.</w:t>
      </w:r>
    </w:p>
    <w:p w14:paraId="35C50E83" w14:textId="5BE302AB" w:rsidR="008430BD" w:rsidRPr="001C3EC8" w:rsidRDefault="008430BD" w:rsidP="008430BD">
      <w:pPr>
        <w:pStyle w:val="OdstavecASR"/>
        <w:rPr>
          <w:color w:val="000000" w:themeColor="text1"/>
        </w:rPr>
      </w:pPr>
      <w:r w:rsidRPr="001C3EC8">
        <w:rPr>
          <w:color w:val="000000" w:themeColor="text1"/>
        </w:rPr>
        <w:t xml:space="preserve">Stejně jako </w:t>
      </w:r>
      <w:r w:rsidR="00CD2266" w:rsidRPr="001C3EC8">
        <w:rPr>
          <w:color w:val="000000" w:themeColor="text1"/>
        </w:rPr>
        <w:t>u</w:t>
      </w:r>
      <w:r w:rsidR="00CD2266">
        <w:rPr>
          <w:color w:val="000000" w:themeColor="text1"/>
        </w:rPr>
        <w:t> </w:t>
      </w:r>
      <w:r w:rsidRPr="001C3EC8">
        <w:rPr>
          <w:color w:val="000000" w:themeColor="text1"/>
        </w:rPr>
        <w:t xml:space="preserve">okresních soudů je na konci této části uvedeno srovnání evidenčního </w:t>
      </w:r>
      <w:r w:rsidR="00CD2266" w:rsidRPr="001C3EC8">
        <w:rPr>
          <w:color w:val="000000" w:themeColor="text1"/>
        </w:rPr>
        <w:t>a</w:t>
      </w:r>
      <w:r w:rsidR="00CD2266">
        <w:rPr>
          <w:color w:val="000000" w:themeColor="text1"/>
        </w:rPr>
        <w:t> </w:t>
      </w:r>
      <w:r w:rsidRPr="001C3EC8">
        <w:rPr>
          <w:color w:val="000000" w:themeColor="text1"/>
        </w:rPr>
        <w:t xml:space="preserve">plánovaného počtu za posledních </w:t>
      </w:r>
      <w:r w:rsidR="00CD2266" w:rsidRPr="001C3EC8">
        <w:rPr>
          <w:color w:val="000000" w:themeColor="text1"/>
        </w:rPr>
        <w:t>6</w:t>
      </w:r>
      <w:r w:rsidR="00CD2266">
        <w:rPr>
          <w:color w:val="000000" w:themeColor="text1"/>
        </w:rPr>
        <w:t> </w:t>
      </w:r>
      <w:r w:rsidRPr="001C3EC8">
        <w:rPr>
          <w:color w:val="000000" w:themeColor="text1"/>
        </w:rPr>
        <w:t>let. V tabulce opět vidíme, že zcela všechny krajské soudy dlouhodobě „dotují“ soudy okresní. Největší podstav má KS Praha (16 %), nejmenší KS Brno (3 %). Velikost „dotace“ pro OS se bude odvíjet od mnoha faktorů</w:t>
      </w:r>
      <w:r w:rsidR="00311CE3" w:rsidRPr="001C3EC8">
        <w:rPr>
          <w:color w:val="000000" w:themeColor="text1"/>
        </w:rPr>
        <w:t>,</w:t>
      </w:r>
      <w:r w:rsidRPr="001C3EC8">
        <w:rPr>
          <w:color w:val="000000" w:themeColor="text1"/>
        </w:rPr>
        <w:t xml:space="preserve"> jako je počet dostupných soudců v kraji, zatíženost krajského soudu, zatíženost okresních soudů </w:t>
      </w:r>
      <w:r w:rsidR="00CD2266" w:rsidRPr="001C3EC8">
        <w:rPr>
          <w:color w:val="000000" w:themeColor="text1"/>
        </w:rPr>
        <w:t>a</w:t>
      </w:r>
      <w:r w:rsidR="00CD2266">
        <w:rPr>
          <w:color w:val="000000" w:themeColor="text1"/>
        </w:rPr>
        <w:t> </w:t>
      </w:r>
      <w:r w:rsidRPr="001C3EC8">
        <w:rPr>
          <w:color w:val="000000" w:themeColor="text1"/>
        </w:rPr>
        <w:t>další.</w:t>
      </w:r>
    </w:p>
    <w:p w14:paraId="63CA84C4" w14:textId="77777777" w:rsidR="008430BD" w:rsidRPr="001C3EC8" w:rsidRDefault="008430BD" w:rsidP="008430BD">
      <w:pPr>
        <w:pStyle w:val="OdstavecASR"/>
        <w:rPr>
          <w:color w:val="000000" w:themeColor="text1"/>
        </w:rPr>
      </w:pPr>
    </w:p>
    <w:p w14:paraId="6B54307D" w14:textId="77777777" w:rsidR="008430BD" w:rsidRPr="001C3EC8" w:rsidRDefault="008430BD" w:rsidP="008430BD">
      <w:pPr>
        <w:spacing w:line="240" w:lineRule="auto"/>
        <w:jc w:val="left"/>
        <w:rPr>
          <w:rFonts w:eastAsia="Times New Roman"/>
          <w:b/>
          <w:iCs/>
          <w:color w:val="000000" w:themeColor="text1"/>
          <w:spacing w:val="15"/>
          <w:szCs w:val="24"/>
        </w:rPr>
      </w:pPr>
      <w:bookmarkStart w:id="396" w:name="_Toc43931209"/>
      <w:r w:rsidRPr="001C3EC8">
        <w:rPr>
          <w:color w:val="000000" w:themeColor="text1"/>
        </w:rPr>
        <w:br w:type="page"/>
      </w:r>
    </w:p>
    <w:p w14:paraId="17D50AB9" w14:textId="6BA3CD87" w:rsidR="008430BD" w:rsidRPr="001C3EC8" w:rsidRDefault="008430BD" w:rsidP="008430BD">
      <w:pPr>
        <w:pStyle w:val="Podnadpis"/>
        <w:rPr>
          <w:color w:val="000000" w:themeColor="text1"/>
        </w:rPr>
      </w:pPr>
      <w:bookmarkStart w:id="397" w:name="_Toc75952342"/>
      <w:r w:rsidRPr="001C3EC8">
        <w:rPr>
          <w:color w:val="000000" w:themeColor="text1"/>
        </w:rPr>
        <w:lastRenderedPageBreak/>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39</w:t>
      </w:r>
      <w:r w:rsidRPr="001C3EC8">
        <w:rPr>
          <w:noProof/>
          <w:color w:val="000000" w:themeColor="text1"/>
        </w:rPr>
        <w:fldChar w:fldCharType="end"/>
      </w:r>
      <w:r w:rsidRPr="001C3EC8">
        <w:rPr>
          <w:color w:val="000000" w:themeColor="text1"/>
        </w:rPr>
        <w:t>: KS – srovnání evidenční</w:t>
      </w:r>
      <w:r w:rsidR="00311CE3" w:rsidRPr="001C3EC8">
        <w:rPr>
          <w:color w:val="000000" w:themeColor="text1"/>
        </w:rPr>
        <w:t>ho</w:t>
      </w:r>
      <w:r w:rsidRPr="001C3EC8">
        <w:rPr>
          <w:color w:val="000000" w:themeColor="text1"/>
        </w:rPr>
        <w:t xml:space="preserve"> </w:t>
      </w:r>
      <w:r w:rsidR="00CD2266" w:rsidRPr="001C3EC8">
        <w:rPr>
          <w:color w:val="000000" w:themeColor="text1"/>
        </w:rPr>
        <w:t>a</w:t>
      </w:r>
      <w:r w:rsidR="00CD2266">
        <w:rPr>
          <w:color w:val="000000" w:themeColor="text1"/>
        </w:rPr>
        <w:t> </w:t>
      </w:r>
      <w:r w:rsidRPr="001C3EC8">
        <w:rPr>
          <w:color w:val="000000" w:themeColor="text1"/>
        </w:rPr>
        <w:t xml:space="preserve">plánovaného počtu soudců za </w:t>
      </w:r>
      <w:r w:rsidR="00CD2266" w:rsidRPr="001C3EC8">
        <w:rPr>
          <w:color w:val="000000" w:themeColor="text1"/>
        </w:rPr>
        <w:t>6</w:t>
      </w:r>
      <w:r w:rsidR="00CD2266">
        <w:rPr>
          <w:color w:val="000000" w:themeColor="text1"/>
        </w:rPr>
        <w:t> </w:t>
      </w:r>
      <w:r w:rsidRPr="001C3EC8">
        <w:rPr>
          <w:color w:val="000000" w:themeColor="text1"/>
        </w:rPr>
        <w:t>let</w:t>
      </w:r>
      <w:bookmarkEnd w:id="396"/>
      <w:bookmarkEnd w:id="397"/>
    </w:p>
    <w:tbl>
      <w:tblPr>
        <w:tblW w:w="7920" w:type="dxa"/>
        <w:tblCellMar>
          <w:left w:w="70" w:type="dxa"/>
          <w:right w:w="70" w:type="dxa"/>
        </w:tblCellMar>
        <w:tblLook w:val="04A0" w:firstRow="1" w:lastRow="0" w:firstColumn="1" w:lastColumn="0" w:noHBand="0" w:noVBand="1"/>
      </w:tblPr>
      <w:tblGrid>
        <w:gridCol w:w="2220"/>
        <w:gridCol w:w="1502"/>
        <w:gridCol w:w="1738"/>
        <w:gridCol w:w="2460"/>
      </w:tblGrid>
      <w:tr w:rsidR="008430BD" w:rsidRPr="001C3EC8" w14:paraId="7637C1F5"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6309107B" w14:textId="354B95E6"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240" w:type="dxa"/>
            <w:gridSpan w:val="2"/>
            <w:tcBorders>
              <w:top w:val="double" w:sz="6" w:space="0" w:color="auto"/>
              <w:left w:val="nil"/>
              <w:bottom w:val="nil"/>
              <w:right w:val="nil"/>
            </w:tcBorders>
            <w:shd w:val="clear" w:color="auto" w:fill="auto"/>
            <w:noWrap/>
            <w:vAlign w:val="bottom"/>
            <w:hideMark/>
          </w:tcPr>
          <w:p w14:paraId="6DCA1E2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Průměrný počet soudců</w:t>
            </w:r>
          </w:p>
        </w:tc>
        <w:tc>
          <w:tcPr>
            <w:tcW w:w="2460" w:type="dxa"/>
            <w:vMerge w:val="restart"/>
            <w:tcBorders>
              <w:top w:val="double" w:sz="6" w:space="0" w:color="auto"/>
              <w:left w:val="nil"/>
              <w:bottom w:val="double" w:sz="6" w:space="0" w:color="000000"/>
              <w:right w:val="nil"/>
            </w:tcBorders>
            <w:shd w:val="clear" w:color="auto" w:fill="auto"/>
            <w:vAlign w:val="center"/>
            <w:hideMark/>
          </w:tcPr>
          <w:p w14:paraId="7DF334A6" w14:textId="67692F4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Nadstav/podstav </w:t>
            </w:r>
            <w:r w:rsidR="00CD2266" w:rsidRPr="001C3EC8">
              <w:rPr>
                <w:rFonts w:eastAsia="Times New Roman"/>
                <w:b/>
                <w:bCs/>
                <w:color w:val="000000" w:themeColor="text1"/>
                <w:szCs w:val="24"/>
                <w:lang w:eastAsia="cs-CZ"/>
              </w:rPr>
              <w:t>v</w:t>
            </w:r>
            <w:r w:rsidR="00CD2266">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42009E1C"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5418C55F"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502" w:type="dxa"/>
            <w:tcBorders>
              <w:top w:val="nil"/>
              <w:left w:val="nil"/>
              <w:bottom w:val="double" w:sz="6" w:space="0" w:color="auto"/>
              <w:right w:val="nil"/>
            </w:tcBorders>
            <w:shd w:val="clear" w:color="auto" w:fill="auto"/>
            <w:noWrap/>
            <w:vAlign w:val="bottom"/>
            <w:hideMark/>
          </w:tcPr>
          <w:p w14:paraId="5558A09B" w14:textId="678AEC4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Evidenční</w:t>
            </w:r>
          </w:p>
        </w:tc>
        <w:tc>
          <w:tcPr>
            <w:tcW w:w="1738" w:type="dxa"/>
            <w:tcBorders>
              <w:top w:val="nil"/>
              <w:left w:val="nil"/>
              <w:bottom w:val="double" w:sz="6" w:space="0" w:color="auto"/>
              <w:right w:val="nil"/>
            </w:tcBorders>
            <w:shd w:val="clear" w:color="auto" w:fill="auto"/>
            <w:noWrap/>
            <w:vAlign w:val="bottom"/>
            <w:hideMark/>
          </w:tcPr>
          <w:p w14:paraId="4416450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Plánovaný</w:t>
            </w:r>
          </w:p>
        </w:tc>
        <w:tc>
          <w:tcPr>
            <w:tcW w:w="2460" w:type="dxa"/>
            <w:vMerge/>
            <w:tcBorders>
              <w:top w:val="double" w:sz="6" w:space="0" w:color="auto"/>
              <w:left w:val="nil"/>
              <w:bottom w:val="double" w:sz="6" w:space="0" w:color="000000"/>
              <w:right w:val="nil"/>
            </w:tcBorders>
            <w:vAlign w:val="center"/>
            <w:hideMark/>
          </w:tcPr>
          <w:p w14:paraId="25622A61"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6BA12A5E" w14:textId="77777777" w:rsidTr="00E077F3">
        <w:trPr>
          <w:trHeight w:val="330"/>
        </w:trPr>
        <w:tc>
          <w:tcPr>
            <w:tcW w:w="2220" w:type="dxa"/>
            <w:tcBorders>
              <w:top w:val="nil"/>
              <w:left w:val="nil"/>
              <w:bottom w:val="single" w:sz="4" w:space="0" w:color="auto"/>
              <w:right w:val="nil"/>
            </w:tcBorders>
            <w:shd w:val="clear" w:color="auto" w:fill="auto"/>
            <w:noWrap/>
            <w:vAlign w:val="bottom"/>
            <w:hideMark/>
          </w:tcPr>
          <w:p w14:paraId="2CBE6DF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502" w:type="dxa"/>
            <w:tcBorders>
              <w:top w:val="nil"/>
              <w:left w:val="nil"/>
              <w:bottom w:val="single" w:sz="4" w:space="0" w:color="auto"/>
              <w:right w:val="nil"/>
            </w:tcBorders>
            <w:shd w:val="clear" w:color="auto" w:fill="auto"/>
            <w:noWrap/>
            <w:vAlign w:val="bottom"/>
            <w:hideMark/>
          </w:tcPr>
          <w:p w14:paraId="208D75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222</w:t>
            </w:r>
          </w:p>
        </w:tc>
        <w:tc>
          <w:tcPr>
            <w:tcW w:w="1738" w:type="dxa"/>
            <w:tcBorders>
              <w:top w:val="nil"/>
              <w:left w:val="nil"/>
              <w:bottom w:val="single" w:sz="4" w:space="0" w:color="auto"/>
              <w:right w:val="nil"/>
            </w:tcBorders>
            <w:shd w:val="clear" w:color="auto" w:fill="auto"/>
            <w:noWrap/>
            <w:vAlign w:val="bottom"/>
            <w:hideMark/>
          </w:tcPr>
          <w:p w14:paraId="6DEAF2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247,6</w:t>
            </w:r>
          </w:p>
        </w:tc>
        <w:tc>
          <w:tcPr>
            <w:tcW w:w="2460" w:type="dxa"/>
            <w:tcBorders>
              <w:top w:val="nil"/>
              <w:left w:val="nil"/>
              <w:bottom w:val="single" w:sz="4" w:space="0" w:color="auto"/>
              <w:right w:val="nil"/>
            </w:tcBorders>
            <w:shd w:val="clear" w:color="auto" w:fill="auto"/>
            <w:noWrap/>
            <w:vAlign w:val="bottom"/>
            <w:hideMark/>
          </w:tcPr>
          <w:p w14:paraId="6957E2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-10,34</w:t>
            </w:r>
          </w:p>
        </w:tc>
      </w:tr>
      <w:tr w:rsidR="008430BD" w:rsidRPr="001C3EC8" w14:paraId="3536CCC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0E3589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502" w:type="dxa"/>
            <w:tcBorders>
              <w:top w:val="nil"/>
              <w:left w:val="nil"/>
              <w:bottom w:val="single" w:sz="4" w:space="0" w:color="auto"/>
              <w:right w:val="nil"/>
            </w:tcBorders>
            <w:shd w:val="clear" w:color="auto" w:fill="auto"/>
            <w:noWrap/>
            <w:vAlign w:val="bottom"/>
            <w:hideMark/>
          </w:tcPr>
          <w:p w14:paraId="4CC9E6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95,2</w:t>
            </w:r>
          </w:p>
        </w:tc>
        <w:tc>
          <w:tcPr>
            <w:tcW w:w="1738" w:type="dxa"/>
            <w:tcBorders>
              <w:top w:val="nil"/>
              <w:left w:val="nil"/>
              <w:bottom w:val="single" w:sz="4" w:space="0" w:color="auto"/>
              <w:right w:val="nil"/>
            </w:tcBorders>
            <w:shd w:val="clear" w:color="auto" w:fill="auto"/>
            <w:noWrap/>
            <w:vAlign w:val="bottom"/>
            <w:hideMark/>
          </w:tcPr>
          <w:p w14:paraId="788E5AF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113,4</w:t>
            </w:r>
          </w:p>
        </w:tc>
        <w:tc>
          <w:tcPr>
            <w:tcW w:w="2460" w:type="dxa"/>
            <w:tcBorders>
              <w:top w:val="nil"/>
              <w:left w:val="nil"/>
              <w:bottom w:val="single" w:sz="4" w:space="0" w:color="auto"/>
              <w:right w:val="nil"/>
            </w:tcBorders>
            <w:shd w:val="clear" w:color="auto" w:fill="auto"/>
            <w:noWrap/>
            <w:vAlign w:val="bottom"/>
            <w:hideMark/>
          </w:tcPr>
          <w:p w14:paraId="084409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-16,05</w:t>
            </w:r>
          </w:p>
        </w:tc>
      </w:tr>
      <w:tr w:rsidR="008430BD" w:rsidRPr="001C3EC8" w14:paraId="37A75C8D"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25A2FA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502" w:type="dxa"/>
            <w:tcBorders>
              <w:top w:val="nil"/>
              <w:left w:val="nil"/>
              <w:bottom w:val="single" w:sz="4" w:space="0" w:color="auto"/>
              <w:right w:val="nil"/>
            </w:tcBorders>
            <w:shd w:val="clear" w:color="auto" w:fill="auto"/>
            <w:noWrap/>
            <w:vAlign w:val="bottom"/>
            <w:hideMark/>
          </w:tcPr>
          <w:p w14:paraId="28E2F9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55,4</w:t>
            </w:r>
          </w:p>
        </w:tc>
        <w:tc>
          <w:tcPr>
            <w:tcW w:w="1738" w:type="dxa"/>
            <w:tcBorders>
              <w:top w:val="nil"/>
              <w:left w:val="nil"/>
              <w:bottom w:val="single" w:sz="4" w:space="0" w:color="auto"/>
              <w:right w:val="nil"/>
            </w:tcBorders>
            <w:shd w:val="clear" w:color="auto" w:fill="auto"/>
            <w:noWrap/>
            <w:vAlign w:val="bottom"/>
            <w:hideMark/>
          </w:tcPr>
          <w:p w14:paraId="267F0A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56,8</w:t>
            </w:r>
          </w:p>
        </w:tc>
        <w:tc>
          <w:tcPr>
            <w:tcW w:w="2460" w:type="dxa"/>
            <w:tcBorders>
              <w:top w:val="nil"/>
              <w:left w:val="nil"/>
              <w:bottom w:val="single" w:sz="4" w:space="0" w:color="auto"/>
              <w:right w:val="nil"/>
            </w:tcBorders>
            <w:shd w:val="clear" w:color="auto" w:fill="auto"/>
            <w:noWrap/>
            <w:vAlign w:val="bottom"/>
            <w:hideMark/>
          </w:tcPr>
          <w:p w14:paraId="72B227A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-2,46</w:t>
            </w:r>
          </w:p>
        </w:tc>
      </w:tr>
      <w:tr w:rsidR="008430BD" w:rsidRPr="001C3EC8" w14:paraId="4401D1D1"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2A9659E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502" w:type="dxa"/>
            <w:tcBorders>
              <w:top w:val="nil"/>
              <w:left w:val="nil"/>
              <w:bottom w:val="single" w:sz="4" w:space="0" w:color="auto"/>
              <w:right w:val="nil"/>
            </w:tcBorders>
            <w:shd w:val="clear" w:color="auto" w:fill="auto"/>
            <w:noWrap/>
            <w:vAlign w:val="bottom"/>
            <w:hideMark/>
          </w:tcPr>
          <w:p w14:paraId="6502B93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w:t>
            </w:r>
          </w:p>
        </w:tc>
        <w:tc>
          <w:tcPr>
            <w:tcW w:w="1738" w:type="dxa"/>
            <w:tcBorders>
              <w:top w:val="nil"/>
              <w:left w:val="nil"/>
              <w:bottom w:val="single" w:sz="4" w:space="0" w:color="auto"/>
              <w:right w:val="nil"/>
            </w:tcBorders>
            <w:shd w:val="clear" w:color="auto" w:fill="auto"/>
            <w:noWrap/>
            <w:vAlign w:val="bottom"/>
            <w:hideMark/>
          </w:tcPr>
          <w:p w14:paraId="34897BA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w:t>
            </w:r>
          </w:p>
        </w:tc>
        <w:tc>
          <w:tcPr>
            <w:tcW w:w="2460" w:type="dxa"/>
            <w:tcBorders>
              <w:top w:val="nil"/>
              <w:left w:val="nil"/>
              <w:bottom w:val="single" w:sz="4" w:space="0" w:color="auto"/>
              <w:right w:val="nil"/>
            </w:tcBorders>
            <w:shd w:val="clear" w:color="auto" w:fill="auto"/>
            <w:noWrap/>
            <w:vAlign w:val="bottom"/>
            <w:hideMark/>
          </w:tcPr>
          <w:p w14:paraId="195A9B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-9,52</w:t>
            </w:r>
          </w:p>
        </w:tc>
      </w:tr>
      <w:tr w:rsidR="008430BD" w:rsidRPr="001C3EC8" w14:paraId="695393D0"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4DB1F4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502" w:type="dxa"/>
            <w:tcBorders>
              <w:top w:val="nil"/>
              <w:left w:val="nil"/>
              <w:bottom w:val="single" w:sz="4" w:space="0" w:color="auto"/>
              <w:right w:val="nil"/>
            </w:tcBorders>
            <w:shd w:val="clear" w:color="auto" w:fill="auto"/>
            <w:noWrap/>
            <w:vAlign w:val="bottom"/>
            <w:hideMark/>
          </w:tcPr>
          <w:p w14:paraId="354BFDA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w:t>
            </w:r>
          </w:p>
        </w:tc>
        <w:tc>
          <w:tcPr>
            <w:tcW w:w="1738" w:type="dxa"/>
            <w:tcBorders>
              <w:top w:val="nil"/>
              <w:left w:val="nil"/>
              <w:bottom w:val="single" w:sz="4" w:space="0" w:color="auto"/>
              <w:right w:val="nil"/>
            </w:tcBorders>
            <w:shd w:val="clear" w:color="auto" w:fill="auto"/>
            <w:noWrap/>
            <w:vAlign w:val="bottom"/>
            <w:hideMark/>
          </w:tcPr>
          <w:p w14:paraId="3F4DAF4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122,8</w:t>
            </w:r>
          </w:p>
        </w:tc>
        <w:tc>
          <w:tcPr>
            <w:tcW w:w="2460" w:type="dxa"/>
            <w:tcBorders>
              <w:top w:val="nil"/>
              <w:left w:val="nil"/>
              <w:bottom w:val="single" w:sz="4" w:space="0" w:color="auto"/>
              <w:right w:val="nil"/>
            </w:tcBorders>
            <w:shd w:val="clear" w:color="auto" w:fill="auto"/>
            <w:noWrap/>
            <w:vAlign w:val="bottom"/>
            <w:hideMark/>
          </w:tcPr>
          <w:p w14:paraId="224919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-9,61</w:t>
            </w:r>
          </w:p>
        </w:tc>
      </w:tr>
      <w:tr w:rsidR="008430BD" w:rsidRPr="001C3EC8" w14:paraId="6AEC49E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465A8F5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502" w:type="dxa"/>
            <w:tcBorders>
              <w:top w:val="nil"/>
              <w:left w:val="nil"/>
              <w:bottom w:val="single" w:sz="4" w:space="0" w:color="auto"/>
              <w:right w:val="nil"/>
            </w:tcBorders>
            <w:shd w:val="clear" w:color="auto" w:fill="auto"/>
            <w:noWrap/>
            <w:vAlign w:val="bottom"/>
            <w:hideMark/>
          </w:tcPr>
          <w:p w14:paraId="1B3900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83,8</w:t>
            </w:r>
          </w:p>
        </w:tc>
        <w:tc>
          <w:tcPr>
            <w:tcW w:w="1738" w:type="dxa"/>
            <w:tcBorders>
              <w:top w:val="nil"/>
              <w:left w:val="nil"/>
              <w:bottom w:val="single" w:sz="4" w:space="0" w:color="auto"/>
              <w:right w:val="nil"/>
            </w:tcBorders>
            <w:shd w:val="clear" w:color="auto" w:fill="auto"/>
            <w:noWrap/>
            <w:vAlign w:val="bottom"/>
            <w:hideMark/>
          </w:tcPr>
          <w:p w14:paraId="74E175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91,4</w:t>
            </w:r>
          </w:p>
        </w:tc>
        <w:tc>
          <w:tcPr>
            <w:tcW w:w="2460" w:type="dxa"/>
            <w:tcBorders>
              <w:top w:val="nil"/>
              <w:left w:val="nil"/>
              <w:bottom w:val="single" w:sz="4" w:space="0" w:color="auto"/>
              <w:right w:val="nil"/>
            </w:tcBorders>
            <w:shd w:val="clear" w:color="auto" w:fill="auto"/>
            <w:noWrap/>
            <w:vAlign w:val="bottom"/>
            <w:hideMark/>
          </w:tcPr>
          <w:p w14:paraId="0870D0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-8,32</w:t>
            </w:r>
          </w:p>
        </w:tc>
      </w:tr>
      <w:tr w:rsidR="008430BD" w:rsidRPr="001C3EC8" w14:paraId="7ACEC6BA"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05DB7E8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502" w:type="dxa"/>
            <w:tcBorders>
              <w:top w:val="nil"/>
              <w:left w:val="nil"/>
              <w:bottom w:val="single" w:sz="4" w:space="0" w:color="auto"/>
              <w:right w:val="nil"/>
            </w:tcBorders>
            <w:shd w:val="clear" w:color="auto" w:fill="auto"/>
            <w:noWrap/>
            <w:vAlign w:val="bottom"/>
            <w:hideMark/>
          </w:tcPr>
          <w:p w14:paraId="5090EA3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162,8</w:t>
            </w:r>
          </w:p>
        </w:tc>
        <w:tc>
          <w:tcPr>
            <w:tcW w:w="1738" w:type="dxa"/>
            <w:tcBorders>
              <w:top w:val="nil"/>
              <w:left w:val="nil"/>
              <w:bottom w:val="single" w:sz="4" w:space="0" w:color="auto"/>
              <w:right w:val="nil"/>
            </w:tcBorders>
            <w:shd w:val="clear" w:color="auto" w:fill="auto"/>
            <w:noWrap/>
            <w:vAlign w:val="bottom"/>
            <w:hideMark/>
          </w:tcPr>
          <w:p w14:paraId="6276012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167,8</w:t>
            </w:r>
          </w:p>
        </w:tc>
        <w:tc>
          <w:tcPr>
            <w:tcW w:w="2460" w:type="dxa"/>
            <w:tcBorders>
              <w:top w:val="nil"/>
              <w:left w:val="nil"/>
              <w:bottom w:val="single" w:sz="4" w:space="0" w:color="auto"/>
              <w:right w:val="nil"/>
            </w:tcBorders>
            <w:shd w:val="clear" w:color="auto" w:fill="auto"/>
            <w:noWrap/>
            <w:vAlign w:val="bottom"/>
            <w:hideMark/>
          </w:tcPr>
          <w:p w14:paraId="6417A9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-2,98</w:t>
            </w:r>
          </w:p>
        </w:tc>
      </w:tr>
      <w:tr w:rsidR="008430BD" w:rsidRPr="001C3EC8" w14:paraId="76BF2E22"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69AAB9F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502" w:type="dxa"/>
            <w:tcBorders>
              <w:top w:val="nil"/>
              <w:left w:val="nil"/>
              <w:bottom w:val="double" w:sz="6" w:space="0" w:color="auto"/>
              <w:right w:val="nil"/>
            </w:tcBorders>
            <w:shd w:val="clear" w:color="auto" w:fill="auto"/>
            <w:noWrap/>
            <w:vAlign w:val="bottom"/>
            <w:hideMark/>
          </w:tcPr>
          <w:p w14:paraId="55AE18D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143</w:t>
            </w:r>
          </w:p>
        </w:tc>
        <w:tc>
          <w:tcPr>
            <w:tcW w:w="1738" w:type="dxa"/>
            <w:tcBorders>
              <w:top w:val="nil"/>
              <w:left w:val="nil"/>
              <w:bottom w:val="double" w:sz="6" w:space="0" w:color="auto"/>
              <w:right w:val="nil"/>
            </w:tcBorders>
            <w:shd w:val="clear" w:color="auto" w:fill="auto"/>
            <w:noWrap/>
            <w:vAlign w:val="bottom"/>
            <w:hideMark/>
          </w:tcPr>
          <w:p w14:paraId="12FAF8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159,2</w:t>
            </w:r>
          </w:p>
        </w:tc>
        <w:tc>
          <w:tcPr>
            <w:tcW w:w="2460" w:type="dxa"/>
            <w:tcBorders>
              <w:top w:val="nil"/>
              <w:left w:val="nil"/>
              <w:bottom w:val="double" w:sz="6" w:space="0" w:color="auto"/>
              <w:right w:val="nil"/>
            </w:tcBorders>
            <w:shd w:val="clear" w:color="auto" w:fill="auto"/>
            <w:noWrap/>
            <w:vAlign w:val="bottom"/>
            <w:hideMark/>
          </w:tcPr>
          <w:p w14:paraId="410BA4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-10,18</w:t>
            </w:r>
          </w:p>
        </w:tc>
      </w:tr>
      <w:tr w:rsidR="008430BD" w:rsidRPr="001C3EC8" w14:paraId="13B2B6DA"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1F59B561"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502" w:type="dxa"/>
            <w:tcBorders>
              <w:top w:val="nil"/>
              <w:left w:val="nil"/>
              <w:bottom w:val="double" w:sz="6" w:space="0" w:color="auto"/>
              <w:right w:val="nil"/>
            </w:tcBorders>
            <w:shd w:val="clear" w:color="auto" w:fill="auto"/>
            <w:noWrap/>
            <w:vAlign w:val="bottom"/>
            <w:hideMark/>
          </w:tcPr>
          <w:p w14:paraId="4F901AC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949,2</w:t>
            </w:r>
          </w:p>
        </w:tc>
        <w:tc>
          <w:tcPr>
            <w:tcW w:w="1738" w:type="dxa"/>
            <w:tcBorders>
              <w:top w:val="nil"/>
              <w:left w:val="nil"/>
              <w:bottom w:val="double" w:sz="6" w:space="0" w:color="auto"/>
              <w:right w:val="nil"/>
            </w:tcBorders>
            <w:shd w:val="clear" w:color="auto" w:fill="auto"/>
            <w:noWrap/>
            <w:vAlign w:val="bottom"/>
            <w:hideMark/>
          </w:tcPr>
          <w:p w14:paraId="666074F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1043</w:t>
            </w:r>
          </w:p>
        </w:tc>
        <w:tc>
          <w:tcPr>
            <w:tcW w:w="2460" w:type="dxa"/>
            <w:tcBorders>
              <w:top w:val="nil"/>
              <w:left w:val="nil"/>
              <w:bottom w:val="double" w:sz="6" w:space="0" w:color="auto"/>
              <w:right w:val="nil"/>
            </w:tcBorders>
            <w:shd w:val="clear" w:color="auto" w:fill="auto"/>
            <w:noWrap/>
            <w:vAlign w:val="bottom"/>
            <w:hideMark/>
          </w:tcPr>
          <w:p w14:paraId="1D745A2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-8,99</w:t>
            </w:r>
          </w:p>
        </w:tc>
      </w:tr>
    </w:tbl>
    <w:p w14:paraId="4A1D7D45" w14:textId="77777777" w:rsidR="008430BD" w:rsidRPr="001C3EC8" w:rsidRDefault="008430BD" w:rsidP="008430BD">
      <w:pPr>
        <w:rPr>
          <w:color w:val="000000" w:themeColor="text1"/>
        </w:rPr>
      </w:pPr>
    </w:p>
    <w:p w14:paraId="685BA31F" w14:textId="775FD0F9" w:rsidR="008430BD" w:rsidRPr="001C3EC8" w:rsidRDefault="008430BD" w:rsidP="008430BD">
      <w:pPr>
        <w:pStyle w:val="Nadpis3"/>
        <w:numPr>
          <w:ilvl w:val="2"/>
          <w:numId w:val="1"/>
        </w:numPr>
        <w:rPr>
          <w:color w:val="000000" w:themeColor="text1"/>
        </w:rPr>
      </w:pPr>
      <w:bookmarkStart w:id="398" w:name="_Toc515871247"/>
      <w:bookmarkStart w:id="399" w:name="_Toc75952084"/>
      <w:r w:rsidRPr="001C3EC8">
        <w:rPr>
          <w:color w:val="000000" w:themeColor="text1"/>
        </w:rPr>
        <w:t>Zaměstnanci ve výkonu</w:t>
      </w:r>
      <w:bookmarkEnd w:id="398"/>
      <w:r w:rsidRPr="001C3EC8">
        <w:rPr>
          <w:color w:val="000000" w:themeColor="text1"/>
        </w:rPr>
        <w:t xml:space="preserve"> </w:t>
      </w:r>
      <w:r w:rsidR="00CD2266" w:rsidRPr="001C3EC8">
        <w:rPr>
          <w:color w:val="000000" w:themeColor="text1"/>
        </w:rPr>
        <w:t>a</w:t>
      </w:r>
      <w:r w:rsidR="00CD2266">
        <w:rPr>
          <w:color w:val="000000" w:themeColor="text1"/>
        </w:rPr>
        <w:t> </w:t>
      </w:r>
      <w:r w:rsidRPr="001C3EC8">
        <w:rPr>
          <w:color w:val="000000" w:themeColor="text1"/>
        </w:rPr>
        <w:t>ve správě</w:t>
      </w:r>
      <w:bookmarkEnd w:id="399"/>
    </w:p>
    <w:p w14:paraId="1E8DBB0C" w14:textId="1FCE4D34" w:rsidR="008430BD" w:rsidRPr="001C3EC8" w:rsidRDefault="008430BD" w:rsidP="008430BD">
      <w:pPr>
        <w:pStyle w:val="OdstavecASR"/>
        <w:rPr>
          <w:color w:val="000000" w:themeColor="text1"/>
        </w:rPr>
      </w:pPr>
      <w:r w:rsidRPr="001C3EC8">
        <w:rPr>
          <w:color w:val="000000" w:themeColor="text1"/>
        </w:rPr>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Pr="001C3EC8">
        <w:rPr>
          <w:color w:val="000000" w:themeColor="text1"/>
        </w:rPr>
        <w:fldChar w:fldCharType="begin"/>
      </w:r>
      <w:r w:rsidRPr="001C3EC8">
        <w:rPr>
          <w:color w:val="000000" w:themeColor="text1"/>
        </w:rPr>
        <w:instrText xml:space="preserve"> REF _Ref10813793 \r \h  \* MERGEFORMAT </w:instrText>
      </w:r>
      <w:r w:rsidRPr="001C3EC8">
        <w:rPr>
          <w:color w:val="000000" w:themeColor="text1"/>
        </w:rPr>
      </w:r>
      <w:r w:rsidRPr="001C3EC8">
        <w:rPr>
          <w:color w:val="000000" w:themeColor="text1"/>
        </w:rPr>
        <w:fldChar w:fldCharType="separate"/>
      </w:r>
      <w:r w:rsidR="009C575D">
        <w:rPr>
          <w:color w:val="000000" w:themeColor="text1"/>
        </w:rPr>
        <w:t>2.1.2</w:t>
      </w:r>
      <w:r w:rsidRPr="001C3EC8">
        <w:rPr>
          <w:color w:val="000000" w:themeColor="text1"/>
        </w:rPr>
        <w:fldChar w:fldCharType="end"/>
      </w:r>
      <w:r w:rsidRPr="001C3EC8">
        <w:rPr>
          <w:color w:val="000000" w:themeColor="text1"/>
        </w:rPr>
        <w:t>. Znovu tedy pracujeme s nejfrekventovanějšími pracovními pozicemi.</w:t>
      </w:r>
    </w:p>
    <w:p w14:paraId="3E4D8C95" w14:textId="1BA27054" w:rsidR="008430BD" w:rsidRPr="001C3EC8" w:rsidRDefault="008430BD" w:rsidP="008430BD">
      <w:pPr>
        <w:pStyle w:val="Podnadpis"/>
        <w:rPr>
          <w:color w:val="000000" w:themeColor="text1"/>
        </w:rPr>
      </w:pPr>
      <w:bookmarkStart w:id="400" w:name="_Toc515871467"/>
      <w:bookmarkStart w:id="401" w:name="_Toc11133234"/>
      <w:bookmarkStart w:id="402" w:name="_Toc43931210"/>
      <w:bookmarkStart w:id="403" w:name="_Toc75952343"/>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40</w:t>
      </w:r>
      <w:r w:rsidRPr="001C3EC8">
        <w:rPr>
          <w:noProof/>
          <w:color w:val="000000" w:themeColor="text1"/>
        </w:rPr>
        <w:fldChar w:fldCharType="end"/>
      </w:r>
      <w:r w:rsidRPr="001C3EC8">
        <w:rPr>
          <w:color w:val="000000" w:themeColor="text1"/>
        </w:rPr>
        <w:t>: KS – evidenční počet zaměstnanců ve výkonu dle soudů</w:t>
      </w:r>
      <w:bookmarkEnd w:id="400"/>
      <w:bookmarkEnd w:id="401"/>
      <w:bookmarkEnd w:id="402"/>
      <w:bookmarkEnd w:id="403"/>
    </w:p>
    <w:tbl>
      <w:tblPr>
        <w:tblW w:w="8000" w:type="dxa"/>
        <w:tblCellMar>
          <w:left w:w="70" w:type="dxa"/>
          <w:right w:w="70" w:type="dxa"/>
        </w:tblCellMar>
        <w:tblLook w:val="04A0" w:firstRow="1" w:lastRow="0" w:firstColumn="1" w:lastColumn="0" w:noHBand="0" w:noVBand="1"/>
      </w:tblPr>
      <w:tblGrid>
        <w:gridCol w:w="2080"/>
        <w:gridCol w:w="852"/>
        <w:gridCol w:w="546"/>
        <w:gridCol w:w="632"/>
        <w:gridCol w:w="632"/>
        <w:gridCol w:w="619"/>
        <w:gridCol w:w="632"/>
        <w:gridCol w:w="615"/>
        <w:gridCol w:w="1392"/>
      </w:tblGrid>
      <w:tr w:rsidR="008430BD" w:rsidRPr="001C3EC8" w14:paraId="0C01F648" w14:textId="77777777" w:rsidTr="00E077F3">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4017061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920" w:type="dxa"/>
            <w:gridSpan w:val="8"/>
            <w:tcBorders>
              <w:top w:val="double" w:sz="6" w:space="0" w:color="auto"/>
              <w:left w:val="nil"/>
              <w:bottom w:val="nil"/>
              <w:right w:val="nil"/>
            </w:tcBorders>
            <w:shd w:val="clear" w:color="auto" w:fill="auto"/>
            <w:noWrap/>
            <w:vAlign w:val="bottom"/>
            <w:hideMark/>
          </w:tcPr>
          <w:p w14:paraId="4E50C77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osob</w:t>
            </w:r>
          </w:p>
        </w:tc>
      </w:tr>
      <w:tr w:rsidR="008430BD" w:rsidRPr="001C3EC8" w14:paraId="7C401CC2" w14:textId="77777777" w:rsidTr="00E077F3">
        <w:trPr>
          <w:trHeight w:val="330"/>
        </w:trPr>
        <w:tc>
          <w:tcPr>
            <w:tcW w:w="2080" w:type="dxa"/>
            <w:vMerge/>
            <w:tcBorders>
              <w:top w:val="double" w:sz="6" w:space="0" w:color="auto"/>
              <w:left w:val="nil"/>
              <w:bottom w:val="double" w:sz="6" w:space="0" w:color="000000"/>
              <w:right w:val="nil"/>
            </w:tcBorders>
            <w:vAlign w:val="center"/>
            <w:hideMark/>
          </w:tcPr>
          <w:p w14:paraId="4251E2E6"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852" w:type="dxa"/>
            <w:tcBorders>
              <w:top w:val="nil"/>
              <w:left w:val="nil"/>
              <w:bottom w:val="double" w:sz="6" w:space="0" w:color="auto"/>
              <w:right w:val="nil"/>
            </w:tcBorders>
            <w:shd w:val="clear" w:color="auto" w:fill="auto"/>
            <w:noWrap/>
            <w:vAlign w:val="bottom"/>
            <w:hideMark/>
          </w:tcPr>
          <w:p w14:paraId="5A7A7AF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VSÚ</w:t>
            </w:r>
          </w:p>
        </w:tc>
        <w:tc>
          <w:tcPr>
            <w:tcW w:w="546" w:type="dxa"/>
            <w:tcBorders>
              <w:top w:val="nil"/>
              <w:left w:val="nil"/>
              <w:bottom w:val="double" w:sz="6" w:space="0" w:color="auto"/>
              <w:right w:val="nil"/>
            </w:tcBorders>
            <w:shd w:val="clear" w:color="auto" w:fill="auto"/>
            <w:noWrap/>
            <w:vAlign w:val="bottom"/>
            <w:hideMark/>
          </w:tcPr>
          <w:p w14:paraId="27CCB87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ST</w:t>
            </w:r>
          </w:p>
        </w:tc>
        <w:tc>
          <w:tcPr>
            <w:tcW w:w="632" w:type="dxa"/>
            <w:tcBorders>
              <w:top w:val="nil"/>
              <w:left w:val="nil"/>
              <w:bottom w:val="double" w:sz="6" w:space="0" w:color="auto"/>
              <w:right w:val="nil"/>
            </w:tcBorders>
            <w:shd w:val="clear" w:color="auto" w:fill="auto"/>
            <w:noWrap/>
            <w:vAlign w:val="bottom"/>
            <w:hideMark/>
          </w:tcPr>
          <w:p w14:paraId="73CD796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A</w:t>
            </w:r>
          </w:p>
        </w:tc>
        <w:tc>
          <w:tcPr>
            <w:tcW w:w="632" w:type="dxa"/>
            <w:tcBorders>
              <w:top w:val="nil"/>
              <w:left w:val="nil"/>
              <w:bottom w:val="double" w:sz="6" w:space="0" w:color="auto"/>
              <w:right w:val="nil"/>
            </w:tcBorders>
            <w:shd w:val="clear" w:color="auto" w:fill="auto"/>
            <w:noWrap/>
            <w:vAlign w:val="bottom"/>
            <w:hideMark/>
          </w:tcPr>
          <w:p w14:paraId="2CB866C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VK</w:t>
            </w:r>
          </w:p>
        </w:tc>
        <w:tc>
          <w:tcPr>
            <w:tcW w:w="619" w:type="dxa"/>
            <w:tcBorders>
              <w:top w:val="nil"/>
              <w:left w:val="nil"/>
              <w:bottom w:val="double" w:sz="6" w:space="0" w:color="auto"/>
              <w:right w:val="nil"/>
            </w:tcBorders>
            <w:shd w:val="clear" w:color="auto" w:fill="auto"/>
            <w:noWrap/>
            <w:vAlign w:val="bottom"/>
            <w:hideMark/>
          </w:tcPr>
          <w:p w14:paraId="394A9BE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PÚ</w:t>
            </w:r>
          </w:p>
        </w:tc>
        <w:tc>
          <w:tcPr>
            <w:tcW w:w="632" w:type="dxa"/>
            <w:tcBorders>
              <w:top w:val="nil"/>
              <w:left w:val="nil"/>
              <w:bottom w:val="double" w:sz="6" w:space="0" w:color="auto"/>
              <w:right w:val="nil"/>
            </w:tcBorders>
            <w:shd w:val="clear" w:color="auto" w:fill="auto"/>
            <w:noWrap/>
            <w:vAlign w:val="bottom"/>
            <w:hideMark/>
          </w:tcPr>
          <w:p w14:paraId="7E4BEA0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Z</w:t>
            </w:r>
          </w:p>
        </w:tc>
        <w:tc>
          <w:tcPr>
            <w:tcW w:w="615" w:type="dxa"/>
            <w:tcBorders>
              <w:top w:val="nil"/>
              <w:left w:val="nil"/>
              <w:bottom w:val="double" w:sz="6" w:space="0" w:color="auto"/>
              <w:right w:val="nil"/>
            </w:tcBorders>
            <w:shd w:val="clear" w:color="auto" w:fill="auto"/>
            <w:noWrap/>
            <w:vAlign w:val="bottom"/>
            <w:hideMark/>
          </w:tcPr>
          <w:p w14:paraId="415EB53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RV</w:t>
            </w:r>
          </w:p>
        </w:tc>
        <w:tc>
          <w:tcPr>
            <w:tcW w:w="1392" w:type="dxa"/>
            <w:tcBorders>
              <w:top w:val="nil"/>
              <w:left w:val="nil"/>
              <w:bottom w:val="double" w:sz="6" w:space="0" w:color="auto"/>
              <w:right w:val="nil"/>
            </w:tcBorders>
            <w:shd w:val="clear" w:color="auto" w:fill="auto"/>
            <w:noWrap/>
            <w:vAlign w:val="bottom"/>
            <w:hideMark/>
          </w:tcPr>
          <w:p w14:paraId="695BA7C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Celkem</w:t>
            </w:r>
          </w:p>
        </w:tc>
      </w:tr>
      <w:tr w:rsidR="008430BD" w:rsidRPr="001C3EC8" w14:paraId="726DC25E" w14:textId="77777777" w:rsidTr="00E077F3">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429C49C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52" w:type="dxa"/>
            <w:tcBorders>
              <w:top w:val="single" w:sz="4" w:space="0" w:color="auto"/>
              <w:left w:val="nil"/>
              <w:bottom w:val="single" w:sz="4" w:space="0" w:color="auto"/>
              <w:right w:val="nil"/>
            </w:tcBorders>
            <w:shd w:val="clear" w:color="auto" w:fill="auto"/>
            <w:noWrap/>
            <w:vAlign w:val="bottom"/>
            <w:hideMark/>
          </w:tcPr>
          <w:p w14:paraId="00C6D7D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w:t>
            </w:r>
          </w:p>
        </w:tc>
        <w:tc>
          <w:tcPr>
            <w:tcW w:w="546" w:type="dxa"/>
            <w:tcBorders>
              <w:top w:val="single" w:sz="4" w:space="0" w:color="auto"/>
              <w:left w:val="nil"/>
              <w:bottom w:val="single" w:sz="4" w:space="0" w:color="auto"/>
              <w:right w:val="nil"/>
            </w:tcBorders>
            <w:shd w:val="clear" w:color="auto" w:fill="auto"/>
            <w:noWrap/>
            <w:vAlign w:val="bottom"/>
            <w:hideMark/>
          </w:tcPr>
          <w:p w14:paraId="675251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w:t>
            </w:r>
          </w:p>
        </w:tc>
        <w:tc>
          <w:tcPr>
            <w:tcW w:w="632" w:type="dxa"/>
            <w:tcBorders>
              <w:top w:val="single" w:sz="4" w:space="0" w:color="auto"/>
              <w:left w:val="nil"/>
              <w:bottom w:val="single" w:sz="4" w:space="0" w:color="auto"/>
              <w:right w:val="nil"/>
            </w:tcBorders>
            <w:shd w:val="clear" w:color="auto" w:fill="auto"/>
            <w:noWrap/>
            <w:vAlign w:val="bottom"/>
            <w:hideMark/>
          </w:tcPr>
          <w:p w14:paraId="5C012CE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w:t>
            </w:r>
          </w:p>
        </w:tc>
        <w:tc>
          <w:tcPr>
            <w:tcW w:w="632" w:type="dxa"/>
            <w:tcBorders>
              <w:top w:val="single" w:sz="4" w:space="0" w:color="auto"/>
              <w:left w:val="nil"/>
              <w:bottom w:val="single" w:sz="4" w:space="0" w:color="auto"/>
              <w:right w:val="nil"/>
            </w:tcBorders>
            <w:shd w:val="clear" w:color="auto" w:fill="auto"/>
            <w:noWrap/>
            <w:vAlign w:val="bottom"/>
            <w:hideMark/>
          </w:tcPr>
          <w:p w14:paraId="34245B0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136</w:t>
            </w:r>
          </w:p>
        </w:tc>
        <w:tc>
          <w:tcPr>
            <w:tcW w:w="619" w:type="dxa"/>
            <w:tcBorders>
              <w:top w:val="single" w:sz="4" w:space="0" w:color="auto"/>
              <w:left w:val="nil"/>
              <w:bottom w:val="single" w:sz="4" w:space="0" w:color="auto"/>
              <w:right w:val="nil"/>
            </w:tcBorders>
            <w:shd w:val="clear" w:color="auto" w:fill="auto"/>
            <w:noWrap/>
            <w:vAlign w:val="bottom"/>
            <w:hideMark/>
          </w:tcPr>
          <w:p w14:paraId="71C515D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632" w:type="dxa"/>
            <w:tcBorders>
              <w:top w:val="single" w:sz="4" w:space="0" w:color="auto"/>
              <w:left w:val="nil"/>
              <w:bottom w:val="single" w:sz="4" w:space="0" w:color="auto"/>
              <w:right w:val="nil"/>
            </w:tcBorders>
            <w:shd w:val="clear" w:color="auto" w:fill="auto"/>
            <w:noWrap/>
            <w:vAlign w:val="bottom"/>
            <w:hideMark/>
          </w:tcPr>
          <w:p w14:paraId="30E32A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615" w:type="dxa"/>
            <w:tcBorders>
              <w:top w:val="single" w:sz="4" w:space="0" w:color="auto"/>
              <w:left w:val="nil"/>
              <w:bottom w:val="single" w:sz="4" w:space="0" w:color="auto"/>
              <w:right w:val="nil"/>
            </w:tcBorders>
            <w:shd w:val="clear" w:color="auto" w:fill="auto"/>
            <w:noWrap/>
            <w:vAlign w:val="bottom"/>
            <w:hideMark/>
          </w:tcPr>
          <w:p w14:paraId="15D9AB8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1392" w:type="dxa"/>
            <w:tcBorders>
              <w:top w:val="single" w:sz="4" w:space="0" w:color="auto"/>
              <w:left w:val="nil"/>
              <w:bottom w:val="single" w:sz="4" w:space="0" w:color="auto"/>
              <w:right w:val="nil"/>
            </w:tcBorders>
            <w:shd w:val="clear" w:color="auto" w:fill="auto"/>
            <w:noWrap/>
            <w:vAlign w:val="bottom"/>
            <w:hideMark/>
          </w:tcPr>
          <w:p w14:paraId="5A971E2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424</w:t>
            </w:r>
          </w:p>
        </w:tc>
      </w:tr>
      <w:tr w:rsidR="008430BD" w:rsidRPr="001C3EC8" w14:paraId="1A69AD0A"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77C6936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52" w:type="dxa"/>
            <w:tcBorders>
              <w:top w:val="nil"/>
              <w:left w:val="nil"/>
              <w:bottom w:val="single" w:sz="4" w:space="0" w:color="auto"/>
              <w:right w:val="nil"/>
            </w:tcBorders>
            <w:shd w:val="clear" w:color="auto" w:fill="auto"/>
            <w:noWrap/>
            <w:vAlign w:val="bottom"/>
            <w:hideMark/>
          </w:tcPr>
          <w:p w14:paraId="1812791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w:t>
            </w:r>
          </w:p>
        </w:tc>
        <w:tc>
          <w:tcPr>
            <w:tcW w:w="546" w:type="dxa"/>
            <w:tcBorders>
              <w:top w:val="nil"/>
              <w:left w:val="nil"/>
              <w:bottom w:val="single" w:sz="4" w:space="0" w:color="auto"/>
              <w:right w:val="nil"/>
            </w:tcBorders>
            <w:shd w:val="clear" w:color="auto" w:fill="auto"/>
            <w:noWrap/>
            <w:vAlign w:val="bottom"/>
            <w:hideMark/>
          </w:tcPr>
          <w:p w14:paraId="17BB4B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632" w:type="dxa"/>
            <w:tcBorders>
              <w:top w:val="nil"/>
              <w:left w:val="nil"/>
              <w:bottom w:val="single" w:sz="4" w:space="0" w:color="auto"/>
              <w:right w:val="nil"/>
            </w:tcBorders>
            <w:shd w:val="clear" w:color="auto" w:fill="auto"/>
            <w:noWrap/>
            <w:vAlign w:val="bottom"/>
            <w:hideMark/>
          </w:tcPr>
          <w:p w14:paraId="073E158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632" w:type="dxa"/>
            <w:tcBorders>
              <w:top w:val="nil"/>
              <w:left w:val="nil"/>
              <w:bottom w:val="single" w:sz="4" w:space="0" w:color="auto"/>
              <w:right w:val="nil"/>
            </w:tcBorders>
            <w:shd w:val="clear" w:color="auto" w:fill="auto"/>
            <w:noWrap/>
            <w:vAlign w:val="bottom"/>
            <w:hideMark/>
          </w:tcPr>
          <w:p w14:paraId="73CD463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619" w:type="dxa"/>
            <w:tcBorders>
              <w:top w:val="nil"/>
              <w:left w:val="nil"/>
              <w:bottom w:val="single" w:sz="4" w:space="0" w:color="auto"/>
              <w:right w:val="nil"/>
            </w:tcBorders>
            <w:shd w:val="clear" w:color="auto" w:fill="auto"/>
            <w:noWrap/>
            <w:vAlign w:val="bottom"/>
            <w:hideMark/>
          </w:tcPr>
          <w:p w14:paraId="250AB7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632" w:type="dxa"/>
            <w:tcBorders>
              <w:top w:val="nil"/>
              <w:left w:val="nil"/>
              <w:bottom w:val="single" w:sz="4" w:space="0" w:color="auto"/>
              <w:right w:val="nil"/>
            </w:tcBorders>
            <w:shd w:val="clear" w:color="auto" w:fill="auto"/>
            <w:noWrap/>
            <w:vAlign w:val="bottom"/>
            <w:hideMark/>
          </w:tcPr>
          <w:p w14:paraId="2735DE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615" w:type="dxa"/>
            <w:tcBorders>
              <w:top w:val="nil"/>
              <w:left w:val="nil"/>
              <w:bottom w:val="single" w:sz="4" w:space="0" w:color="auto"/>
              <w:right w:val="nil"/>
            </w:tcBorders>
            <w:shd w:val="clear" w:color="auto" w:fill="auto"/>
            <w:noWrap/>
            <w:vAlign w:val="bottom"/>
            <w:hideMark/>
          </w:tcPr>
          <w:p w14:paraId="58AEBF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1392" w:type="dxa"/>
            <w:tcBorders>
              <w:top w:val="nil"/>
              <w:left w:val="nil"/>
              <w:bottom w:val="single" w:sz="4" w:space="0" w:color="auto"/>
              <w:right w:val="nil"/>
            </w:tcBorders>
            <w:shd w:val="clear" w:color="auto" w:fill="auto"/>
            <w:noWrap/>
            <w:vAlign w:val="bottom"/>
            <w:hideMark/>
          </w:tcPr>
          <w:p w14:paraId="42F70AE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151</w:t>
            </w:r>
          </w:p>
        </w:tc>
      </w:tr>
      <w:tr w:rsidR="008430BD" w:rsidRPr="001C3EC8" w14:paraId="31C18592"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632014C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52" w:type="dxa"/>
            <w:tcBorders>
              <w:top w:val="nil"/>
              <w:left w:val="nil"/>
              <w:bottom w:val="single" w:sz="4" w:space="0" w:color="auto"/>
              <w:right w:val="nil"/>
            </w:tcBorders>
            <w:shd w:val="clear" w:color="auto" w:fill="auto"/>
            <w:noWrap/>
            <w:vAlign w:val="bottom"/>
            <w:hideMark/>
          </w:tcPr>
          <w:p w14:paraId="60CAD0D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w:t>
            </w:r>
          </w:p>
        </w:tc>
        <w:tc>
          <w:tcPr>
            <w:tcW w:w="546" w:type="dxa"/>
            <w:tcBorders>
              <w:top w:val="nil"/>
              <w:left w:val="nil"/>
              <w:bottom w:val="single" w:sz="4" w:space="0" w:color="auto"/>
              <w:right w:val="nil"/>
            </w:tcBorders>
            <w:shd w:val="clear" w:color="auto" w:fill="auto"/>
            <w:noWrap/>
            <w:vAlign w:val="bottom"/>
            <w:hideMark/>
          </w:tcPr>
          <w:p w14:paraId="5FBAB62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632" w:type="dxa"/>
            <w:tcBorders>
              <w:top w:val="nil"/>
              <w:left w:val="nil"/>
              <w:bottom w:val="single" w:sz="4" w:space="0" w:color="auto"/>
              <w:right w:val="nil"/>
            </w:tcBorders>
            <w:shd w:val="clear" w:color="auto" w:fill="auto"/>
            <w:noWrap/>
            <w:vAlign w:val="bottom"/>
            <w:hideMark/>
          </w:tcPr>
          <w:p w14:paraId="18EBAF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w:t>
            </w:r>
          </w:p>
        </w:tc>
        <w:tc>
          <w:tcPr>
            <w:tcW w:w="632" w:type="dxa"/>
            <w:tcBorders>
              <w:top w:val="nil"/>
              <w:left w:val="nil"/>
              <w:bottom w:val="single" w:sz="4" w:space="0" w:color="auto"/>
              <w:right w:val="nil"/>
            </w:tcBorders>
            <w:shd w:val="clear" w:color="auto" w:fill="auto"/>
            <w:noWrap/>
            <w:vAlign w:val="bottom"/>
            <w:hideMark/>
          </w:tcPr>
          <w:p w14:paraId="24BF0C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w:t>
            </w:r>
          </w:p>
        </w:tc>
        <w:tc>
          <w:tcPr>
            <w:tcW w:w="619" w:type="dxa"/>
            <w:tcBorders>
              <w:top w:val="nil"/>
              <w:left w:val="nil"/>
              <w:bottom w:val="single" w:sz="4" w:space="0" w:color="auto"/>
              <w:right w:val="nil"/>
            </w:tcBorders>
            <w:shd w:val="clear" w:color="auto" w:fill="auto"/>
            <w:noWrap/>
            <w:vAlign w:val="bottom"/>
            <w:hideMark/>
          </w:tcPr>
          <w:p w14:paraId="504A0C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632" w:type="dxa"/>
            <w:tcBorders>
              <w:top w:val="nil"/>
              <w:left w:val="nil"/>
              <w:bottom w:val="single" w:sz="4" w:space="0" w:color="auto"/>
              <w:right w:val="nil"/>
            </w:tcBorders>
            <w:shd w:val="clear" w:color="auto" w:fill="auto"/>
            <w:noWrap/>
            <w:vAlign w:val="bottom"/>
            <w:hideMark/>
          </w:tcPr>
          <w:p w14:paraId="43BE08E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w:t>
            </w:r>
          </w:p>
        </w:tc>
        <w:tc>
          <w:tcPr>
            <w:tcW w:w="615" w:type="dxa"/>
            <w:tcBorders>
              <w:top w:val="nil"/>
              <w:left w:val="nil"/>
              <w:bottom w:val="single" w:sz="4" w:space="0" w:color="auto"/>
              <w:right w:val="nil"/>
            </w:tcBorders>
            <w:shd w:val="clear" w:color="auto" w:fill="auto"/>
            <w:noWrap/>
            <w:vAlign w:val="bottom"/>
            <w:hideMark/>
          </w:tcPr>
          <w:p w14:paraId="6C682A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p>
        </w:tc>
        <w:tc>
          <w:tcPr>
            <w:tcW w:w="1392" w:type="dxa"/>
            <w:tcBorders>
              <w:top w:val="nil"/>
              <w:left w:val="nil"/>
              <w:bottom w:val="single" w:sz="4" w:space="0" w:color="auto"/>
              <w:right w:val="nil"/>
            </w:tcBorders>
            <w:shd w:val="clear" w:color="auto" w:fill="auto"/>
            <w:noWrap/>
            <w:vAlign w:val="bottom"/>
            <w:hideMark/>
          </w:tcPr>
          <w:p w14:paraId="733E229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103</w:t>
            </w:r>
          </w:p>
        </w:tc>
      </w:tr>
      <w:tr w:rsidR="008430BD" w:rsidRPr="001C3EC8" w14:paraId="280E6D99"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682E0AF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52" w:type="dxa"/>
            <w:tcBorders>
              <w:top w:val="nil"/>
              <w:left w:val="nil"/>
              <w:bottom w:val="single" w:sz="4" w:space="0" w:color="auto"/>
              <w:right w:val="nil"/>
            </w:tcBorders>
            <w:shd w:val="clear" w:color="auto" w:fill="auto"/>
            <w:noWrap/>
            <w:vAlign w:val="bottom"/>
            <w:hideMark/>
          </w:tcPr>
          <w:p w14:paraId="496809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546" w:type="dxa"/>
            <w:tcBorders>
              <w:top w:val="nil"/>
              <w:left w:val="nil"/>
              <w:bottom w:val="single" w:sz="4" w:space="0" w:color="auto"/>
              <w:right w:val="nil"/>
            </w:tcBorders>
            <w:shd w:val="clear" w:color="auto" w:fill="auto"/>
            <w:noWrap/>
            <w:vAlign w:val="bottom"/>
            <w:hideMark/>
          </w:tcPr>
          <w:p w14:paraId="375306D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p>
        </w:tc>
        <w:tc>
          <w:tcPr>
            <w:tcW w:w="632" w:type="dxa"/>
            <w:tcBorders>
              <w:top w:val="nil"/>
              <w:left w:val="nil"/>
              <w:bottom w:val="single" w:sz="4" w:space="0" w:color="auto"/>
              <w:right w:val="nil"/>
            </w:tcBorders>
            <w:shd w:val="clear" w:color="auto" w:fill="auto"/>
            <w:noWrap/>
            <w:vAlign w:val="bottom"/>
            <w:hideMark/>
          </w:tcPr>
          <w:p w14:paraId="073A7C9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w:t>
            </w:r>
          </w:p>
        </w:tc>
        <w:tc>
          <w:tcPr>
            <w:tcW w:w="632" w:type="dxa"/>
            <w:tcBorders>
              <w:top w:val="nil"/>
              <w:left w:val="nil"/>
              <w:bottom w:val="single" w:sz="4" w:space="0" w:color="auto"/>
              <w:right w:val="nil"/>
            </w:tcBorders>
            <w:shd w:val="clear" w:color="auto" w:fill="auto"/>
            <w:noWrap/>
            <w:vAlign w:val="bottom"/>
            <w:hideMark/>
          </w:tcPr>
          <w:p w14:paraId="69C96F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619" w:type="dxa"/>
            <w:tcBorders>
              <w:top w:val="nil"/>
              <w:left w:val="nil"/>
              <w:bottom w:val="single" w:sz="4" w:space="0" w:color="auto"/>
              <w:right w:val="nil"/>
            </w:tcBorders>
            <w:shd w:val="clear" w:color="auto" w:fill="auto"/>
            <w:noWrap/>
            <w:vAlign w:val="bottom"/>
            <w:hideMark/>
          </w:tcPr>
          <w:p w14:paraId="6FD90D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632" w:type="dxa"/>
            <w:tcBorders>
              <w:top w:val="nil"/>
              <w:left w:val="nil"/>
              <w:bottom w:val="single" w:sz="4" w:space="0" w:color="auto"/>
              <w:right w:val="nil"/>
            </w:tcBorders>
            <w:shd w:val="clear" w:color="auto" w:fill="auto"/>
            <w:noWrap/>
            <w:vAlign w:val="bottom"/>
            <w:hideMark/>
          </w:tcPr>
          <w:p w14:paraId="74E4FF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w:t>
            </w:r>
          </w:p>
        </w:tc>
        <w:tc>
          <w:tcPr>
            <w:tcW w:w="615" w:type="dxa"/>
            <w:tcBorders>
              <w:top w:val="nil"/>
              <w:left w:val="nil"/>
              <w:bottom w:val="single" w:sz="4" w:space="0" w:color="auto"/>
              <w:right w:val="nil"/>
            </w:tcBorders>
            <w:shd w:val="clear" w:color="auto" w:fill="auto"/>
            <w:noWrap/>
            <w:vAlign w:val="bottom"/>
            <w:hideMark/>
          </w:tcPr>
          <w:p w14:paraId="10257AD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p>
        </w:tc>
        <w:tc>
          <w:tcPr>
            <w:tcW w:w="1392" w:type="dxa"/>
            <w:tcBorders>
              <w:top w:val="nil"/>
              <w:left w:val="nil"/>
              <w:bottom w:val="single" w:sz="4" w:space="0" w:color="auto"/>
              <w:right w:val="nil"/>
            </w:tcBorders>
            <w:shd w:val="clear" w:color="auto" w:fill="auto"/>
            <w:noWrap/>
            <w:vAlign w:val="bottom"/>
            <w:hideMark/>
          </w:tcPr>
          <w:p w14:paraId="08E72F4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129</w:t>
            </w:r>
          </w:p>
        </w:tc>
      </w:tr>
      <w:tr w:rsidR="008430BD" w:rsidRPr="001C3EC8" w14:paraId="5E0FF8AC"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4C8F4B2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52" w:type="dxa"/>
            <w:tcBorders>
              <w:top w:val="nil"/>
              <w:left w:val="nil"/>
              <w:bottom w:val="single" w:sz="4" w:space="0" w:color="auto"/>
              <w:right w:val="nil"/>
            </w:tcBorders>
            <w:shd w:val="clear" w:color="auto" w:fill="auto"/>
            <w:noWrap/>
            <w:vAlign w:val="bottom"/>
            <w:hideMark/>
          </w:tcPr>
          <w:p w14:paraId="304285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w:t>
            </w:r>
          </w:p>
        </w:tc>
        <w:tc>
          <w:tcPr>
            <w:tcW w:w="546" w:type="dxa"/>
            <w:tcBorders>
              <w:top w:val="nil"/>
              <w:left w:val="nil"/>
              <w:bottom w:val="single" w:sz="4" w:space="0" w:color="auto"/>
              <w:right w:val="nil"/>
            </w:tcBorders>
            <w:shd w:val="clear" w:color="auto" w:fill="auto"/>
            <w:noWrap/>
            <w:vAlign w:val="bottom"/>
            <w:hideMark/>
          </w:tcPr>
          <w:p w14:paraId="030D84B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c>
          <w:tcPr>
            <w:tcW w:w="632" w:type="dxa"/>
            <w:tcBorders>
              <w:top w:val="nil"/>
              <w:left w:val="nil"/>
              <w:bottom w:val="single" w:sz="4" w:space="0" w:color="auto"/>
              <w:right w:val="nil"/>
            </w:tcBorders>
            <w:shd w:val="clear" w:color="auto" w:fill="auto"/>
            <w:noWrap/>
            <w:vAlign w:val="bottom"/>
            <w:hideMark/>
          </w:tcPr>
          <w:p w14:paraId="38A9842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w:t>
            </w:r>
          </w:p>
        </w:tc>
        <w:tc>
          <w:tcPr>
            <w:tcW w:w="632" w:type="dxa"/>
            <w:tcBorders>
              <w:top w:val="nil"/>
              <w:left w:val="nil"/>
              <w:bottom w:val="single" w:sz="4" w:space="0" w:color="auto"/>
              <w:right w:val="nil"/>
            </w:tcBorders>
            <w:shd w:val="clear" w:color="auto" w:fill="auto"/>
            <w:noWrap/>
            <w:vAlign w:val="bottom"/>
            <w:hideMark/>
          </w:tcPr>
          <w:p w14:paraId="5A3E8E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w:t>
            </w:r>
          </w:p>
        </w:tc>
        <w:tc>
          <w:tcPr>
            <w:tcW w:w="619" w:type="dxa"/>
            <w:tcBorders>
              <w:top w:val="nil"/>
              <w:left w:val="nil"/>
              <w:bottom w:val="single" w:sz="4" w:space="0" w:color="auto"/>
              <w:right w:val="nil"/>
            </w:tcBorders>
            <w:shd w:val="clear" w:color="auto" w:fill="auto"/>
            <w:noWrap/>
            <w:vAlign w:val="bottom"/>
            <w:hideMark/>
          </w:tcPr>
          <w:p w14:paraId="2CDD669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c>
          <w:tcPr>
            <w:tcW w:w="632" w:type="dxa"/>
            <w:tcBorders>
              <w:top w:val="nil"/>
              <w:left w:val="nil"/>
              <w:bottom w:val="single" w:sz="4" w:space="0" w:color="auto"/>
              <w:right w:val="nil"/>
            </w:tcBorders>
            <w:shd w:val="clear" w:color="auto" w:fill="auto"/>
            <w:noWrap/>
            <w:vAlign w:val="bottom"/>
            <w:hideMark/>
          </w:tcPr>
          <w:p w14:paraId="44B47F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w:t>
            </w:r>
          </w:p>
        </w:tc>
        <w:tc>
          <w:tcPr>
            <w:tcW w:w="615" w:type="dxa"/>
            <w:tcBorders>
              <w:top w:val="nil"/>
              <w:left w:val="nil"/>
              <w:bottom w:val="single" w:sz="4" w:space="0" w:color="auto"/>
              <w:right w:val="nil"/>
            </w:tcBorders>
            <w:shd w:val="clear" w:color="auto" w:fill="auto"/>
            <w:noWrap/>
            <w:vAlign w:val="bottom"/>
            <w:hideMark/>
          </w:tcPr>
          <w:p w14:paraId="5B8190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c>
          <w:tcPr>
            <w:tcW w:w="1392" w:type="dxa"/>
            <w:tcBorders>
              <w:top w:val="nil"/>
              <w:left w:val="nil"/>
              <w:bottom w:val="single" w:sz="4" w:space="0" w:color="auto"/>
              <w:right w:val="nil"/>
            </w:tcBorders>
            <w:shd w:val="clear" w:color="auto" w:fill="auto"/>
            <w:noWrap/>
            <w:vAlign w:val="bottom"/>
            <w:hideMark/>
          </w:tcPr>
          <w:p w14:paraId="1492C80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228</w:t>
            </w:r>
          </w:p>
        </w:tc>
      </w:tr>
      <w:tr w:rsidR="008430BD" w:rsidRPr="001C3EC8" w14:paraId="4E040CC3"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25C3D9A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52" w:type="dxa"/>
            <w:tcBorders>
              <w:top w:val="nil"/>
              <w:left w:val="nil"/>
              <w:bottom w:val="single" w:sz="4" w:space="0" w:color="auto"/>
              <w:right w:val="nil"/>
            </w:tcBorders>
            <w:shd w:val="clear" w:color="auto" w:fill="auto"/>
            <w:noWrap/>
            <w:vAlign w:val="bottom"/>
            <w:hideMark/>
          </w:tcPr>
          <w:p w14:paraId="658240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w:t>
            </w:r>
          </w:p>
        </w:tc>
        <w:tc>
          <w:tcPr>
            <w:tcW w:w="546" w:type="dxa"/>
            <w:tcBorders>
              <w:top w:val="nil"/>
              <w:left w:val="nil"/>
              <w:bottom w:val="single" w:sz="4" w:space="0" w:color="auto"/>
              <w:right w:val="nil"/>
            </w:tcBorders>
            <w:shd w:val="clear" w:color="auto" w:fill="auto"/>
            <w:noWrap/>
            <w:vAlign w:val="bottom"/>
            <w:hideMark/>
          </w:tcPr>
          <w:p w14:paraId="50E89E6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632" w:type="dxa"/>
            <w:tcBorders>
              <w:top w:val="nil"/>
              <w:left w:val="nil"/>
              <w:bottom w:val="single" w:sz="4" w:space="0" w:color="auto"/>
              <w:right w:val="nil"/>
            </w:tcBorders>
            <w:shd w:val="clear" w:color="auto" w:fill="auto"/>
            <w:noWrap/>
            <w:vAlign w:val="bottom"/>
            <w:hideMark/>
          </w:tcPr>
          <w:p w14:paraId="071117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w:t>
            </w:r>
          </w:p>
        </w:tc>
        <w:tc>
          <w:tcPr>
            <w:tcW w:w="632" w:type="dxa"/>
            <w:tcBorders>
              <w:top w:val="nil"/>
              <w:left w:val="nil"/>
              <w:bottom w:val="single" w:sz="4" w:space="0" w:color="auto"/>
              <w:right w:val="nil"/>
            </w:tcBorders>
            <w:shd w:val="clear" w:color="auto" w:fill="auto"/>
            <w:noWrap/>
            <w:vAlign w:val="bottom"/>
            <w:hideMark/>
          </w:tcPr>
          <w:p w14:paraId="35BD8E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w:t>
            </w:r>
          </w:p>
        </w:tc>
        <w:tc>
          <w:tcPr>
            <w:tcW w:w="619" w:type="dxa"/>
            <w:tcBorders>
              <w:top w:val="nil"/>
              <w:left w:val="nil"/>
              <w:bottom w:val="single" w:sz="4" w:space="0" w:color="auto"/>
              <w:right w:val="nil"/>
            </w:tcBorders>
            <w:shd w:val="clear" w:color="auto" w:fill="auto"/>
            <w:noWrap/>
            <w:vAlign w:val="bottom"/>
            <w:hideMark/>
          </w:tcPr>
          <w:p w14:paraId="4416DB3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632" w:type="dxa"/>
            <w:tcBorders>
              <w:top w:val="nil"/>
              <w:left w:val="nil"/>
              <w:bottom w:val="single" w:sz="4" w:space="0" w:color="auto"/>
              <w:right w:val="nil"/>
            </w:tcBorders>
            <w:shd w:val="clear" w:color="auto" w:fill="auto"/>
            <w:noWrap/>
            <w:vAlign w:val="bottom"/>
            <w:hideMark/>
          </w:tcPr>
          <w:p w14:paraId="3BE47D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w:t>
            </w:r>
          </w:p>
        </w:tc>
        <w:tc>
          <w:tcPr>
            <w:tcW w:w="615" w:type="dxa"/>
            <w:tcBorders>
              <w:top w:val="nil"/>
              <w:left w:val="nil"/>
              <w:bottom w:val="single" w:sz="4" w:space="0" w:color="auto"/>
              <w:right w:val="nil"/>
            </w:tcBorders>
            <w:shd w:val="clear" w:color="auto" w:fill="auto"/>
            <w:noWrap/>
            <w:vAlign w:val="bottom"/>
            <w:hideMark/>
          </w:tcPr>
          <w:p w14:paraId="479F7FF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1392" w:type="dxa"/>
            <w:tcBorders>
              <w:top w:val="nil"/>
              <w:left w:val="nil"/>
              <w:bottom w:val="single" w:sz="4" w:space="0" w:color="auto"/>
              <w:right w:val="nil"/>
            </w:tcBorders>
            <w:shd w:val="clear" w:color="auto" w:fill="auto"/>
            <w:noWrap/>
            <w:vAlign w:val="bottom"/>
            <w:hideMark/>
          </w:tcPr>
          <w:p w14:paraId="4CFE2CA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134</w:t>
            </w:r>
          </w:p>
        </w:tc>
      </w:tr>
      <w:tr w:rsidR="008430BD" w:rsidRPr="001C3EC8" w14:paraId="02305A65" w14:textId="77777777" w:rsidTr="00E077F3">
        <w:trPr>
          <w:trHeight w:val="315"/>
        </w:trPr>
        <w:tc>
          <w:tcPr>
            <w:tcW w:w="2080" w:type="dxa"/>
            <w:tcBorders>
              <w:top w:val="nil"/>
              <w:left w:val="nil"/>
              <w:bottom w:val="single" w:sz="4" w:space="0" w:color="auto"/>
              <w:right w:val="nil"/>
            </w:tcBorders>
            <w:shd w:val="clear" w:color="auto" w:fill="auto"/>
            <w:noWrap/>
            <w:vAlign w:val="bottom"/>
            <w:hideMark/>
          </w:tcPr>
          <w:p w14:paraId="0C6A659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52" w:type="dxa"/>
            <w:tcBorders>
              <w:top w:val="nil"/>
              <w:left w:val="nil"/>
              <w:bottom w:val="single" w:sz="4" w:space="0" w:color="auto"/>
              <w:right w:val="nil"/>
            </w:tcBorders>
            <w:shd w:val="clear" w:color="auto" w:fill="auto"/>
            <w:noWrap/>
            <w:vAlign w:val="bottom"/>
            <w:hideMark/>
          </w:tcPr>
          <w:p w14:paraId="68C90A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w:t>
            </w:r>
          </w:p>
        </w:tc>
        <w:tc>
          <w:tcPr>
            <w:tcW w:w="546" w:type="dxa"/>
            <w:tcBorders>
              <w:top w:val="nil"/>
              <w:left w:val="nil"/>
              <w:bottom w:val="single" w:sz="4" w:space="0" w:color="auto"/>
              <w:right w:val="nil"/>
            </w:tcBorders>
            <w:shd w:val="clear" w:color="auto" w:fill="auto"/>
            <w:noWrap/>
            <w:vAlign w:val="bottom"/>
            <w:hideMark/>
          </w:tcPr>
          <w:p w14:paraId="03A5DCB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c>
          <w:tcPr>
            <w:tcW w:w="632" w:type="dxa"/>
            <w:tcBorders>
              <w:top w:val="nil"/>
              <w:left w:val="nil"/>
              <w:bottom w:val="single" w:sz="4" w:space="0" w:color="auto"/>
              <w:right w:val="nil"/>
            </w:tcBorders>
            <w:shd w:val="clear" w:color="auto" w:fill="auto"/>
            <w:noWrap/>
            <w:vAlign w:val="bottom"/>
            <w:hideMark/>
          </w:tcPr>
          <w:p w14:paraId="0D116C7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632" w:type="dxa"/>
            <w:tcBorders>
              <w:top w:val="nil"/>
              <w:left w:val="nil"/>
              <w:bottom w:val="single" w:sz="4" w:space="0" w:color="auto"/>
              <w:right w:val="nil"/>
            </w:tcBorders>
            <w:shd w:val="clear" w:color="auto" w:fill="auto"/>
            <w:noWrap/>
            <w:vAlign w:val="bottom"/>
            <w:hideMark/>
          </w:tcPr>
          <w:p w14:paraId="707AE11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w:t>
            </w:r>
          </w:p>
        </w:tc>
        <w:tc>
          <w:tcPr>
            <w:tcW w:w="619" w:type="dxa"/>
            <w:tcBorders>
              <w:top w:val="nil"/>
              <w:left w:val="nil"/>
              <w:bottom w:val="single" w:sz="4" w:space="0" w:color="auto"/>
              <w:right w:val="nil"/>
            </w:tcBorders>
            <w:shd w:val="clear" w:color="auto" w:fill="auto"/>
            <w:noWrap/>
            <w:vAlign w:val="bottom"/>
            <w:hideMark/>
          </w:tcPr>
          <w:p w14:paraId="351A94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w:t>
            </w:r>
          </w:p>
        </w:tc>
        <w:tc>
          <w:tcPr>
            <w:tcW w:w="632" w:type="dxa"/>
            <w:tcBorders>
              <w:top w:val="nil"/>
              <w:left w:val="nil"/>
              <w:bottom w:val="single" w:sz="4" w:space="0" w:color="auto"/>
              <w:right w:val="nil"/>
            </w:tcBorders>
            <w:shd w:val="clear" w:color="auto" w:fill="auto"/>
            <w:noWrap/>
            <w:vAlign w:val="bottom"/>
            <w:hideMark/>
          </w:tcPr>
          <w:p w14:paraId="57BC649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w:t>
            </w:r>
          </w:p>
        </w:tc>
        <w:tc>
          <w:tcPr>
            <w:tcW w:w="615" w:type="dxa"/>
            <w:tcBorders>
              <w:top w:val="nil"/>
              <w:left w:val="nil"/>
              <w:bottom w:val="single" w:sz="4" w:space="0" w:color="auto"/>
              <w:right w:val="nil"/>
            </w:tcBorders>
            <w:shd w:val="clear" w:color="auto" w:fill="auto"/>
            <w:noWrap/>
            <w:vAlign w:val="bottom"/>
            <w:hideMark/>
          </w:tcPr>
          <w:p w14:paraId="716D17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w:t>
            </w:r>
          </w:p>
        </w:tc>
        <w:tc>
          <w:tcPr>
            <w:tcW w:w="1392" w:type="dxa"/>
            <w:tcBorders>
              <w:top w:val="nil"/>
              <w:left w:val="nil"/>
              <w:bottom w:val="single" w:sz="4" w:space="0" w:color="auto"/>
              <w:right w:val="nil"/>
            </w:tcBorders>
            <w:shd w:val="clear" w:color="auto" w:fill="auto"/>
            <w:noWrap/>
            <w:vAlign w:val="bottom"/>
            <w:hideMark/>
          </w:tcPr>
          <w:p w14:paraId="0138FC3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270</w:t>
            </w:r>
          </w:p>
        </w:tc>
      </w:tr>
      <w:tr w:rsidR="008430BD" w:rsidRPr="001C3EC8" w14:paraId="5B6DEE35" w14:textId="77777777" w:rsidTr="00E077F3">
        <w:trPr>
          <w:trHeight w:val="330"/>
        </w:trPr>
        <w:tc>
          <w:tcPr>
            <w:tcW w:w="2080" w:type="dxa"/>
            <w:tcBorders>
              <w:top w:val="nil"/>
              <w:left w:val="nil"/>
              <w:bottom w:val="double" w:sz="6" w:space="0" w:color="auto"/>
              <w:right w:val="nil"/>
            </w:tcBorders>
            <w:shd w:val="clear" w:color="auto" w:fill="auto"/>
            <w:noWrap/>
            <w:vAlign w:val="bottom"/>
            <w:hideMark/>
          </w:tcPr>
          <w:p w14:paraId="14087FB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52" w:type="dxa"/>
            <w:tcBorders>
              <w:top w:val="nil"/>
              <w:left w:val="nil"/>
              <w:bottom w:val="double" w:sz="6" w:space="0" w:color="auto"/>
              <w:right w:val="nil"/>
            </w:tcBorders>
            <w:shd w:val="clear" w:color="auto" w:fill="auto"/>
            <w:noWrap/>
            <w:vAlign w:val="bottom"/>
            <w:hideMark/>
          </w:tcPr>
          <w:p w14:paraId="2517E5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w:t>
            </w:r>
          </w:p>
        </w:tc>
        <w:tc>
          <w:tcPr>
            <w:tcW w:w="546" w:type="dxa"/>
            <w:tcBorders>
              <w:top w:val="nil"/>
              <w:left w:val="nil"/>
              <w:bottom w:val="double" w:sz="6" w:space="0" w:color="auto"/>
              <w:right w:val="nil"/>
            </w:tcBorders>
            <w:shd w:val="clear" w:color="auto" w:fill="auto"/>
            <w:noWrap/>
            <w:vAlign w:val="bottom"/>
            <w:hideMark/>
          </w:tcPr>
          <w:p w14:paraId="20C89D2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w:t>
            </w:r>
          </w:p>
        </w:tc>
        <w:tc>
          <w:tcPr>
            <w:tcW w:w="632" w:type="dxa"/>
            <w:tcBorders>
              <w:top w:val="nil"/>
              <w:left w:val="nil"/>
              <w:bottom w:val="double" w:sz="6" w:space="0" w:color="auto"/>
              <w:right w:val="nil"/>
            </w:tcBorders>
            <w:shd w:val="clear" w:color="auto" w:fill="auto"/>
            <w:noWrap/>
            <w:vAlign w:val="bottom"/>
            <w:hideMark/>
          </w:tcPr>
          <w:p w14:paraId="4B411B7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c>
          <w:tcPr>
            <w:tcW w:w="632" w:type="dxa"/>
            <w:tcBorders>
              <w:top w:val="nil"/>
              <w:left w:val="nil"/>
              <w:bottom w:val="double" w:sz="6" w:space="0" w:color="auto"/>
              <w:right w:val="nil"/>
            </w:tcBorders>
            <w:shd w:val="clear" w:color="auto" w:fill="auto"/>
            <w:noWrap/>
            <w:vAlign w:val="bottom"/>
            <w:hideMark/>
          </w:tcPr>
          <w:p w14:paraId="1BC6D0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w:t>
            </w:r>
          </w:p>
        </w:tc>
        <w:tc>
          <w:tcPr>
            <w:tcW w:w="619" w:type="dxa"/>
            <w:tcBorders>
              <w:top w:val="nil"/>
              <w:left w:val="nil"/>
              <w:bottom w:val="double" w:sz="6" w:space="0" w:color="auto"/>
              <w:right w:val="nil"/>
            </w:tcBorders>
            <w:shd w:val="clear" w:color="auto" w:fill="auto"/>
            <w:noWrap/>
            <w:vAlign w:val="bottom"/>
            <w:hideMark/>
          </w:tcPr>
          <w:p w14:paraId="354505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w:t>
            </w:r>
          </w:p>
        </w:tc>
        <w:tc>
          <w:tcPr>
            <w:tcW w:w="632" w:type="dxa"/>
            <w:tcBorders>
              <w:top w:val="nil"/>
              <w:left w:val="nil"/>
              <w:bottom w:val="double" w:sz="6" w:space="0" w:color="auto"/>
              <w:right w:val="nil"/>
            </w:tcBorders>
            <w:shd w:val="clear" w:color="auto" w:fill="auto"/>
            <w:noWrap/>
            <w:vAlign w:val="bottom"/>
            <w:hideMark/>
          </w:tcPr>
          <w:p w14:paraId="33E9BAC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72</w:t>
            </w:r>
          </w:p>
        </w:tc>
        <w:tc>
          <w:tcPr>
            <w:tcW w:w="615" w:type="dxa"/>
            <w:tcBorders>
              <w:top w:val="nil"/>
              <w:left w:val="nil"/>
              <w:bottom w:val="double" w:sz="6" w:space="0" w:color="auto"/>
              <w:right w:val="nil"/>
            </w:tcBorders>
            <w:shd w:val="clear" w:color="auto" w:fill="auto"/>
            <w:noWrap/>
            <w:vAlign w:val="bottom"/>
            <w:hideMark/>
          </w:tcPr>
          <w:p w14:paraId="28AF7A0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c>
          <w:tcPr>
            <w:tcW w:w="1392" w:type="dxa"/>
            <w:tcBorders>
              <w:top w:val="nil"/>
              <w:left w:val="nil"/>
              <w:bottom w:val="nil"/>
              <w:right w:val="nil"/>
            </w:tcBorders>
            <w:shd w:val="clear" w:color="auto" w:fill="auto"/>
            <w:noWrap/>
            <w:vAlign w:val="bottom"/>
            <w:hideMark/>
          </w:tcPr>
          <w:p w14:paraId="6EE828B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289</w:t>
            </w:r>
          </w:p>
        </w:tc>
      </w:tr>
      <w:tr w:rsidR="008430BD" w:rsidRPr="001C3EC8" w14:paraId="28B0D72D" w14:textId="77777777" w:rsidTr="00E077F3">
        <w:trPr>
          <w:trHeight w:val="345"/>
        </w:trPr>
        <w:tc>
          <w:tcPr>
            <w:tcW w:w="2080" w:type="dxa"/>
            <w:tcBorders>
              <w:top w:val="nil"/>
              <w:left w:val="nil"/>
              <w:bottom w:val="double" w:sz="6" w:space="0" w:color="auto"/>
              <w:right w:val="nil"/>
            </w:tcBorders>
            <w:shd w:val="clear" w:color="auto" w:fill="auto"/>
            <w:noWrap/>
            <w:vAlign w:val="bottom"/>
            <w:hideMark/>
          </w:tcPr>
          <w:p w14:paraId="23585447"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52" w:type="dxa"/>
            <w:tcBorders>
              <w:top w:val="nil"/>
              <w:left w:val="nil"/>
              <w:bottom w:val="double" w:sz="6" w:space="0" w:color="auto"/>
              <w:right w:val="nil"/>
            </w:tcBorders>
            <w:shd w:val="clear" w:color="auto" w:fill="auto"/>
            <w:noWrap/>
            <w:vAlign w:val="bottom"/>
            <w:hideMark/>
          </w:tcPr>
          <w:p w14:paraId="0EA5E64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290</w:t>
            </w:r>
          </w:p>
        </w:tc>
        <w:tc>
          <w:tcPr>
            <w:tcW w:w="546" w:type="dxa"/>
            <w:tcBorders>
              <w:top w:val="nil"/>
              <w:left w:val="nil"/>
              <w:bottom w:val="double" w:sz="6" w:space="0" w:color="auto"/>
              <w:right w:val="nil"/>
            </w:tcBorders>
            <w:shd w:val="clear" w:color="auto" w:fill="auto"/>
            <w:noWrap/>
            <w:vAlign w:val="bottom"/>
            <w:hideMark/>
          </w:tcPr>
          <w:p w14:paraId="0D8044B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82</w:t>
            </w:r>
          </w:p>
        </w:tc>
        <w:tc>
          <w:tcPr>
            <w:tcW w:w="632" w:type="dxa"/>
            <w:tcBorders>
              <w:top w:val="nil"/>
              <w:left w:val="nil"/>
              <w:bottom w:val="double" w:sz="6" w:space="0" w:color="auto"/>
              <w:right w:val="nil"/>
            </w:tcBorders>
            <w:shd w:val="clear" w:color="auto" w:fill="auto"/>
            <w:noWrap/>
            <w:vAlign w:val="bottom"/>
            <w:hideMark/>
          </w:tcPr>
          <w:p w14:paraId="0CD974F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348</w:t>
            </w:r>
          </w:p>
        </w:tc>
        <w:tc>
          <w:tcPr>
            <w:tcW w:w="632" w:type="dxa"/>
            <w:tcBorders>
              <w:top w:val="nil"/>
              <w:left w:val="nil"/>
              <w:bottom w:val="double" w:sz="6" w:space="0" w:color="auto"/>
              <w:right w:val="nil"/>
            </w:tcBorders>
            <w:shd w:val="clear" w:color="auto" w:fill="auto"/>
            <w:noWrap/>
            <w:vAlign w:val="bottom"/>
            <w:hideMark/>
          </w:tcPr>
          <w:p w14:paraId="0D6979C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332</w:t>
            </w:r>
          </w:p>
        </w:tc>
        <w:tc>
          <w:tcPr>
            <w:tcW w:w="619" w:type="dxa"/>
            <w:tcBorders>
              <w:top w:val="nil"/>
              <w:left w:val="nil"/>
              <w:bottom w:val="double" w:sz="6" w:space="0" w:color="auto"/>
              <w:right w:val="nil"/>
            </w:tcBorders>
            <w:shd w:val="clear" w:color="auto" w:fill="auto"/>
            <w:noWrap/>
            <w:vAlign w:val="bottom"/>
            <w:hideMark/>
          </w:tcPr>
          <w:p w14:paraId="2270C04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134</w:t>
            </w:r>
          </w:p>
        </w:tc>
        <w:tc>
          <w:tcPr>
            <w:tcW w:w="632" w:type="dxa"/>
            <w:tcBorders>
              <w:top w:val="nil"/>
              <w:left w:val="nil"/>
              <w:bottom w:val="double" w:sz="6" w:space="0" w:color="auto"/>
              <w:right w:val="nil"/>
            </w:tcBorders>
            <w:shd w:val="clear" w:color="auto" w:fill="auto"/>
            <w:noWrap/>
            <w:vAlign w:val="bottom"/>
            <w:hideMark/>
          </w:tcPr>
          <w:p w14:paraId="5A8D0B2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444</w:t>
            </w:r>
          </w:p>
        </w:tc>
        <w:tc>
          <w:tcPr>
            <w:tcW w:w="615" w:type="dxa"/>
            <w:tcBorders>
              <w:top w:val="nil"/>
              <w:left w:val="nil"/>
              <w:bottom w:val="double" w:sz="6" w:space="0" w:color="auto"/>
              <w:right w:val="nil"/>
            </w:tcBorders>
            <w:shd w:val="clear" w:color="auto" w:fill="auto"/>
            <w:noWrap/>
            <w:vAlign w:val="bottom"/>
            <w:hideMark/>
          </w:tcPr>
          <w:p w14:paraId="6FF0D8B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98</w:t>
            </w:r>
          </w:p>
        </w:tc>
        <w:tc>
          <w:tcPr>
            <w:tcW w:w="1392" w:type="dxa"/>
            <w:tcBorders>
              <w:top w:val="double" w:sz="6" w:space="0" w:color="auto"/>
              <w:left w:val="nil"/>
              <w:bottom w:val="double" w:sz="6" w:space="0" w:color="auto"/>
              <w:right w:val="nil"/>
            </w:tcBorders>
            <w:shd w:val="clear" w:color="auto" w:fill="auto"/>
            <w:noWrap/>
            <w:vAlign w:val="bottom"/>
            <w:hideMark/>
          </w:tcPr>
          <w:p w14:paraId="05B5C0C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1728</w:t>
            </w:r>
          </w:p>
        </w:tc>
      </w:tr>
    </w:tbl>
    <w:p w14:paraId="233BA720" w14:textId="77777777" w:rsidR="008430BD" w:rsidRPr="001C3EC8" w:rsidRDefault="008430BD" w:rsidP="008430BD">
      <w:pPr>
        <w:rPr>
          <w:color w:val="000000" w:themeColor="text1"/>
        </w:rPr>
      </w:pPr>
    </w:p>
    <w:p w14:paraId="42873EEE" w14:textId="61CB260E" w:rsidR="008430BD" w:rsidRPr="001C3EC8" w:rsidRDefault="008430BD" w:rsidP="008430BD">
      <w:pPr>
        <w:pStyle w:val="OdstavecASR"/>
        <w:rPr>
          <w:color w:val="000000" w:themeColor="text1"/>
        </w:rPr>
      </w:pPr>
      <w:r w:rsidRPr="001C3EC8">
        <w:rPr>
          <w:color w:val="000000" w:themeColor="text1"/>
        </w:rPr>
        <w:t xml:space="preserve">Opět platí, že počet zaměstnanců ve výkonu se odvíjí od systemizace zaměstnanců ve výkonu, personální politiky soudů a situace na trhu práce. U krajských soudů je počet zaměstnanců ve výkonu v poměru k počtu soudců nižší než u okresních soudů. To je důsledkem rozdílnosti zpracovávaných agend (méně jednodušší práce, kterou lze delegovat na </w:t>
      </w:r>
      <w:proofErr w:type="spellStart"/>
      <w:r w:rsidRPr="001C3EC8">
        <w:rPr>
          <w:color w:val="000000" w:themeColor="text1"/>
        </w:rPr>
        <w:t>nesoudcovský</w:t>
      </w:r>
      <w:proofErr w:type="spellEnd"/>
      <w:r w:rsidRPr="001C3EC8">
        <w:rPr>
          <w:color w:val="000000" w:themeColor="text1"/>
        </w:rPr>
        <w:t xml:space="preserve"> personál). Po skokovém posílení jejich stavu </w:t>
      </w:r>
      <w:r w:rsidR="00CD2266" w:rsidRPr="001C3EC8">
        <w:rPr>
          <w:color w:val="000000" w:themeColor="text1"/>
        </w:rPr>
        <w:t>o</w:t>
      </w:r>
      <w:r w:rsidR="00CD2266">
        <w:rPr>
          <w:color w:val="000000" w:themeColor="text1"/>
        </w:rPr>
        <w:t> </w:t>
      </w:r>
      <w:r w:rsidRPr="001C3EC8">
        <w:rPr>
          <w:color w:val="000000" w:themeColor="text1"/>
        </w:rPr>
        <w:t xml:space="preserve">101 zaměstnance v roce 2017 došlo ke stabilizaci počtů v roce 2018. Z 1 531 v roce 2016 vzrostl počet zaměstnanců ve výkonu na 1 632, tedy asi o 7 %, a v roce 2018 již pouze </w:t>
      </w:r>
      <w:r w:rsidR="00CD2266" w:rsidRPr="001C3EC8">
        <w:rPr>
          <w:color w:val="000000" w:themeColor="text1"/>
        </w:rPr>
        <w:t>o</w:t>
      </w:r>
      <w:r w:rsidR="00CD2266">
        <w:rPr>
          <w:color w:val="000000" w:themeColor="text1"/>
        </w:rPr>
        <w:t> </w:t>
      </w:r>
      <w:r w:rsidRPr="001C3EC8">
        <w:rPr>
          <w:color w:val="000000" w:themeColor="text1"/>
        </w:rPr>
        <w:t>12 osob. Jestliže tedy v roce 2017 byl v zásadě celý růst dán růstem počtu asistentů z 228 na 326, potom v roce 2018 docházelo zejména k přesunům mezi funkcemi v rámci krajských soudů. V roce 2020 došlo opět k mírnému nárustu (</w:t>
      </w:r>
      <w:r w:rsidR="00CD2266" w:rsidRPr="001C3EC8">
        <w:rPr>
          <w:color w:val="000000" w:themeColor="text1"/>
        </w:rPr>
        <w:t>o</w:t>
      </w:r>
      <w:r w:rsidR="00CD2266">
        <w:rPr>
          <w:color w:val="000000" w:themeColor="text1"/>
        </w:rPr>
        <w:t> </w:t>
      </w:r>
      <w:r w:rsidRPr="001C3EC8">
        <w:rPr>
          <w:color w:val="000000" w:themeColor="text1"/>
        </w:rPr>
        <w:t xml:space="preserve">47 osob), </w:t>
      </w:r>
      <w:r w:rsidR="00CD2266" w:rsidRPr="001C3EC8">
        <w:rPr>
          <w:color w:val="000000" w:themeColor="text1"/>
        </w:rPr>
        <w:t>a</w:t>
      </w:r>
      <w:r w:rsidR="00CD2266">
        <w:rPr>
          <w:color w:val="000000" w:themeColor="text1"/>
        </w:rPr>
        <w:t> </w:t>
      </w:r>
      <w:r w:rsidRPr="001C3EC8">
        <w:rPr>
          <w:color w:val="000000" w:themeColor="text1"/>
        </w:rPr>
        <w:t xml:space="preserve">to především </w:t>
      </w:r>
      <w:r w:rsidR="00CD2266" w:rsidRPr="001C3EC8">
        <w:rPr>
          <w:color w:val="000000" w:themeColor="text1"/>
        </w:rPr>
        <w:t>u</w:t>
      </w:r>
      <w:r w:rsidR="00CD2266">
        <w:rPr>
          <w:color w:val="000000" w:themeColor="text1"/>
        </w:rPr>
        <w:t> </w:t>
      </w:r>
      <w:r w:rsidRPr="001C3EC8">
        <w:rPr>
          <w:color w:val="000000" w:themeColor="text1"/>
        </w:rPr>
        <w:t xml:space="preserve">soudů v Praze (MS Praha, KS Praha). Vzrostl především počet VSÚ </w:t>
      </w:r>
      <w:r w:rsidR="00CD2266" w:rsidRPr="001C3EC8">
        <w:rPr>
          <w:color w:val="000000" w:themeColor="text1"/>
        </w:rPr>
        <w:t>a</w:t>
      </w:r>
      <w:r w:rsidR="00CD2266">
        <w:rPr>
          <w:color w:val="000000" w:themeColor="text1"/>
        </w:rPr>
        <w:t> </w:t>
      </w:r>
      <w:r w:rsidRPr="001C3EC8">
        <w:rPr>
          <w:color w:val="000000" w:themeColor="text1"/>
        </w:rPr>
        <w:t>zapisovatelek.</w:t>
      </w:r>
    </w:p>
    <w:p w14:paraId="5986152A" w14:textId="398FF754" w:rsidR="008430BD" w:rsidRPr="001C3EC8" w:rsidRDefault="008430BD" w:rsidP="008430BD">
      <w:pPr>
        <w:pStyle w:val="OdstavecASR"/>
        <w:rPr>
          <w:color w:val="000000" w:themeColor="text1"/>
        </w:rPr>
      </w:pPr>
      <w:r w:rsidRPr="001C3EC8">
        <w:rPr>
          <w:color w:val="000000" w:themeColor="text1"/>
        </w:rPr>
        <w:lastRenderedPageBreak/>
        <w:t xml:space="preserve">Nakonec je třeba ještě zmínit zaměstnance ve správě, kde k 1. 1. 2020 pracovalo </w:t>
      </w:r>
      <w:r w:rsidR="00CD2266" w:rsidRPr="001C3EC8">
        <w:rPr>
          <w:color w:val="000000" w:themeColor="text1"/>
        </w:rPr>
        <w:t>u</w:t>
      </w:r>
      <w:r w:rsidR="00CD2266">
        <w:rPr>
          <w:color w:val="000000" w:themeColor="text1"/>
        </w:rPr>
        <w:t> </w:t>
      </w:r>
      <w:r w:rsidRPr="001C3EC8">
        <w:rPr>
          <w:color w:val="000000" w:themeColor="text1"/>
        </w:rPr>
        <w:t>krajských soudů celkem 717 osob.</w:t>
      </w:r>
    </w:p>
    <w:p w14:paraId="07E6CAE5" w14:textId="77777777" w:rsidR="008430BD" w:rsidRPr="001C3EC8" w:rsidRDefault="008430BD" w:rsidP="00F57E0F">
      <w:pPr>
        <w:pStyle w:val="Nadpis3"/>
        <w:numPr>
          <w:ilvl w:val="2"/>
          <w:numId w:val="1"/>
        </w:numPr>
        <w:rPr>
          <w:color w:val="000000" w:themeColor="text1"/>
        </w:rPr>
      </w:pPr>
      <w:bookmarkStart w:id="404" w:name="_Toc75952085"/>
      <w:r w:rsidRPr="001C3EC8">
        <w:rPr>
          <w:color w:val="000000" w:themeColor="text1"/>
        </w:rPr>
        <w:t>Přísedící soudu</w:t>
      </w:r>
      <w:bookmarkEnd w:id="404"/>
    </w:p>
    <w:p w14:paraId="3C02767A" w14:textId="3F1A95F8" w:rsidR="008430BD" w:rsidRPr="001C3EC8" w:rsidRDefault="008430BD" w:rsidP="008430BD">
      <w:pPr>
        <w:rPr>
          <w:color w:val="000000" w:themeColor="text1"/>
        </w:rPr>
      </w:pPr>
      <w:r w:rsidRPr="001C3EC8">
        <w:rPr>
          <w:color w:val="000000" w:themeColor="text1"/>
        </w:rPr>
        <w:t xml:space="preserve">Stejně jako předchozí rok jsou k dispozici počty přísedících dle krajů, pohlaví </w:t>
      </w:r>
      <w:r w:rsidR="00CD2266" w:rsidRPr="001C3EC8">
        <w:rPr>
          <w:color w:val="000000" w:themeColor="text1"/>
        </w:rPr>
        <w:t>a</w:t>
      </w:r>
      <w:r w:rsidR="00CD2266">
        <w:rPr>
          <w:color w:val="000000" w:themeColor="text1"/>
        </w:rPr>
        <w:t> </w:t>
      </w:r>
      <w:r w:rsidRPr="001C3EC8">
        <w:rPr>
          <w:color w:val="000000" w:themeColor="text1"/>
        </w:rPr>
        <w:t xml:space="preserve">věku, což umožňuje jejich bližší prozkoumání jak </w:t>
      </w:r>
      <w:r w:rsidR="00CD2266" w:rsidRPr="001C3EC8">
        <w:rPr>
          <w:color w:val="000000" w:themeColor="text1"/>
        </w:rPr>
        <w:t>u</w:t>
      </w:r>
      <w:r w:rsidR="00CD2266">
        <w:rPr>
          <w:color w:val="000000" w:themeColor="text1"/>
        </w:rPr>
        <w:t> </w:t>
      </w:r>
      <w:r w:rsidRPr="001C3EC8">
        <w:rPr>
          <w:color w:val="000000" w:themeColor="text1"/>
        </w:rPr>
        <w:t xml:space="preserve">okresních, tak </w:t>
      </w:r>
      <w:r w:rsidR="00CD2266" w:rsidRPr="001C3EC8">
        <w:rPr>
          <w:color w:val="000000" w:themeColor="text1"/>
        </w:rPr>
        <w:t>i</w:t>
      </w:r>
      <w:r w:rsidR="00CD2266">
        <w:rPr>
          <w:color w:val="000000" w:themeColor="text1"/>
        </w:rPr>
        <w:t> </w:t>
      </w:r>
      <w:r w:rsidR="00CD2266" w:rsidRPr="001C3EC8">
        <w:rPr>
          <w:color w:val="000000" w:themeColor="text1"/>
        </w:rPr>
        <w:t>u</w:t>
      </w:r>
      <w:r w:rsidR="00CD2266">
        <w:rPr>
          <w:color w:val="000000" w:themeColor="text1"/>
        </w:rPr>
        <w:t> </w:t>
      </w:r>
      <w:r w:rsidRPr="001C3EC8">
        <w:rPr>
          <w:color w:val="000000" w:themeColor="text1"/>
        </w:rPr>
        <w:t xml:space="preserve">krajských soudů. </w:t>
      </w:r>
      <w:r w:rsidR="00CD2266" w:rsidRPr="001C3EC8">
        <w:rPr>
          <w:color w:val="000000" w:themeColor="text1"/>
        </w:rPr>
        <w:t>U</w:t>
      </w:r>
      <w:r w:rsidR="00CD2266">
        <w:rPr>
          <w:color w:val="000000" w:themeColor="text1"/>
        </w:rPr>
        <w:t> </w:t>
      </w:r>
      <w:r w:rsidRPr="001C3EC8">
        <w:rPr>
          <w:color w:val="000000" w:themeColor="text1"/>
        </w:rPr>
        <w:t xml:space="preserve">krajských soudů přísedící rozhodují v prvostupňovém řízení </w:t>
      </w:r>
      <w:r w:rsidR="00CD2266" w:rsidRPr="001C3EC8">
        <w:rPr>
          <w:color w:val="000000" w:themeColor="text1"/>
        </w:rPr>
        <w:t>o</w:t>
      </w:r>
      <w:r w:rsidR="00CD2266">
        <w:rPr>
          <w:color w:val="000000" w:themeColor="text1"/>
        </w:rPr>
        <w:t> </w:t>
      </w:r>
      <w:r w:rsidRPr="001C3EC8">
        <w:rPr>
          <w:color w:val="000000" w:themeColor="text1"/>
        </w:rPr>
        <w:t xml:space="preserve">trestném činu, na který zákon stanoví trest odnětí svobody, jehož dolní hranice je minimálně pět let (což jsou </w:t>
      </w:r>
      <w:r w:rsidR="00CD2266" w:rsidRPr="001C3EC8">
        <w:rPr>
          <w:color w:val="000000" w:themeColor="text1"/>
        </w:rPr>
        <w:t>u</w:t>
      </w:r>
      <w:r w:rsidR="00CD2266">
        <w:rPr>
          <w:color w:val="000000" w:themeColor="text1"/>
        </w:rPr>
        <w:t> </w:t>
      </w:r>
      <w:r w:rsidRPr="001C3EC8">
        <w:rPr>
          <w:color w:val="000000" w:themeColor="text1"/>
        </w:rPr>
        <w:t>krajských soudů v podstatě všechna řízení). Na rozdíl od ostatních dat v této kapitole jsou údaje k 1. 1. 2021.</w:t>
      </w:r>
    </w:p>
    <w:p w14:paraId="45880481" w14:textId="3ABA6D61" w:rsidR="008430BD" w:rsidRPr="001C3EC8" w:rsidRDefault="008430BD" w:rsidP="008430BD">
      <w:pPr>
        <w:pStyle w:val="Podnadpis"/>
        <w:rPr>
          <w:color w:val="000000" w:themeColor="text1"/>
        </w:rPr>
      </w:pPr>
      <w:bookmarkStart w:id="405" w:name="_Toc75952344"/>
      <w:r w:rsidRPr="001C3EC8">
        <w:rPr>
          <w:color w:val="000000" w:themeColor="text1"/>
        </w:rPr>
        <w:t xml:space="preserve">Tabulka </w:t>
      </w:r>
      <w:r w:rsidRPr="001C3EC8">
        <w:rPr>
          <w:color w:val="000000" w:themeColor="text1"/>
        </w:rPr>
        <w:fldChar w:fldCharType="begin"/>
      </w:r>
      <w:r w:rsidRPr="001C3EC8">
        <w:rPr>
          <w:noProof/>
          <w:color w:val="000000" w:themeColor="text1"/>
        </w:rPr>
        <w:instrText xml:space="preserve"> SEQ Tabulka \* ARABIC </w:instrText>
      </w:r>
      <w:r w:rsidRPr="001C3EC8">
        <w:rPr>
          <w:color w:val="000000" w:themeColor="text1"/>
        </w:rPr>
        <w:fldChar w:fldCharType="separate"/>
      </w:r>
      <w:r w:rsidR="009C575D">
        <w:rPr>
          <w:noProof/>
          <w:color w:val="000000" w:themeColor="text1"/>
        </w:rPr>
        <w:t>41</w:t>
      </w:r>
      <w:r w:rsidRPr="001C3EC8">
        <w:rPr>
          <w:color w:val="000000" w:themeColor="text1"/>
        </w:rPr>
        <w:fldChar w:fldCharType="end"/>
      </w:r>
      <w:r w:rsidRPr="001C3EC8">
        <w:rPr>
          <w:color w:val="000000" w:themeColor="text1"/>
        </w:rPr>
        <w:t xml:space="preserve">: KS – počet přísedících dle soudů </w:t>
      </w:r>
      <w:r w:rsidR="00CD2266" w:rsidRPr="001C3EC8">
        <w:rPr>
          <w:color w:val="000000" w:themeColor="text1"/>
        </w:rPr>
        <w:t>a</w:t>
      </w:r>
      <w:r w:rsidR="00CD2266">
        <w:rPr>
          <w:color w:val="000000" w:themeColor="text1"/>
        </w:rPr>
        <w:t> </w:t>
      </w:r>
      <w:r w:rsidRPr="001C3EC8">
        <w:rPr>
          <w:color w:val="000000" w:themeColor="text1"/>
        </w:rPr>
        <w:t>pohlaví</w:t>
      </w:r>
      <w:bookmarkEnd w:id="405"/>
    </w:p>
    <w:tbl>
      <w:tblPr>
        <w:tblW w:w="6540" w:type="dxa"/>
        <w:tblCellMar>
          <w:left w:w="70" w:type="dxa"/>
          <w:right w:w="70" w:type="dxa"/>
        </w:tblCellMar>
        <w:tblLook w:val="04A0" w:firstRow="1" w:lastRow="0" w:firstColumn="1" w:lastColumn="0" w:noHBand="0" w:noVBand="1"/>
      </w:tblPr>
      <w:tblGrid>
        <w:gridCol w:w="2220"/>
        <w:gridCol w:w="1914"/>
        <w:gridCol w:w="1326"/>
        <w:gridCol w:w="1080"/>
      </w:tblGrid>
      <w:tr w:rsidR="008430BD" w:rsidRPr="001C3EC8" w14:paraId="0E7DBA93"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0E21AF12" w14:textId="6087870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240" w:type="dxa"/>
            <w:gridSpan w:val="2"/>
            <w:tcBorders>
              <w:top w:val="double" w:sz="6" w:space="0" w:color="auto"/>
              <w:left w:val="nil"/>
              <w:bottom w:val="nil"/>
              <w:right w:val="nil"/>
            </w:tcBorders>
            <w:shd w:val="clear" w:color="auto" w:fill="auto"/>
            <w:noWrap/>
            <w:vAlign w:val="bottom"/>
            <w:hideMark/>
          </w:tcPr>
          <w:p w14:paraId="3D45EFB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přísedících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3F0A7029" w14:textId="32B63293"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Podíl žen </w:t>
            </w:r>
            <w:r w:rsidR="00CD2266" w:rsidRPr="001C3EC8">
              <w:rPr>
                <w:rFonts w:eastAsia="Times New Roman"/>
                <w:b/>
                <w:bCs/>
                <w:color w:val="000000" w:themeColor="text1"/>
                <w:szCs w:val="24"/>
                <w:lang w:eastAsia="cs-CZ"/>
              </w:rPr>
              <w:t>v</w:t>
            </w:r>
            <w:r w:rsidR="00CD2266">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42EE1445"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086B5F8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914" w:type="dxa"/>
            <w:tcBorders>
              <w:top w:val="nil"/>
              <w:left w:val="nil"/>
              <w:bottom w:val="double" w:sz="6" w:space="0" w:color="auto"/>
              <w:right w:val="nil"/>
            </w:tcBorders>
            <w:shd w:val="clear" w:color="auto" w:fill="auto"/>
            <w:noWrap/>
            <w:vAlign w:val="bottom"/>
            <w:hideMark/>
          </w:tcPr>
          <w:p w14:paraId="1A3CE53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Mužů</w:t>
            </w:r>
          </w:p>
        </w:tc>
        <w:tc>
          <w:tcPr>
            <w:tcW w:w="1326" w:type="dxa"/>
            <w:tcBorders>
              <w:top w:val="nil"/>
              <w:left w:val="nil"/>
              <w:bottom w:val="double" w:sz="6" w:space="0" w:color="auto"/>
              <w:right w:val="nil"/>
            </w:tcBorders>
            <w:shd w:val="clear" w:color="auto" w:fill="auto"/>
            <w:noWrap/>
            <w:vAlign w:val="bottom"/>
            <w:hideMark/>
          </w:tcPr>
          <w:p w14:paraId="2D32055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7302867B"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705D58EA" w14:textId="77777777" w:rsidTr="00E077F3">
        <w:trPr>
          <w:trHeight w:val="330"/>
        </w:trPr>
        <w:tc>
          <w:tcPr>
            <w:tcW w:w="2220" w:type="dxa"/>
            <w:tcBorders>
              <w:top w:val="nil"/>
              <w:left w:val="nil"/>
              <w:bottom w:val="single" w:sz="4" w:space="0" w:color="auto"/>
              <w:right w:val="nil"/>
            </w:tcBorders>
            <w:shd w:val="clear" w:color="auto" w:fill="auto"/>
            <w:noWrap/>
            <w:vAlign w:val="bottom"/>
            <w:hideMark/>
          </w:tcPr>
          <w:p w14:paraId="428C710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914" w:type="dxa"/>
            <w:tcBorders>
              <w:top w:val="nil"/>
              <w:left w:val="nil"/>
              <w:bottom w:val="single" w:sz="4" w:space="0" w:color="auto"/>
              <w:right w:val="nil"/>
            </w:tcBorders>
            <w:shd w:val="clear" w:color="auto" w:fill="auto"/>
            <w:noWrap/>
            <w:vAlign w:val="bottom"/>
            <w:hideMark/>
          </w:tcPr>
          <w:p w14:paraId="20D840A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1326" w:type="dxa"/>
            <w:tcBorders>
              <w:top w:val="nil"/>
              <w:left w:val="nil"/>
              <w:bottom w:val="single" w:sz="4" w:space="0" w:color="auto"/>
              <w:right w:val="nil"/>
            </w:tcBorders>
            <w:shd w:val="clear" w:color="auto" w:fill="auto"/>
            <w:noWrap/>
            <w:vAlign w:val="bottom"/>
            <w:hideMark/>
          </w:tcPr>
          <w:p w14:paraId="23361C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1080" w:type="dxa"/>
            <w:tcBorders>
              <w:top w:val="single" w:sz="4" w:space="0" w:color="auto"/>
              <w:left w:val="nil"/>
              <w:bottom w:val="single" w:sz="4" w:space="0" w:color="auto"/>
              <w:right w:val="nil"/>
            </w:tcBorders>
            <w:shd w:val="clear" w:color="auto" w:fill="auto"/>
            <w:noWrap/>
            <w:vAlign w:val="bottom"/>
            <w:hideMark/>
          </w:tcPr>
          <w:p w14:paraId="6DF8799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50,00</w:t>
            </w:r>
          </w:p>
        </w:tc>
      </w:tr>
      <w:tr w:rsidR="008430BD" w:rsidRPr="001C3EC8" w14:paraId="2F5CC8E2"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4828F8B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914" w:type="dxa"/>
            <w:tcBorders>
              <w:top w:val="nil"/>
              <w:left w:val="nil"/>
              <w:bottom w:val="single" w:sz="4" w:space="0" w:color="auto"/>
              <w:right w:val="nil"/>
            </w:tcBorders>
            <w:shd w:val="clear" w:color="auto" w:fill="auto"/>
            <w:noWrap/>
            <w:vAlign w:val="bottom"/>
            <w:hideMark/>
          </w:tcPr>
          <w:p w14:paraId="66DACAD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c>
          <w:tcPr>
            <w:tcW w:w="1326" w:type="dxa"/>
            <w:tcBorders>
              <w:top w:val="nil"/>
              <w:left w:val="nil"/>
              <w:bottom w:val="single" w:sz="4" w:space="0" w:color="auto"/>
              <w:right w:val="nil"/>
            </w:tcBorders>
            <w:shd w:val="clear" w:color="auto" w:fill="auto"/>
            <w:noWrap/>
            <w:vAlign w:val="bottom"/>
            <w:hideMark/>
          </w:tcPr>
          <w:p w14:paraId="72A386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1080" w:type="dxa"/>
            <w:tcBorders>
              <w:top w:val="nil"/>
              <w:left w:val="nil"/>
              <w:bottom w:val="single" w:sz="4" w:space="0" w:color="auto"/>
              <w:right w:val="nil"/>
            </w:tcBorders>
            <w:shd w:val="clear" w:color="auto" w:fill="auto"/>
            <w:noWrap/>
            <w:vAlign w:val="bottom"/>
            <w:hideMark/>
          </w:tcPr>
          <w:p w14:paraId="066016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52,44</w:t>
            </w:r>
          </w:p>
        </w:tc>
      </w:tr>
      <w:tr w:rsidR="008430BD" w:rsidRPr="001C3EC8" w14:paraId="2B515429"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15935BD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914" w:type="dxa"/>
            <w:tcBorders>
              <w:top w:val="nil"/>
              <w:left w:val="nil"/>
              <w:bottom w:val="single" w:sz="4" w:space="0" w:color="auto"/>
              <w:right w:val="nil"/>
            </w:tcBorders>
            <w:shd w:val="clear" w:color="auto" w:fill="auto"/>
            <w:noWrap/>
            <w:vAlign w:val="bottom"/>
            <w:hideMark/>
          </w:tcPr>
          <w:p w14:paraId="513659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1326" w:type="dxa"/>
            <w:tcBorders>
              <w:top w:val="nil"/>
              <w:left w:val="nil"/>
              <w:bottom w:val="single" w:sz="4" w:space="0" w:color="auto"/>
              <w:right w:val="nil"/>
            </w:tcBorders>
            <w:shd w:val="clear" w:color="auto" w:fill="auto"/>
            <w:noWrap/>
            <w:vAlign w:val="bottom"/>
            <w:hideMark/>
          </w:tcPr>
          <w:p w14:paraId="2D0E0E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1080" w:type="dxa"/>
            <w:tcBorders>
              <w:top w:val="nil"/>
              <w:left w:val="nil"/>
              <w:bottom w:val="single" w:sz="4" w:space="0" w:color="auto"/>
              <w:right w:val="nil"/>
            </w:tcBorders>
            <w:shd w:val="clear" w:color="auto" w:fill="auto"/>
            <w:noWrap/>
            <w:vAlign w:val="bottom"/>
            <w:hideMark/>
          </w:tcPr>
          <w:p w14:paraId="0F40282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56,25</w:t>
            </w:r>
          </w:p>
        </w:tc>
      </w:tr>
      <w:tr w:rsidR="008430BD" w:rsidRPr="001C3EC8" w14:paraId="40F03713"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6A16634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914" w:type="dxa"/>
            <w:tcBorders>
              <w:top w:val="nil"/>
              <w:left w:val="nil"/>
              <w:bottom w:val="single" w:sz="4" w:space="0" w:color="auto"/>
              <w:right w:val="nil"/>
            </w:tcBorders>
            <w:shd w:val="clear" w:color="auto" w:fill="auto"/>
            <w:noWrap/>
            <w:vAlign w:val="bottom"/>
            <w:hideMark/>
          </w:tcPr>
          <w:p w14:paraId="77EAEE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p>
        </w:tc>
        <w:tc>
          <w:tcPr>
            <w:tcW w:w="1326" w:type="dxa"/>
            <w:tcBorders>
              <w:top w:val="nil"/>
              <w:left w:val="nil"/>
              <w:bottom w:val="single" w:sz="4" w:space="0" w:color="auto"/>
              <w:right w:val="nil"/>
            </w:tcBorders>
            <w:shd w:val="clear" w:color="auto" w:fill="auto"/>
            <w:noWrap/>
            <w:vAlign w:val="bottom"/>
            <w:hideMark/>
          </w:tcPr>
          <w:p w14:paraId="0AC444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w:t>
            </w:r>
          </w:p>
        </w:tc>
        <w:tc>
          <w:tcPr>
            <w:tcW w:w="1080" w:type="dxa"/>
            <w:tcBorders>
              <w:top w:val="nil"/>
              <w:left w:val="nil"/>
              <w:bottom w:val="single" w:sz="4" w:space="0" w:color="auto"/>
              <w:right w:val="nil"/>
            </w:tcBorders>
            <w:shd w:val="clear" w:color="auto" w:fill="auto"/>
            <w:noWrap/>
            <w:vAlign w:val="bottom"/>
            <w:hideMark/>
          </w:tcPr>
          <w:p w14:paraId="2681143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42,65</w:t>
            </w:r>
          </w:p>
        </w:tc>
      </w:tr>
      <w:tr w:rsidR="008430BD" w:rsidRPr="001C3EC8" w14:paraId="064912F5"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5A7DB23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914" w:type="dxa"/>
            <w:tcBorders>
              <w:top w:val="nil"/>
              <w:left w:val="nil"/>
              <w:bottom w:val="single" w:sz="4" w:space="0" w:color="auto"/>
              <w:right w:val="nil"/>
            </w:tcBorders>
            <w:shd w:val="clear" w:color="auto" w:fill="auto"/>
            <w:noWrap/>
            <w:vAlign w:val="bottom"/>
            <w:hideMark/>
          </w:tcPr>
          <w:p w14:paraId="232B9B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p>
        </w:tc>
        <w:tc>
          <w:tcPr>
            <w:tcW w:w="1326" w:type="dxa"/>
            <w:tcBorders>
              <w:top w:val="nil"/>
              <w:left w:val="nil"/>
              <w:bottom w:val="single" w:sz="4" w:space="0" w:color="auto"/>
              <w:right w:val="nil"/>
            </w:tcBorders>
            <w:shd w:val="clear" w:color="auto" w:fill="auto"/>
            <w:noWrap/>
            <w:vAlign w:val="bottom"/>
            <w:hideMark/>
          </w:tcPr>
          <w:p w14:paraId="5B0A0E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w:t>
            </w:r>
          </w:p>
        </w:tc>
        <w:tc>
          <w:tcPr>
            <w:tcW w:w="1080" w:type="dxa"/>
            <w:tcBorders>
              <w:top w:val="nil"/>
              <w:left w:val="nil"/>
              <w:bottom w:val="single" w:sz="4" w:space="0" w:color="auto"/>
              <w:right w:val="nil"/>
            </w:tcBorders>
            <w:shd w:val="clear" w:color="auto" w:fill="auto"/>
            <w:noWrap/>
            <w:vAlign w:val="bottom"/>
            <w:hideMark/>
          </w:tcPr>
          <w:p w14:paraId="2BDADC7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69,34</w:t>
            </w:r>
          </w:p>
        </w:tc>
      </w:tr>
      <w:tr w:rsidR="008430BD" w:rsidRPr="001C3EC8" w14:paraId="77D2E70C"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3C69044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914" w:type="dxa"/>
            <w:tcBorders>
              <w:top w:val="nil"/>
              <w:left w:val="nil"/>
              <w:bottom w:val="single" w:sz="4" w:space="0" w:color="auto"/>
              <w:right w:val="nil"/>
            </w:tcBorders>
            <w:shd w:val="clear" w:color="auto" w:fill="auto"/>
            <w:noWrap/>
            <w:vAlign w:val="bottom"/>
            <w:hideMark/>
          </w:tcPr>
          <w:p w14:paraId="23D669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w:t>
            </w:r>
          </w:p>
        </w:tc>
        <w:tc>
          <w:tcPr>
            <w:tcW w:w="1326" w:type="dxa"/>
            <w:tcBorders>
              <w:top w:val="nil"/>
              <w:left w:val="nil"/>
              <w:bottom w:val="single" w:sz="4" w:space="0" w:color="auto"/>
              <w:right w:val="nil"/>
            </w:tcBorders>
            <w:shd w:val="clear" w:color="auto" w:fill="auto"/>
            <w:noWrap/>
            <w:vAlign w:val="bottom"/>
            <w:hideMark/>
          </w:tcPr>
          <w:p w14:paraId="7389976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w:t>
            </w:r>
          </w:p>
        </w:tc>
        <w:tc>
          <w:tcPr>
            <w:tcW w:w="1080" w:type="dxa"/>
            <w:tcBorders>
              <w:top w:val="nil"/>
              <w:left w:val="nil"/>
              <w:bottom w:val="single" w:sz="4" w:space="0" w:color="auto"/>
              <w:right w:val="nil"/>
            </w:tcBorders>
            <w:shd w:val="clear" w:color="auto" w:fill="auto"/>
            <w:noWrap/>
            <w:vAlign w:val="bottom"/>
            <w:hideMark/>
          </w:tcPr>
          <w:p w14:paraId="008134C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45,45</w:t>
            </w:r>
          </w:p>
        </w:tc>
      </w:tr>
      <w:tr w:rsidR="008430BD" w:rsidRPr="001C3EC8" w14:paraId="7FCE3111"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70F6A40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914" w:type="dxa"/>
            <w:tcBorders>
              <w:top w:val="nil"/>
              <w:left w:val="nil"/>
              <w:bottom w:val="single" w:sz="4" w:space="0" w:color="auto"/>
              <w:right w:val="nil"/>
            </w:tcBorders>
            <w:shd w:val="clear" w:color="auto" w:fill="auto"/>
            <w:noWrap/>
            <w:vAlign w:val="bottom"/>
            <w:hideMark/>
          </w:tcPr>
          <w:p w14:paraId="40FEAE4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73</w:t>
            </w:r>
          </w:p>
        </w:tc>
        <w:tc>
          <w:tcPr>
            <w:tcW w:w="1326" w:type="dxa"/>
            <w:tcBorders>
              <w:top w:val="nil"/>
              <w:left w:val="nil"/>
              <w:bottom w:val="single" w:sz="4" w:space="0" w:color="auto"/>
              <w:right w:val="nil"/>
            </w:tcBorders>
            <w:shd w:val="clear" w:color="auto" w:fill="auto"/>
            <w:noWrap/>
            <w:vAlign w:val="bottom"/>
            <w:hideMark/>
          </w:tcPr>
          <w:p w14:paraId="0570B3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w:t>
            </w:r>
          </w:p>
        </w:tc>
        <w:tc>
          <w:tcPr>
            <w:tcW w:w="1080" w:type="dxa"/>
            <w:tcBorders>
              <w:top w:val="nil"/>
              <w:left w:val="nil"/>
              <w:bottom w:val="single" w:sz="4" w:space="0" w:color="auto"/>
              <w:right w:val="nil"/>
            </w:tcBorders>
            <w:shd w:val="clear" w:color="auto" w:fill="auto"/>
            <w:noWrap/>
            <w:vAlign w:val="bottom"/>
            <w:hideMark/>
          </w:tcPr>
          <w:p w14:paraId="4FA81F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53,21</w:t>
            </w:r>
          </w:p>
        </w:tc>
      </w:tr>
      <w:tr w:rsidR="008430BD" w:rsidRPr="001C3EC8" w14:paraId="569DE7B2"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243D4DC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914" w:type="dxa"/>
            <w:tcBorders>
              <w:top w:val="nil"/>
              <w:left w:val="nil"/>
              <w:bottom w:val="double" w:sz="6" w:space="0" w:color="auto"/>
              <w:right w:val="nil"/>
            </w:tcBorders>
            <w:shd w:val="clear" w:color="auto" w:fill="auto"/>
            <w:noWrap/>
            <w:vAlign w:val="bottom"/>
            <w:hideMark/>
          </w:tcPr>
          <w:p w14:paraId="5EDD23F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w:t>
            </w:r>
          </w:p>
        </w:tc>
        <w:tc>
          <w:tcPr>
            <w:tcW w:w="1326" w:type="dxa"/>
            <w:tcBorders>
              <w:top w:val="nil"/>
              <w:left w:val="nil"/>
              <w:bottom w:val="double" w:sz="6" w:space="0" w:color="auto"/>
              <w:right w:val="nil"/>
            </w:tcBorders>
            <w:shd w:val="clear" w:color="auto" w:fill="auto"/>
            <w:noWrap/>
            <w:vAlign w:val="bottom"/>
            <w:hideMark/>
          </w:tcPr>
          <w:p w14:paraId="64B939F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124</w:t>
            </w:r>
          </w:p>
        </w:tc>
        <w:tc>
          <w:tcPr>
            <w:tcW w:w="1080" w:type="dxa"/>
            <w:tcBorders>
              <w:top w:val="nil"/>
              <w:left w:val="nil"/>
              <w:bottom w:val="double" w:sz="6" w:space="0" w:color="auto"/>
              <w:right w:val="nil"/>
            </w:tcBorders>
            <w:shd w:val="clear" w:color="auto" w:fill="auto"/>
            <w:noWrap/>
            <w:vAlign w:val="bottom"/>
            <w:hideMark/>
          </w:tcPr>
          <w:p w14:paraId="30F2331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57,41</w:t>
            </w:r>
          </w:p>
        </w:tc>
      </w:tr>
      <w:tr w:rsidR="008430BD" w:rsidRPr="001C3EC8" w14:paraId="136D3BA7"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02CE6D50"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914" w:type="dxa"/>
            <w:tcBorders>
              <w:top w:val="nil"/>
              <w:left w:val="nil"/>
              <w:bottom w:val="double" w:sz="6" w:space="0" w:color="auto"/>
              <w:right w:val="nil"/>
            </w:tcBorders>
            <w:shd w:val="clear" w:color="auto" w:fill="auto"/>
            <w:noWrap/>
            <w:vAlign w:val="bottom"/>
            <w:hideMark/>
          </w:tcPr>
          <w:p w14:paraId="44443AC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452</w:t>
            </w:r>
          </w:p>
        </w:tc>
        <w:tc>
          <w:tcPr>
            <w:tcW w:w="1326" w:type="dxa"/>
            <w:tcBorders>
              <w:top w:val="nil"/>
              <w:left w:val="nil"/>
              <w:bottom w:val="double" w:sz="6" w:space="0" w:color="auto"/>
              <w:right w:val="nil"/>
            </w:tcBorders>
            <w:shd w:val="clear" w:color="auto" w:fill="auto"/>
            <w:noWrap/>
            <w:vAlign w:val="bottom"/>
            <w:hideMark/>
          </w:tcPr>
          <w:p w14:paraId="088FBE4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539</w:t>
            </w:r>
          </w:p>
        </w:tc>
        <w:tc>
          <w:tcPr>
            <w:tcW w:w="1080" w:type="dxa"/>
            <w:tcBorders>
              <w:top w:val="nil"/>
              <w:left w:val="nil"/>
              <w:bottom w:val="double" w:sz="6" w:space="0" w:color="auto"/>
              <w:right w:val="nil"/>
            </w:tcBorders>
            <w:shd w:val="clear" w:color="auto" w:fill="auto"/>
            <w:noWrap/>
            <w:vAlign w:val="bottom"/>
            <w:hideMark/>
          </w:tcPr>
          <w:p w14:paraId="0D83C6C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54,39</w:t>
            </w:r>
          </w:p>
        </w:tc>
      </w:tr>
    </w:tbl>
    <w:p w14:paraId="60961F1A" w14:textId="77777777" w:rsidR="008430BD" w:rsidRPr="001C3EC8" w:rsidRDefault="008430BD" w:rsidP="008430BD">
      <w:pPr>
        <w:rPr>
          <w:color w:val="000000" w:themeColor="text1"/>
        </w:rPr>
      </w:pPr>
    </w:p>
    <w:p w14:paraId="7A341371" w14:textId="24E4EC93" w:rsidR="008430BD" w:rsidRPr="001C3EC8" w:rsidRDefault="008430BD" w:rsidP="008430BD">
      <w:pPr>
        <w:rPr>
          <w:color w:val="000000" w:themeColor="text1"/>
        </w:rPr>
      </w:pPr>
      <w:r w:rsidRPr="001C3EC8">
        <w:rPr>
          <w:color w:val="000000" w:themeColor="text1"/>
        </w:rPr>
        <w:t xml:space="preserve">V tabulce na první pohled rozhodně zaujme srovnání s okresními soudy. Podíl mužů, kteří působí jako přísedící, je totiž </w:t>
      </w:r>
      <w:r w:rsidR="00CD2266" w:rsidRPr="001C3EC8">
        <w:rPr>
          <w:color w:val="000000" w:themeColor="text1"/>
        </w:rPr>
        <w:t>u</w:t>
      </w:r>
      <w:r w:rsidR="00CD2266">
        <w:rPr>
          <w:color w:val="000000" w:themeColor="text1"/>
        </w:rPr>
        <w:t> </w:t>
      </w:r>
      <w:r w:rsidRPr="001C3EC8">
        <w:rPr>
          <w:color w:val="000000" w:themeColor="text1"/>
        </w:rPr>
        <w:t xml:space="preserve">krajských soudů výrazně vyšší. </w:t>
      </w:r>
      <w:r w:rsidR="00CD2266" w:rsidRPr="001C3EC8">
        <w:rPr>
          <w:color w:val="000000" w:themeColor="text1"/>
        </w:rPr>
        <w:t>U</w:t>
      </w:r>
      <w:r w:rsidR="00CD2266">
        <w:rPr>
          <w:color w:val="000000" w:themeColor="text1"/>
        </w:rPr>
        <w:t> </w:t>
      </w:r>
      <w:r w:rsidRPr="001C3EC8">
        <w:rPr>
          <w:color w:val="000000" w:themeColor="text1"/>
        </w:rPr>
        <w:t xml:space="preserve">dvou soudů dokonce působí stejně nebo více mužů než žen (MS Praha </w:t>
      </w:r>
      <w:r w:rsidR="00CD2266" w:rsidRPr="001C3EC8">
        <w:rPr>
          <w:color w:val="000000" w:themeColor="text1"/>
        </w:rPr>
        <w:t>a</w:t>
      </w:r>
      <w:r w:rsidR="00CD2266">
        <w:rPr>
          <w:color w:val="000000" w:themeColor="text1"/>
        </w:rPr>
        <w:t> </w:t>
      </w:r>
      <w:r w:rsidRPr="001C3EC8">
        <w:rPr>
          <w:color w:val="000000" w:themeColor="text1"/>
        </w:rPr>
        <w:t xml:space="preserve">KS Hradec Králové). Přísedících je mnohem méně než </w:t>
      </w:r>
      <w:r w:rsidR="00CD2266" w:rsidRPr="001C3EC8">
        <w:rPr>
          <w:color w:val="000000" w:themeColor="text1"/>
        </w:rPr>
        <w:t>u</w:t>
      </w:r>
      <w:r w:rsidR="00CD2266">
        <w:rPr>
          <w:color w:val="000000" w:themeColor="text1"/>
        </w:rPr>
        <w:t> </w:t>
      </w:r>
      <w:r w:rsidRPr="001C3EC8">
        <w:rPr>
          <w:color w:val="000000" w:themeColor="text1"/>
        </w:rPr>
        <w:t xml:space="preserve">OS, neboť počet věcí, které vyřizují, je násobně menší, </w:t>
      </w:r>
      <w:r w:rsidR="00CD2266" w:rsidRPr="001C3EC8">
        <w:rPr>
          <w:color w:val="000000" w:themeColor="text1"/>
        </w:rPr>
        <w:t>i</w:t>
      </w:r>
      <w:r w:rsidR="00CD2266">
        <w:rPr>
          <w:color w:val="000000" w:themeColor="text1"/>
        </w:rPr>
        <w:t> </w:t>
      </w:r>
      <w:r w:rsidRPr="001C3EC8">
        <w:rPr>
          <w:color w:val="000000" w:themeColor="text1"/>
        </w:rPr>
        <w:t>když agenda KS je náročnější.</w:t>
      </w:r>
    </w:p>
    <w:p w14:paraId="3ADABE94" w14:textId="4CECD61A" w:rsidR="008430BD" w:rsidRPr="001C3EC8" w:rsidRDefault="008430BD" w:rsidP="008430BD">
      <w:pPr>
        <w:rPr>
          <w:color w:val="000000" w:themeColor="text1"/>
        </w:rPr>
      </w:pPr>
      <w:r w:rsidRPr="001C3EC8">
        <w:rPr>
          <w:color w:val="000000" w:themeColor="text1"/>
        </w:rPr>
        <w:t xml:space="preserve">Další tabulka se (stejně jako </w:t>
      </w:r>
      <w:r w:rsidR="00CD2266" w:rsidRPr="001C3EC8">
        <w:rPr>
          <w:color w:val="000000" w:themeColor="text1"/>
        </w:rPr>
        <w:t>u</w:t>
      </w:r>
      <w:r w:rsidR="00CD2266">
        <w:rPr>
          <w:color w:val="000000" w:themeColor="text1"/>
        </w:rPr>
        <w:t> </w:t>
      </w:r>
      <w:r w:rsidRPr="001C3EC8">
        <w:rPr>
          <w:color w:val="000000" w:themeColor="text1"/>
        </w:rPr>
        <w:t xml:space="preserve">OS) zabývá věkovou strukturou. Zatímco struktura dle pohlaví se liší, věková struktura přísedících </w:t>
      </w:r>
      <w:r w:rsidR="00CD2266" w:rsidRPr="001C3EC8">
        <w:rPr>
          <w:color w:val="000000" w:themeColor="text1"/>
        </w:rPr>
        <w:t>u</w:t>
      </w:r>
      <w:r w:rsidR="00CD2266">
        <w:rPr>
          <w:color w:val="000000" w:themeColor="text1"/>
        </w:rPr>
        <w:t> </w:t>
      </w:r>
      <w:r w:rsidRPr="001C3EC8">
        <w:rPr>
          <w:color w:val="000000" w:themeColor="text1"/>
        </w:rPr>
        <w:t xml:space="preserve">OS </w:t>
      </w:r>
      <w:r w:rsidR="00CD2266" w:rsidRPr="001C3EC8">
        <w:rPr>
          <w:color w:val="000000" w:themeColor="text1"/>
        </w:rPr>
        <w:t>a</w:t>
      </w:r>
      <w:r w:rsidR="00CD2266">
        <w:rPr>
          <w:color w:val="000000" w:themeColor="text1"/>
        </w:rPr>
        <w:t> </w:t>
      </w:r>
      <w:r w:rsidRPr="001C3EC8">
        <w:rPr>
          <w:color w:val="000000" w:themeColor="text1"/>
        </w:rPr>
        <w:t xml:space="preserve">přísedících </w:t>
      </w:r>
      <w:r w:rsidR="00CD2266" w:rsidRPr="001C3EC8">
        <w:rPr>
          <w:color w:val="000000" w:themeColor="text1"/>
        </w:rPr>
        <w:t>u</w:t>
      </w:r>
      <w:r w:rsidR="00CD2266">
        <w:rPr>
          <w:color w:val="000000" w:themeColor="text1"/>
        </w:rPr>
        <w:t> </w:t>
      </w:r>
      <w:r w:rsidRPr="001C3EC8">
        <w:rPr>
          <w:color w:val="000000" w:themeColor="text1"/>
        </w:rPr>
        <w:t xml:space="preserve">KS je podobná. </w:t>
      </w:r>
      <w:r w:rsidR="00CD2266" w:rsidRPr="001C3EC8">
        <w:rPr>
          <w:color w:val="000000" w:themeColor="text1"/>
        </w:rPr>
        <w:t>U</w:t>
      </w:r>
      <w:r w:rsidR="00CD2266">
        <w:rPr>
          <w:color w:val="000000" w:themeColor="text1"/>
        </w:rPr>
        <w:t> </w:t>
      </w:r>
      <w:r w:rsidRPr="001C3EC8">
        <w:rPr>
          <w:color w:val="000000" w:themeColor="text1"/>
        </w:rPr>
        <w:t xml:space="preserve">KS je funkce přísedícího rovněž mnohem populárnější </w:t>
      </w:r>
      <w:r w:rsidR="00CD2266" w:rsidRPr="001C3EC8">
        <w:rPr>
          <w:color w:val="000000" w:themeColor="text1"/>
        </w:rPr>
        <w:t>u</w:t>
      </w:r>
      <w:r w:rsidR="00CD2266">
        <w:rPr>
          <w:color w:val="000000" w:themeColor="text1"/>
        </w:rPr>
        <w:t> </w:t>
      </w:r>
      <w:r w:rsidRPr="001C3EC8">
        <w:rPr>
          <w:color w:val="000000" w:themeColor="text1"/>
        </w:rPr>
        <w:t>vyšších věkových skupin. 60 %</w:t>
      </w:r>
      <w:r w:rsidR="00CD2266">
        <w:rPr>
          <w:color w:val="000000" w:themeColor="text1"/>
        </w:rPr>
        <w:t xml:space="preserve"> </w:t>
      </w:r>
      <w:r w:rsidRPr="001C3EC8">
        <w:rPr>
          <w:color w:val="000000" w:themeColor="text1"/>
        </w:rPr>
        <w:t>(</w:t>
      </w:r>
      <w:r w:rsidR="00CD2266" w:rsidRPr="001C3EC8">
        <w:rPr>
          <w:color w:val="000000" w:themeColor="text1"/>
        </w:rPr>
        <w:t>u</w:t>
      </w:r>
      <w:r w:rsidR="00CD2266">
        <w:rPr>
          <w:color w:val="000000" w:themeColor="text1"/>
        </w:rPr>
        <w:t> </w:t>
      </w:r>
      <w:r w:rsidRPr="001C3EC8">
        <w:rPr>
          <w:color w:val="000000" w:themeColor="text1"/>
        </w:rPr>
        <w:t xml:space="preserve">OS 64 %) přísedících tvoří lidé ve věku 60 let </w:t>
      </w:r>
      <w:r w:rsidR="00CD2266" w:rsidRPr="001C3EC8">
        <w:rPr>
          <w:color w:val="000000" w:themeColor="text1"/>
        </w:rPr>
        <w:t>a</w:t>
      </w:r>
      <w:r w:rsidR="00CD2266">
        <w:rPr>
          <w:color w:val="000000" w:themeColor="text1"/>
        </w:rPr>
        <w:t> </w:t>
      </w:r>
      <w:r w:rsidRPr="001C3EC8">
        <w:rPr>
          <w:color w:val="000000" w:themeColor="text1"/>
        </w:rPr>
        <w:t>více, tedy ve většině případů v důchodovém věku. Naopak přísedící ve věku do 39 let tvoří pouze 5,05 % (</w:t>
      </w:r>
      <w:r w:rsidR="00CD2266" w:rsidRPr="001C3EC8">
        <w:rPr>
          <w:color w:val="000000" w:themeColor="text1"/>
        </w:rPr>
        <w:t>u</w:t>
      </w:r>
      <w:r w:rsidR="00CD2266">
        <w:rPr>
          <w:color w:val="000000" w:themeColor="text1"/>
        </w:rPr>
        <w:t> </w:t>
      </w:r>
      <w:r w:rsidRPr="001C3EC8">
        <w:rPr>
          <w:color w:val="000000" w:themeColor="text1"/>
        </w:rPr>
        <w:t xml:space="preserve">OS 3,67 %). V průměru nejstarší jsou stejně jako </w:t>
      </w:r>
      <w:r w:rsidR="00CD2266" w:rsidRPr="001C3EC8">
        <w:rPr>
          <w:color w:val="000000" w:themeColor="text1"/>
        </w:rPr>
        <w:t>u</w:t>
      </w:r>
      <w:r w:rsidR="00CD2266">
        <w:rPr>
          <w:color w:val="000000" w:themeColor="text1"/>
        </w:rPr>
        <w:t> </w:t>
      </w:r>
      <w:r w:rsidRPr="001C3EC8">
        <w:rPr>
          <w:color w:val="000000" w:themeColor="text1"/>
        </w:rPr>
        <w:t xml:space="preserve">OS přísedící v Jihočeském kraji. V tomto kraji ale působí </w:t>
      </w:r>
      <w:r w:rsidR="00CD2266" w:rsidRPr="001C3EC8">
        <w:rPr>
          <w:color w:val="000000" w:themeColor="text1"/>
        </w:rPr>
        <w:t>u</w:t>
      </w:r>
      <w:r w:rsidR="00CD2266">
        <w:rPr>
          <w:color w:val="000000" w:themeColor="text1"/>
        </w:rPr>
        <w:t> </w:t>
      </w:r>
      <w:r w:rsidRPr="001C3EC8">
        <w:rPr>
          <w:color w:val="000000" w:themeColor="text1"/>
        </w:rPr>
        <w:t>KS pouze 17 přísedících. Od předchozího roku nedošlo ve složení přísedících prakticky k žádné změně.</w:t>
      </w:r>
    </w:p>
    <w:p w14:paraId="74CDF639" w14:textId="77777777" w:rsidR="008430BD" w:rsidRPr="001C3EC8" w:rsidRDefault="008430BD" w:rsidP="008430BD">
      <w:pPr>
        <w:spacing w:line="240" w:lineRule="auto"/>
        <w:jc w:val="left"/>
        <w:rPr>
          <w:rFonts w:eastAsia="Times New Roman"/>
          <w:b/>
          <w:iCs/>
          <w:color w:val="000000" w:themeColor="text1"/>
          <w:spacing w:val="15"/>
          <w:szCs w:val="24"/>
        </w:rPr>
      </w:pPr>
      <w:bookmarkStart w:id="406" w:name="_Toc43931211"/>
      <w:r w:rsidRPr="001C3EC8">
        <w:rPr>
          <w:color w:val="000000" w:themeColor="text1"/>
        </w:rPr>
        <w:br w:type="page"/>
      </w:r>
    </w:p>
    <w:p w14:paraId="1C6BED55" w14:textId="7051B9B7" w:rsidR="008430BD" w:rsidRPr="001C3EC8" w:rsidRDefault="008430BD" w:rsidP="008430BD">
      <w:pPr>
        <w:pStyle w:val="Podnadpis"/>
        <w:rPr>
          <w:color w:val="000000" w:themeColor="text1"/>
        </w:rPr>
      </w:pPr>
      <w:bookmarkStart w:id="407" w:name="_Toc75952345"/>
      <w:r w:rsidRPr="001C3EC8">
        <w:rPr>
          <w:color w:val="000000" w:themeColor="text1"/>
        </w:rPr>
        <w:lastRenderedPageBreak/>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42</w:t>
      </w:r>
      <w:r w:rsidRPr="001C3EC8">
        <w:rPr>
          <w:noProof/>
          <w:color w:val="000000" w:themeColor="text1"/>
        </w:rPr>
        <w:fldChar w:fldCharType="end"/>
      </w:r>
      <w:r w:rsidRPr="001C3EC8">
        <w:rPr>
          <w:color w:val="000000" w:themeColor="text1"/>
        </w:rPr>
        <w:t xml:space="preserve">: KS – počet přísedících dle soudů </w:t>
      </w:r>
      <w:r w:rsidR="00CD2266" w:rsidRPr="001C3EC8">
        <w:rPr>
          <w:color w:val="000000" w:themeColor="text1"/>
        </w:rPr>
        <w:t>a</w:t>
      </w:r>
      <w:r w:rsidR="00CD2266">
        <w:rPr>
          <w:color w:val="000000" w:themeColor="text1"/>
        </w:rPr>
        <w:t> </w:t>
      </w:r>
      <w:bookmarkEnd w:id="406"/>
      <w:r w:rsidRPr="001C3EC8">
        <w:rPr>
          <w:color w:val="000000" w:themeColor="text1"/>
        </w:rPr>
        <w:t>věků</w:t>
      </w:r>
      <w:bookmarkEnd w:id="407"/>
    </w:p>
    <w:tbl>
      <w:tblPr>
        <w:tblW w:w="7621" w:type="dxa"/>
        <w:tblCellMar>
          <w:left w:w="70" w:type="dxa"/>
          <w:right w:w="70" w:type="dxa"/>
        </w:tblCellMar>
        <w:tblLook w:val="04A0" w:firstRow="1" w:lastRow="0" w:firstColumn="1" w:lastColumn="0" w:noHBand="0" w:noVBand="1"/>
      </w:tblPr>
      <w:tblGrid>
        <w:gridCol w:w="2220"/>
        <w:gridCol w:w="1131"/>
        <w:gridCol w:w="940"/>
        <w:gridCol w:w="940"/>
        <w:gridCol w:w="940"/>
        <w:gridCol w:w="1450"/>
      </w:tblGrid>
      <w:tr w:rsidR="008430BD" w:rsidRPr="001C3EC8" w14:paraId="356D200C" w14:textId="77777777" w:rsidTr="00E077F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737C9CD5" w14:textId="77777777" w:rsidR="008430BD" w:rsidRPr="001C3EC8" w:rsidRDefault="008430BD" w:rsidP="00E077F3">
            <w:pPr>
              <w:spacing w:line="240" w:lineRule="auto"/>
              <w:jc w:val="center"/>
              <w:rPr>
                <w:rFonts w:eastAsia="Times New Roman"/>
                <w:b/>
                <w:bCs/>
                <w:color w:val="000000" w:themeColor="text1"/>
              </w:rPr>
            </w:pPr>
            <w:r w:rsidRPr="001C3EC8">
              <w:rPr>
                <w:b/>
                <w:bCs/>
                <w:color w:val="000000" w:themeColor="text1"/>
              </w:rPr>
              <w:t>Soud</w:t>
            </w:r>
          </w:p>
        </w:tc>
        <w:tc>
          <w:tcPr>
            <w:tcW w:w="5401" w:type="dxa"/>
            <w:gridSpan w:val="5"/>
            <w:tcBorders>
              <w:top w:val="double" w:sz="6" w:space="0" w:color="auto"/>
              <w:left w:val="nil"/>
              <w:bottom w:val="nil"/>
              <w:right w:val="nil"/>
            </w:tcBorders>
            <w:shd w:val="clear" w:color="auto" w:fill="auto"/>
            <w:noWrap/>
            <w:vAlign w:val="bottom"/>
            <w:hideMark/>
          </w:tcPr>
          <w:p w14:paraId="0E99981C" w14:textId="77777777" w:rsidR="008430BD" w:rsidRPr="001C3EC8" w:rsidRDefault="008430BD" w:rsidP="00E077F3">
            <w:pPr>
              <w:jc w:val="center"/>
              <w:rPr>
                <w:rFonts w:ascii="Times New Roman" w:hAnsi="Times New Roman"/>
                <w:b/>
                <w:bCs/>
                <w:color w:val="000000" w:themeColor="text1"/>
              </w:rPr>
            </w:pPr>
            <w:r w:rsidRPr="001C3EC8">
              <w:rPr>
                <w:b/>
                <w:bCs/>
                <w:color w:val="000000" w:themeColor="text1"/>
              </w:rPr>
              <w:t>Věková skupina</w:t>
            </w:r>
          </w:p>
        </w:tc>
      </w:tr>
      <w:tr w:rsidR="008430BD" w:rsidRPr="001C3EC8" w14:paraId="32FF7390" w14:textId="77777777" w:rsidTr="00E077F3">
        <w:trPr>
          <w:trHeight w:val="330"/>
        </w:trPr>
        <w:tc>
          <w:tcPr>
            <w:tcW w:w="2220" w:type="dxa"/>
            <w:vMerge/>
            <w:tcBorders>
              <w:top w:val="double" w:sz="6" w:space="0" w:color="auto"/>
              <w:left w:val="nil"/>
              <w:bottom w:val="double" w:sz="6" w:space="0" w:color="000000"/>
              <w:right w:val="nil"/>
            </w:tcBorders>
            <w:vAlign w:val="center"/>
            <w:hideMark/>
          </w:tcPr>
          <w:p w14:paraId="367336D7" w14:textId="77777777" w:rsidR="008430BD" w:rsidRPr="001C3EC8" w:rsidRDefault="008430BD" w:rsidP="00E077F3">
            <w:pPr>
              <w:rPr>
                <w:b/>
                <w:bCs/>
                <w:color w:val="000000" w:themeColor="text1"/>
                <w:szCs w:val="24"/>
              </w:rPr>
            </w:pPr>
          </w:p>
        </w:tc>
        <w:tc>
          <w:tcPr>
            <w:tcW w:w="1131" w:type="dxa"/>
            <w:tcBorders>
              <w:top w:val="nil"/>
              <w:left w:val="nil"/>
              <w:bottom w:val="double" w:sz="6" w:space="0" w:color="auto"/>
              <w:right w:val="nil"/>
            </w:tcBorders>
            <w:shd w:val="clear" w:color="auto" w:fill="auto"/>
            <w:noWrap/>
            <w:vAlign w:val="bottom"/>
            <w:hideMark/>
          </w:tcPr>
          <w:p w14:paraId="7D0B9EB5" w14:textId="77777777" w:rsidR="008430BD" w:rsidRPr="001C3EC8" w:rsidRDefault="008430BD" w:rsidP="00E077F3">
            <w:pPr>
              <w:jc w:val="center"/>
              <w:rPr>
                <w:b/>
                <w:bCs/>
                <w:color w:val="000000" w:themeColor="text1"/>
              </w:rPr>
            </w:pPr>
            <w:r w:rsidRPr="001C3EC8">
              <w:rPr>
                <w:b/>
                <w:bCs/>
                <w:color w:val="000000" w:themeColor="text1"/>
              </w:rPr>
              <w:t>30-39</w:t>
            </w:r>
          </w:p>
        </w:tc>
        <w:tc>
          <w:tcPr>
            <w:tcW w:w="940" w:type="dxa"/>
            <w:tcBorders>
              <w:top w:val="nil"/>
              <w:left w:val="nil"/>
              <w:bottom w:val="double" w:sz="6" w:space="0" w:color="auto"/>
              <w:right w:val="nil"/>
            </w:tcBorders>
            <w:shd w:val="clear" w:color="auto" w:fill="auto"/>
            <w:noWrap/>
            <w:vAlign w:val="bottom"/>
            <w:hideMark/>
          </w:tcPr>
          <w:p w14:paraId="41D48655" w14:textId="77777777" w:rsidR="008430BD" w:rsidRPr="001C3EC8" w:rsidRDefault="008430BD" w:rsidP="00E077F3">
            <w:pPr>
              <w:jc w:val="center"/>
              <w:rPr>
                <w:b/>
                <w:bCs/>
                <w:color w:val="000000" w:themeColor="text1"/>
              </w:rPr>
            </w:pPr>
            <w:r w:rsidRPr="001C3EC8">
              <w:rPr>
                <w:b/>
                <w:bCs/>
                <w:color w:val="000000" w:themeColor="text1"/>
              </w:rPr>
              <w:t>40-49</w:t>
            </w:r>
          </w:p>
        </w:tc>
        <w:tc>
          <w:tcPr>
            <w:tcW w:w="940" w:type="dxa"/>
            <w:tcBorders>
              <w:top w:val="nil"/>
              <w:left w:val="nil"/>
              <w:bottom w:val="double" w:sz="6" w:space="0" w:color="auto"/>
              <w:right w:val="nil"/>
            </w:tcBorders>
            <w:shd w:val="clear" w:color="auto" w:fill="auto"/>
            <w:noWrap/>
            <w:vAlign w:val="bottom"/>
            <w:hideMark/>
          </w:tcPr>
          <w:p w14:paraId="11323908" w14:textId="77777777" w:rsidR="008430BD" w:rsidRPr="001C3EC8" w:rsidRDefault="008430BD" w:rsidP="00E077F3">
            <w:pPr>
              <w:jc w:val="center"/>
              <w:rPr>
                <w:b/>
                <w:bCs/>
                <w:color w:val="000000" w:themeColor="text1"/>
              </w:rPr>
            </w:pPr>
            <w:r w:rsidRPr="001C3EC8">
              <w:rPr>
                <w:b/>
                <w:bCs/>
                <w:color w:val="000000" w:themeColor="text1"/>
              </w:rPr>
              <w:t>50-59</w:t>
            </w:r>
          </w:p>
        </w:tc>
        <w:tc>
          <w:tcPr>
            <w:tcW w:w="940" w:type="dxa"/>
            <w:tcBorders>
              <w:top w:val="nil"/>
              <w:left w:val="nil"/>
              <w:bottom w:val="double" w:sz="6" w:space="0" w:color="auto"/>
              <w:right w:val="nil"/>
            </w:tcBorders>
            <w:shd w:val="clear" w:color="auto" w:fill="auto"/>
            <w:noWrap/>
            <w:vAlign w:val="bottom"/>
            <w:hideMark/>
          </w:tcPr>
          <w:p w14:paraId="4EC2ACB1" w14:textId="77777777" w:rsidR="008430BD" w:rsidRPr="001C3EC8" w:rsidRDefault="008430BD" w:rsidP="00E077F3">
            <w:pPr>
              <w:jc w:val="center"/>
              <w:rPr>
                <w:b/>
                <w:bCs/>
                <w:color w:val="000000" w:themeColor="text1"/>
              </w:rPr>
            </w:pPr>
            <w:r w:rsidRPr="001C3EC8">
              <w:rPr>
                <w:b/>
                <w:bCs/>
                <w:color w:val="000000" w:themeColor="text1"/>
              </w:rPr>
              <w:t>60-69</w:t>
            </w:r>
          </w:p>
        </w:tc>
        <w:tc>
          <w:tcPr>
            <w:tcW w:w="1450" w:type="dxa"/>
            <w:tcBorders>
              <w:top w:val="nil"/>
              <w:left w:val="nil"/>
              <w:bottom w:val="double" w:sz="6" w:space="0" w:color="auto"/>
              <w:right w:val="nil"/>
            </w:tcBorders>
            <w:shd w:val="clear" w:color="auto" w:fill="auto"/>
            <w:noWrap/>
            <w:vAlign w:val="bottom"/>
            <w:hideMark/>
          </w:tcPr>
          <w:p w14:paraId="1D67D267" w14:textId="2C0D275E" w:rsidR="008430BD" w:rsidRPr="001C3EC8" w:rsidRDefault="008430BD" w:rsidP="00E077F3">
            <w:pPr>
              <w:jc w:val="center"/>
              <w:rPr>
                <w:b/>
                <w:bCs/>
                <w:color w:val="000000" w:themeColor="text1"/>
              </w:rPr>
            </w:pPr>
            <w:r w:rsidRPr="001C3EC8">
              <w:rPr>
                <w:b/>
                <w:bCs/>
                <w:color w:val="000000" w:themeColor="text1"/>
              </w:rPr>
              <w:t xml:space="preserve">70 </w:t>
            </w:r>
            <w:r w:rsidR="00CD2266" w:rsidRPr="001C3EC8">
              <w:rPr>
                <w:b/>
                <w:bCs/>
                <w:color w:val="000000" w:themeColor="text1"/>
              </w:rPr>
              <w:t>a</w:t>
            </w:r>
            <w:r w:rsidR="00CD2266">
              <w:rPr>
                <w:b/>
                <w:bCs/>
                <w:color w:val="000000" w:themeColor="text1"/>
              </w:rPr>
              <w:t> </w:t>
            </w:r>
            <w:r w:rsidRPr="001C3EC8">
              <w:rPr>
                <w:b/>
                <w:bCs/>
                <w:color w:val="000000" w:themeColor="text1"/>
              </w:rPr>
              <w:t>více</w:t>
            </w:r>
          </w:p>
        </w:tc>
      </w:tr>
      <w:tr w:rsidR="008430BD" w:rsidRPr="001C3EC8" w14:paraId="441900AB" w14:textId="77777777" w:rsidTr="00E077F3">
        <w:trPr>
          <w:trHeight w:val="330"/>
        </w:trPr>
        <w:tc>
          <w:tcPr>
            <w:tcW w:w="2220" w:type="dxa"/>
            <w:tcBorders>
              <w:top w:val="nil"/>
              <w:left w:val="nil"/>
              <w:bottom w:val="single" w:sz="4" w:space="0" w:color="auto"/>
              <w:right w:val="nil"/>
            </w:tcBorders>
            <w:shd w:val="clear" w:color="auto" w:fill="auto"/>
            <w:noWrap/>
            <w:vAlign w:val="bottom"/>
            <w:hideMark/>
          </w:tcPr>
          <w:p w14:paraId="0D01335B" w14:textId="77777777" w:rsidR="008430BD" w:rsidRPr="001C3EC8" w:rsidRDefault="008430BD" w:rsidP="00E077F3">
            <w:pPr>
              <w:jc w:val="left"/>
              <w:rPr>
                <w:color w:val="000000" w:themeColor="text1"/>
              </w:rPr>
            </w:pPr>
            <w:r w:rsidRPr="001C3EC8">
              <w:rPr>
                <w:color w:val="000000" w:themeColor="text1"/>
              </w:rPr>
              <w:t>MS Praha</w:t>
            </w:r>
          </w:p>
        </w:tc>
        <w:tc>
          <w:tcPr>
            <w:tcW w:w="1131" w:type="dxa"/>
            <w:tcBorders>
              <w:top w:val="nil"/>
              <w:left w:val="nil"/>
              <w:bottom w:val="single" w:sz="4" w:space="0" w:color="auto"/>
              <w:right w:val="nil"/>
            </w:tcBorders>
            <w:shd w:val="clear" w:color="auto" w:fill="auto"/>
            <w:noWrap/>
            <w:vAlign w:val="bottom"/>
            <w:hideMark/>
          </w:tcPr>
          <w:p w14:paraId="021BEDF3" w14:textId="77777777" w:rsidR="008430BD" w:rsidRPr="001C3EC8" w:rsidRDefault="008430BD" w:rsidP="00E077F3">
            <w:pPr>
              <w:jc w:val="center"/>
              <w:rPr>
                <w:color w:val="000000" w:themeColor="text1"/>
              </w:rPr>
            </w:pPr>
            <w:r w:rsidRPr="001C3EC8">
              <w:rPr>
                <w:color w:val="000000" w:themeColor="text1"/>
              </w:rPr>
              <w:t>20</w:t>
            </w:r>
          </w:p>
        </w:tc>
        <w:tc>
          <w:tcPr>
            <w:tcW w:w="940" w:type="dxa"/>
            <w:tcBorders>
              <w:top w:val="nil"/>
              <w:left w:val="nil"/>
              <w:bottom w:val="single" w:sz="4" w:space="0" w:color="auto"/>
              <w:right w:val="nil"/>
            </w:tcBorders>
            <w:shd w:val="clear" w:color="auto" w:fill="auto"/>
            <w:noWrap/>
            <w:vAlign w:val="bottom"/>
            <w:hideMark/>
          </w:tcPr>
          <w:p w14:paraId="0484261F" w14:textId="77777777" w:rsidR="008430BD" w:rsidRPr="001C3EC8" w:rsidRDefault="008430BD" w:rsidP="00E077F3">
            <w:pPr>
              <w:jc w:val="center"/>
              <w:rPr>
                <w:color w:val="000000" w:themeColor="text1"/>
              </w:rPr>
            </w:pPr>
            <w:r w:rsidRPr="001C3EC8">
              <w:rPr>
                <w:color w:val="000000" w:themeColor="text1"/>
              </w:rPr>
              <w:t>70</w:t>
            </w:r>
          </w:p>
        </w:tc>
        <w:tc>
          <w:tcPr>
            <w:tcW w:w="940" w:type="dxa"/>
            <w:tcBorders>
              <w:top w:val="nil"/>
              <w:left w:val="nil"/>
              <w:bottom w:val="single" w:sz="4" w:space="0" w:color="auto"/>
              <w:right w:val="nil"/>
            </w:tcBorders>
            <w:shd w:val="clear" w:color="auto" w:fill="auto"/>
            <w:noWrap/>
            <w:vAlign w:val="bottom"/>
            <w:hideMark/>
          </w:tcPr>
          <w:p w14:paraId="5CB7387F" w14:textId="77777777" w:rsidR="008430BD" w:rsidRPr="001C3EC8" w:rsidRDefault="008430BD" w:rsidP="00E077F3">
            <w:pPr>
              <w:jc w:val="center"/>
              <w:rPr>
                <w:color w:val="000000" w:themeColor="text1"/>
              </w:rPr>
            </w:pPr>
            <w:r w:rsidRPr="001C3EC8">
              <w:rPr>
                <w:color w:val="000000" w:themeColor="text1"/>
              </w:rPr>
              <w:t>47</w:t>
            </w:r>
          </w:p>
        </w:tc>
        <w:tc>
          <w:tcPr>
            <w:tcW w:w="940" w:type="dxa"/>
            <w:tcBorders>
              <w:top w:val="nil"/>
              <w:left w:val="nil"/>
              <w:bottom w:val="single" w:sz="4" w:space="0" w:color="auto"/>
              <w:right w:val="nil"/>
            </w:tcBorders>
            <w:shd w:val="clear" w:color="auto" w:fill="auto"/>
            <w:noWrap/>
            <w:vAlign w:val="bottom"/>
            <w:hideMark/>
          </w:tcPr>
          <w:p w14:paraId="7BFF4AAC" w14:textId="77777777" w:rsidR="008430BD" w:rsidRPr="001C3EC8" w:rsidRDefault="008430BD" w:rsidP="00E077F3">
            <w:pPr>
              <w:jc w:val="center"/>
              <w:rPr>
                <w:color w:val="000000" w:themeColor="text1"/>
              </w:rPr>
            </w:pPr>
            <w:r w:rsidRPr="001C3EC8">
              <w:rPr>
                <w:color w:val="000000" w:themeColor="text1"/>
              </w:rPr>
              <w:t>58</w:t>
            </w:r>
          </w:p>
        </w:tc>
        <w:tc>
          <w:tcPr>
            <w:tcW w:w="1450" w:type="dxa"/>
            <w:tcBorders>
              <w:top w:val="nil"/>
              <w:left w:val="nil"/>
              <w:bottom w:val="single" w:sz="4" w:space="0" w:color="auto"/>
              <w:right w:val="nil"/>
            </w:tcBorders>
            <w:shd w:val="clear" w:color="auto" w:fill="auto"/>
            <w:noWrap/>
            <w:vAlign w:val="bottom"/>
            <w:hideMark/>
          </w:tcPr>
          <w:p w14:paraId="0BE0A4A5" w14:textId="77777777" w:rsidR="008430BD" w:rsidRPr="001C3EC8" w:rsidRDefault="008430BD" w:rsidP="00E077F3">
            <w:pPr>
              <w:jc w:val="center"/>
              <w:rPr>
                <w:color w:val="000000" w:themeColor="text1"/>
              </w:rPr>
            </w:pPr>
            <w:r w:rsidRPr="001C3EC8">
              <w:rPr>
                <w:color w:val="000000" w:themeColor="text1"/>
              </w:rPr>
              <w:t>39</w:t>
            </w:r>
          </w:p>
        </w:tc>
      </w:tr>
      <w:tr w:rsidR="008430BD" w:rsidRPr="001C3EC8" w14:paraId="11508EF5"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0E3B78D7" w14:textId="77777777" w:rsidR="008430BD" w:rsidRPr="001C3EC8" w:rsidRDefault="008430BD" w:rsidP="00E077F3">
            <w:pPr>
              <w:jc w:val="left"/>
              <w:rPr>
                <w:color w:val="000000" w:themeColor="text1"/>
              </w:rPr>
            </w:pPr>
            <w:r w:rsidRPr="001C3EC8">
              <w:rPr>
                <w:color w:val="000000" w:themeColor="text1"/>
              </w:rPr>
              <w:t>KS Praha</w:t>
            </w:r>
          </w:p>
        </w:tc>
        <w:tc>
          <w:tcPr>
            <w:tcW w:w="1131" w:type="dxa"/>
            <w:tcBorders>
              <w:top w:val="nil"/>
              <w:left w:val="nil"/>
              <w:bottom w:val="single" w:sz="4" w:space="0" w:color="auto"/>
              <w:right w:val="nil"/>
            </w:tcBorders>
            <w:shd w:val="clear" w:color="auto" w:fill="auto"/>
            <w:noWrap/>
            <w:vAlign w:val="bottom"/>
            <w:hideMark/>
          </w:tcPr>
          <w:p w14:paraId="1A9785FB" w14:textId="77777777" w:rsidR="008430BD" w:rsidRPr="001C3EC8" w:rsidRDefault="008430BD" w:rsidP="00E077F3">
            <w:pPr>
              <w:jc w:val="center"/>
              <w:rPr>
                <w:color w:val="000000" w:themeColor="text1"/>
              </w:rPr>
            </w:pPr>
            <w:r w:rsidRPr="001C3EC8">
              <w:rPr>
                <w:color w:val="000000" w:themeColor="text1"/>
              </w:rPr>
              <w:t>5</w:t>
            </w:r>
          </w:p>
        </w:tc>
        <w:tc>
          <w:tcPr>
            <w:tcW w:w="940" w:type="dxa"/>
            <w:tcBorders>
              <w:top w:val="nil"/>
              <w:left w:val="nil"/>
              <w:bottom w:val="single" w:sz="4" w:space="0" w:color="auto"/>
              <w:right w:val="nil"/>
            </w:tcBorders>
            <w:shd w:val="clear" w:color="auto" w:fill="auto"/>
            <w:noWrap/>
            <w:vAlign w:val="bottom"/>
            <w:hideMark/>
          </w:tcPr>
          <w:p w14:paraId="41FBB8AA" w14:textId="77777777" w:rsidR="008430BD" w:rsidRPr="001C3EC8" w:rsidRDefault="008430BD" w:rsidP="00E077F3">
            <w:pPr>
              <w:jc w:val="center"/>
              <w:rPr>
                <w:color w:val="000000" w:themeColor="text1"/>
              </w:rPr>
            </w:pPr>
            <w:r w:rsidRPr="001C3EC8">
              <w:rPr>
                <w:color w:val="000000" w:themeColor="text1"/>
              </w:rPr>
              <w:t>20</w:t>
            </w:r>
          </w:p>
        </w:tc>
        <w:tc>
          <w:tcPr>
            <w:tcW w:w="940" w:type="dxa"/>
            <w:tcBorders>
              <w:top w:val="nil"/>
              <w:left w:val="nil"/>
              <w:bottom w:val="single" w:sz="4" w:space="0" w:color="auto"/>
              <w:right w:val="nil"/>
            </w:tcBorders>
            <w:shd w:val="clear" w:color="auto" w:fill="auto"/>
            <w:noWrap/>
            <w:vAlign w:val="bottom"/>
            <w:hideMark/>
          </w:tcPr>
          <w:p w14:paraId="70E81A5C" w14:textId="77777777" w:rsidR="008430BD" w:rsidRPr="001C3EC8" w:rsidRDefault="008430BD" w:rsidP="00E077F3">
            <w:pPr>
              <w:jc w:val="center"/>
              <w:rPr>
                <w:color w:val="000000" w:themeColor="text1"/>
              </w:rPr>
            </w:pPr>
            <w:r w:rsidRPr="001C3EC8">
              <w:rPr>
                <w:color w:val="000000" w:themeColor="text1"/>
              </w:rPr>
              <w:t>14</w:t>
            </w:r>
          </w:p>
        </w:tc>
        <w:tc>
          <w:tcPr>
            <w:tcW w:w="940" w:type="dxa"/>
            <w:tcBorders>
              <w:top w:val="nil"/>
              <w:left w:val="nil"/>
              <w:bottom w:val="single" w:sz="4" w:space="0" w:color="auto"/>
              <w:right w:val="nil"/>
            </w:tcBorders>
            <w:shd w:val="clear" w:color="auto" w:fill="auto"/>
            <w:noWrap/>
            <w:vAlign w:val="bottom"/>
            <w:hideMark/>
          </w:tcPr>
          <w:p w14:paraId="13483C00" w14:textId="77777777" w:rsidR="008430BD" w:rsidRPr="001C3EC8" w:rsidRDefault="008430BD" w:rsidP="00E077F3">
            <w:pPr>
              <w:jc w:val="center"/>
              <w:rPr>
                <w:color w:val="000000" w:themeColor="text1"/>
              </w:rPr>
            </w:pPr>
            <w:r w:rsidRPr="001C3EC8">
              <w:rPr>
                <w:color w:val="000000" w:themeColor="text1"/>
              </w:rPr>
              <w:t>17</w:t>
            </w:r>
          </w:p>
        </w:tc>
        <w:tc>
          <w:tcPr>
            <w:tcW w:w="1450" w:type="dxa"/>
            <w:tcBorders>
              <w:top w:val="nil"/>
              <w:left w:val="nil"/>
              <w:bottom w:val="single" w:sz="4" w:space="0" w:color="auto"/>
              <w:right w:val="nil"/>
            </w:tcBorders>
            <w:shd w:val="clear" w:color="auto" w:fill="auto"/>
            <w:noWrap/>
            <w:vAlign w:val="bottom"/>
            <w:hideMark/>
          </w:tcPr>
          <w:p w14:paraId="55329A26" w14:textId="77777777" w:rsidR="008430BD" w:rsidRPr="001C3EC8" w:rsidRDefault="008430BD" w:rsidP="00E077F3">
            <w:pPr>
              <w:jc w:val="center"/>
              <w:rPr>
                <w:color w:val="000000" w:themeColor="text1"/>
              </w:rPr>
            </w:pPr>
            <w:r w:rsidRPr="001C3EC8">
              <w:rPr>
                <w:color w:val="000000" w:themeColor="text1"/>
              </w:rPr>
              <w:t>26</w:t>
            </w:r>
          </w:p>
        </w:tc>
      </w:tr>
      <w:tr w:rsidR="008430BD" w:rsidRPr="001C3EC8" w14:paraId="16F5702E"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5A88F6BD" w14:textId="77777777" w:rsidR="008430BD" w:rsidRPr="001C3EC8" w:rsidRDefault="008430BD" w:rsidP="00E077F3">
            <w:pPr>
              <w:jc w:val="left"/>
              <w:rPr>
                <w:color w:val="000000" w:themeColor="text1"/>
              </w:rPr>
            </w:pPr>
            <w:r w:rsidRPr="001C3EC8">
              <w:rPr>
                <w:color w:val="000000" w:themeColor="text1"/>
              </w:rPr>
              <w:t>KS Č. Budějovice</w:t>
            </w:r>
          </w:p>
        </w:tc>
        <w:tc>
          <w:tcPr>
            <w:tcW w:w="1131" w:type="dxa"/>
            <w:tcBorders>
              <w:top w:val="nil"/>
              <w:left w:val="nil"/>
              <w:bottom w:val="single" w:sz="4" w:space="0" w:color="auto"/>
              <w:right w:val="nil"/>
            </w:tcBorders>
            <w:shd w:val="clear" w:color="auto" w:fill="auto"/>
            <w:noWrap/>
            <w:vAlign w:val="bottom"/>
            <w:hideMark/>
          </w:tcPr>
          <w:p w14:paraId="536E912B" w14:textId="77777777" w:rsidR="008430BD" w:rsidRPr="001C3EC8" w:rsidRDefault="008430BD" w:rsidP="00E077F3">
            <w:pPr>
              <w:jc w:val="center"/>
              <w:rPr>
                <w:color w:val="000000" w:themeColor="text1"/>
              </w:rPr>
            </w:pPr>
            <w:r w:rsidRPr="001C3EC8">
              <w:rPr>
                <w:color w:val="000000" w:themeColor="text1"/>
              </w:rPr>
              <w:t>0</w:t>
            </w:r>
          </w:p>
        </w:tc>
        <w:tc>
          <w:tcPr>
            <w:tcW w:w="940" w:type="dxa"/>
            <w:tcBorders>
              <w:top w:val="nil"/>
              <w:left w:val="nil"/>
              <w:bottom w:val="single" w:sz="4" w:space="0" w:color="auto"/>
              <w:right w:val="nil"/>
            </w:tcBorders>
            <w:shd w:val="clear" w:color="auto" w:fill="auto"/>
            <w:noWrap/>
            <w:vAlign w:val="bottom"/>
            <w:hideMark/>
          </w:tcPr>
          <w:p w14:paraId="53C3F6A9" w14:textId="77777777" w:rsidR="008430BD" w:rsidRPr="001C3EC8" w:rsidRDefault="008430BD" w:rsidP="00E077F3">
            <w:pPr>
              <w:jc w:val="center"/>
              <w:rPr>
                <w:color w:val="000000" w:themeColor="text1"/>
              </w:rPr>
            </w:pPr>
            <w:r w:rsidRPr="001C3EC8">
              <w:rPr>
                <w:color w:val="000000" w:themeColor="text1"/>
              </w:rPr>
              <w:t>1</w:t>
            </w:r>
          </w:p>
        </w:tc>
        <w:tc>
          <w:tcPr>
            <w:tcW w:w="940" w:type="dxa"/>
            <w:tcBorders>
              <w:top w:val="nil"/>
              <w:left w:val="nil"/>
              <w:bottom w:val="single" w:sz="4" w:space="0" w:color="auto"/>
              <w:right w:val="nil"/>
            </w:tcBorders>
            <w:shd w:val="clear" w:color="auto" w:fill="auto"/>
            <w:noWrap/>
            <w:vAlign w:val="bottom"/>
            <w:hideMark/>
          </w:tcPr>
          <w:p w14:paraId="1FDA9BA5" w14:textId="77777777" w:rsidR="008430BD" w:rsidRPr="001C3EC8" w:rsidRDefault="008430BD" w:rsidP="00E077F3">
            <w:pPr>
              <w:jc w:val="center"/>
              <w:rPr>
                <w:color w:val="000000" w:themeColor="text1"/>
              </w:rPr>
            </w:pPr>
            <w:r w:rsidRPr="001C3EC8">
              <w:rPr>
                <w:color w:val="000000" w:themeColor="text1"/>
              </w:rPr>
              <w:t>4</w:t>
            </w:r>
          </w:p>
        </w:tc>
        <w:tc>
          <w:tcPr>
            <w:tcW w:w="940" w:type="dxa"/>
            <w:tcBorders>
              <w:top w:val="nil"/>
              <w:left w:val="nil"/>
              <w:bottom w:val="single" w:sz="4" w:space="0" w:color="auto"/>
              <w:right w:val="nil"/>
            </w:tcBorders>
            <w:shd w:val="clear" w:color="auto" w:fill="auto"/>
            <w:noWrap/>
            <w:vAlign w:val="bottom"/>
            <w:hideMark/>
          </w:tcPr>
          <w:p w14:paraId="2091D226" w14:textId="77777777" w:rsidR="008430BD" w:rsidRPr="001C3EC8" w:rsidRDefault="008430BD" w:rsidP="00E077F3">
            <w:pPr>
              <w:jc w:val="center"/>
              <w:rPr>
                <w:color w:val="000000" w:themeColor="text1"/>
              </w:rPr>
            </w:pPr>
            <w:r w:rsidRPr="001C3EC8">
              <w:rPr>
                <w:color w:val="000000" w:themeColor="text1"/>
              </w:rPr>
              <w:t>10</w:t>
            </w:r>
          </w:p>
        </w:tc>
        <w:tc>
          <w:tcPr>
            <w:tcW w:w="1450" w:type="dxa"/>
            <w:tcBorders>
              <w:top w:val="nil"/>
              <w:left w:val="nil"/>
              <w:bottom w:val="single" w:sz="4" w:space="0" w:color="auto"/>
              <w:right w:val="nil"/>
            </w:tcBorders>
            <w:shd w:val="clear" w:color="auto" w:fill="auto"/>
            <w:noWrap/>
            <w:vAlign w:val="bottom"/>
            <w:hideMark/>
          </w:tcPr>
          <w:p w14:paraId="1537C10B" w14:textId="77777777" w:rsidR="008430BD" w:rsidRPr="001C3EC8" w:rsidRDefault="008430BD" w:rsidP="00E077F3">
            <w:pPr>
              <w:jc w:val="center"/>
              <w:rPr>
                <w:color w:val="000000" w:themeColor="text1"/>
              </w:rPr>
            </w:pPr>
            <w:r w:rsidRPr="001C3EC8">
              <w:rPr>
                <w:color w:val="000000" w:themeColor="text1"/>
              </w:rPr>
              <w:t>17</w:t>
            </w:r>
          </w:p>
        </w:tc>
      </w:tr>
      <w:tr w:rsidR="008430BD" w:rsidRPr="001C3EC8" w14:paraId="77FD7ECA"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60DD5C7E" w14:textId="77777777" w:rsidR="008430BD" w:rsidRPr="001C3EC8" w:rsidRDefault="008430BD" w:rsidP="00E077F3">
            <w:pPr>
              <w:jc w:val="left"/>
              <w:rPr>
                <w:color w:val="000000" w:themeColor="text1"/>
              </w:rPr>
            </w:pPr>
            <w:r w:rsidRPr="001C3EC8">
              <w:rPr>
                <w:color w:val="000000" w:themeColor="text1"/>
              </w:rPr>
              <w:t>KS Plzeň</w:t>
            </w:r>
          </w:p>
        </w:tc>
        <w:tc>
          <w:tcPr>
            <w:tcW w:w="1131" w:type="dxa"/>
            <w:tcBorders>
              <w:top w:val="nil"/>
              <w:left w:val="nil"/>
              <w:bottom w:val="single" w:sz="4" w:space="0" w:color="auto"/>
              <w:right w:val="nil"/>
            </w:tcBorders>
            <w:shd w:val="clear" w:color="auto" w:fill="auto"/>
            <w:noWrap/>
            <w:vAlign w:val="bottom"/>
            <w:hideMark/>
          </w:tcPr>
          <w:p w14:paraId="27322810" w14:textId="77777777" w:rsidR="008430BD" w:rsidRPr="001C3EC8" w:rsidRDefault="008430BD" w:rsidP="00E077F3">
            <w:pPr>
              <w:jc w:val="center"/>
              <w:rPr>
                <w:color w:val="000000" w:themeColor="text1"/>
              </w:rPr>
            </w:pPr>
            <w:r w:rsidRPr="001C3EC8">
              <w:rPr>
                <w:color w:val="000000" w:themeColor="text1"/>
              </w:rPr>
              <w:t>4</w:t>
            </w:r>
          </w:p>
        </w:tc>
        <w:tc>
          <w:tcPr>
            <w:tcW w:w="940" w:type="dxa"/>
            <w:tcBorders>
              <w:top w:val="nil"/>
              <w:left w:val="nil"/>
              <w:bottom w:val="single" w:sz="4" w:space="0" w:color="auto"/>
              <w:right w:val="nil"/>
            </w:tcBorders>
            <w:shd w:val="clear" w:color="auto" w:fill="auto"/>
            <w:noWrap/>
            <w:vAlign w:val="bottom"/>
            <w:hideMark/>
          </w:tcPr>
          <w:p w14:paraId="4A37C2EE" w14:textId="77777777" w:rsidR="008430BD" w:rsidRPr="001C3EC8" w:rsidRDefault="008430BD" w:rsidP="00E077F3">
            <w:pPr>
              <w:jc w:val="center"/>
              <w:rPr>
                <w:color w:val="000000" w:themeColor="text1"/>
              </w:rPr>
            </w:pPr>
            <w:r w:rsidRPr="001C3EC8">
              <w:rPr>
                <w:color w:val="000000" w:themeColor="text1"/>
              </w:rPr>
              <w:t>9</w:t>
            </w:r>
          </w:p>
        </w:tc>
        <w:tc>
          <w:tcPr>
            <w:tcW w:w="940" w:type="dxa"/>
            <w:tcBorders>
              <w:top w:val="nil"/>
              <w:left w:val="nil"/>
              <w:bottom w:val="single" w:sz="4" w:space="0" w:color="auto"/>
              <w:right w:val="nil"/>
            </w:tcBorders>
            <w:shd w:val="clear" w:color="auto" w:fill="auto"/>
            <w:noWrap/>
            <w:vAlign w:val="bottom"/>
            <w:hideMark/>
          </w:tcPr>
          <w:p w14:paraId="583E0B7C" w14:textId="77777777" w:rsidR="008430BD" w:rsidRPr="001C3EC8" w:rsidRDefault="008430BD" w:rsidP="00E077F3">
            <w:pPr>
              <w:jc w:val="center"/>
              <w:rPr>
                <w:color w:val="000000" w:themeColor="text1"/>
              </w:rPr>
            </w:pPr>
            <w:r w:rsidRPr="001C3EC8">
              <w:rPr>
                <w:color w:val="000000" w:themeColor="text1"/>
              </w:rPr>
              <w:t>6</w:t>
            </w:r>
          </w:p>
        </w:tc>
        <w:tc>
          <w:tcPr>
            <w:tcW w:w="940" w:type="dxa"/>
            <w:tcBorders>
              <w:top w:val="nil"/>
              <w:left w:val="nil"/>
              <w:bottom w:val="single" w:sz="4" w:space="0" w:color="auto"/>
              <w:right w:val="nil"/>
            </w:tcBorders>
            <w:shd w:val="clear" w:color="auto" w:fill="auto"/>
            <w:noWrap/>
            <w:vAlign w:val="bottom"/>
            <w:hideMark/>
          </w:tcPr>
          <w:p w14:paraId="5F4B8AE2" w14:textId="77777777" w:rsidR="008430BD" w:rsidRPr="001C3EC8" w:rsidRDefault="008430BD" w:rsidP="00E077F3">
            <w:pPr>
              <w:jc w:val="center"/>
              <w:rPr>
                <w:color w:val="000000" w:themeColor="text1"/>
              </w:rPr>
            </w:pPr>
            <w:r w:rsidRPr="001C3EC8">
              <w:rPr>
                <w:color w:val="000000" w:themeColor="text1"/>
              </w:rPr>
              <w:t>23</w:t>
            </w:r>
          </w:p>
        </w:tc>
        <w:tc>
          <w:tcPr>
            <w:tcW w:w="1450" w:type="dxa"/>
            <w:tcBorders>
              <w:top w:val="nil"/>
              <w:left w:val="nil"/>
              <w:bottom w:val="single" w:sz="4" w:space="0" w:color="auto"/>
              <w:right w:val="nil"/>
            </w:tcBorders>
            <w:shd w:val="clear" w:color="auto" w:fill="auto"/>
            <w:noWrap/>
            <w:vAlign w:val="bottom"/>
            <w:hideMark/>
          </w:tcPr>
          <w:p w14:paraId="701BDD16" w14:textId="77777777" w:rsidR="008430BD" w:rsidRPr="001C3EC8" w:rsidRDefault="008430BD" w:rsidP="00E077F3">
            <w:pPr>
              <w:jc w:val="center"/>
              <w:rPr>
                <w:color w:val="000000" w:themeColor="text1"/>
              </w:rPr>
            </w:pPr>
            <w:r w:rsidRPr="001C3EC8">
              <w:rPr>
                <w:color w:val="000000" w:themeColor="text1"/>
              </w:rPr>
              <w:t>26</w:t>
            </w:r>
          </w:p>
        </w:tc>
      </w:tr>
      <w:tr w:rsidR="008430BD" w:rsidRPr="001C3EC8" w14:paraId="2ADF2368"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52F5F781" w14:textId="77777777" w:rsidR="008430BD" w:rsidRPr="001C3EC8" w:rsidRDefault="008430BD" w:rsidP="00E077F3">
            <w:pPr>
              <w:jc w:val="left"/>
              <w:rPr>
                <w:color w:val="000000" w:themeColor="text1"/>
              </w:rPr>
            </w:pPr>
            <w:r w:rsidRPr="001C3EC8">
              <w:rPr>
                <w:color w:val="000000" w:themeColor="text1"/>
              </w:rPr>
              <w:t>KS Ústí n. Labem</w:t>
            </w:r>
          </w:p>
        </w:tc>
        <w:tc>
          <w:tcPr>
            <w:tcW w:w="1131" w:type="dxa"/>
            <w:tcBorders>
              <w:top w:val="nil"/>
              <w:left w:val="nil"/>
              <w:bottom w:val="single" w:sz="4" w:space="0" w:color="auto"/>
              <w:right w:val="nil"/>
            </w:tcBorders>
            <w:shd w:val="clear" w:color="auto" w:fill="auto"/>
            <w:noWrap/>
            <w:vAlign w:val="bottom"/>
            <w:hideMark/>
          </w:tcPr>
          <w:p w14:paraId="4124EDE6" w14:textId="77777777" w:rsidR="008430BD" w:rsidRPr="001C3EC8" w:rsidRDefault="008430BD" w:rsidP="00E077F3">
            <w:pPr>
              <w:jc w:val="center"/>
              <w:rPr>
                <w:color w:val="000000" w:themeColor="text1"/>
              </w:rPr>
            </w:pPr>
            <w:r w:rsidRPr="001C3EC8">
              <w:rPr>
                <w:color w:val="000000" w:themeColor="text1"/>
              </w:rPr>
              <w:t>4</w:t>
            </w:r>
          </w:p>
        </w:tc>
        <w:tc>
          <w:tcPr>
            <w:tcW w:w="940" w:type="dxa"/>
            <w:tcBorders>
              <w:top w:val="nil"/>
              <w:left w:val="nil"/>
              <w:bottom w:val="single" w:sz="4" w:space="0" w:color="auto"/>
              <w:right w:val="nil"/>
            </w:tcBorders>
            <w:shd w:val="clear" w:color="auto" w:fill="auto"/>
            <w:noWrap/>
            <w:vAlign w:val="bottom"/>
            <w:hideMark/>
          </w:tcPr>
          <w:p w14:paraId="40C768D2" w14:textId="77777777" w:rsidR="008430BD" w:rsidRPr="001C3EC8" w:rsidRDefault="008430BD" w:rsidP="00E077F3">
            <w:pPr>
              <w:jc w:val="center"/>
              <w:rPr>
                <w:color w:val="000000" w:themeColor="text1"/>
              </w:rPr>
            </w:pPr>
            <w:r w:rsidRPr="001C3EC8">
              <w:rPr>
                <w:color w:val="000000" w:themeColor="text1"/>
              </w:rPr>
              <w:t>14</w:t>
            </w:r>
          </w:p>
        </w:tc>
        <w:tc>
          <w:tcPr>
            <w:tcW w:w="940" w:type="dxa"/>
            <w:tcBorders>
              <w:top w:val="nil"/>
              <w:left w:val="nil"/>
              <w:bottom w:val="single" w:sz="4" w:space="0" w:color="auto"/>
              <w:right w:val="nil"/>
            </w:tcBorders>
            <w:shd w:val="clear" w:color="auto" w:fill="auto"/>
            <w:noWrap/>
            <w:vAlign w:val="bottom"/>
            <w:hideMark/>
          </w:tcPr>
          <w:p w14:paraId="3D0D1914" w14:textId="77777777" w:rsidR="008430BD" w:rsidRPr="001C3EC8" w:rsidRDefault="008430BD" w:rsidP="00E077F3">
            <w:pPr>
              <w:jc w:val="center"/>
              <w:rPr>
                <w:color w:val="000000" w:themeColor="text1"/>
              </w:rPr>
            </w:pPr>
            <w:r w:rsidRPr="001C3EC8">
              <w:rPr>
                <w:color w:val="000000" w:themeColor="text1"/>
              </w:rPr>
              <w:t>28</w:t>
            </w:r>
          </w:p>
        </w:tc>
        <w:tc>
          <w:tcPr>
            <w:tcW w:w="940" w:type="dxa"/>
            <w:tcBorders>
              <w:top w:val="nil"/>
              <w:left w:val="nil"/>
              <w:bottom w:val="single" w:sz="4" w:space="0" w:color="auto"/>
              <w:right w:val="nil"/>
            </w:tcBorders>
            <w:shd w:val="clear" w:color="auto" w:fill="auto"/>
            <w:noWrap/>
            <w:vAlign w:val="bottom"/>
            <w:hideMark/>
          </w:tcPr>
          <w:p w14:paraId="3A87F779" w14:textId="77777777" w:rsidR="008430BD" w:rsidRPr="001C3EC8" w:rsidRDefault="008430BD" w:rsidP="00E077F3">
            <w:pPr>
              <w:jc w:val="center"/>
              <w:rPr>
                <w:color w:val="000000" w:themeColor="text1"/>
              </w:rPr>
            </w:pPr>
            <w:r w:rsidRPr="001C3EC8">
              <w:rPr>
                <w:color w:val="000000" w:themeColor="text1"/>
              </w:rPr>
              <w:t>51</w:t>
            </w:r>
          </w:p>
        </w:tc>
        <w:tc>
          <w:tcPr>
            <w:tcW w:w="1450" w:type="dxa"/>
            <w:tcBorders>
              <w:top w:val="nil"/>
              <w:left w:val="nil"/>
              <w:bottom w:val="single" w:sz="4" w:space="0" w:color="auto"/>
              <w:right w:val="nil"/>
            </w:tcBorders>
            <w:shd w:val="clear" w:color="auto" w:fill="auto"/>
            <w:noWrap/>
            <w:vAlign w:val="bottom"/>
            <w:hideMark/>
          </w:tcPr>
          <w:p w14:paraId="0D2DA351" w14:textId="77777777" w:rsidR="008430BD" w:rsidRPr="001C3EC8" w:rsidRDefault="008430BD" w:rsidP="00E077F3">
            <w:pPr>
              <w:jc w:val="center"/>
              <w:rPr>
                <w:color w:val="000000" w:themeColor="text1"/>
              </w:rPr>
            </w:pPr>
            <w:r w:rsidRPr="001C3EC8">
              <w:rPr>
                <w:color w:val="000000" w:themeColor="text1"/>
              </w:rPr>
              <w:t>40</w:t>
            </w:r>
          </w:p>
        </w:tc>
      </w:tr>
      <w:tr w:rsidR="008430BD" w:rsidRPr="001C3EC8" w14:paraId="29264B12"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4D5E2379" w14:textId="77777777" w:rsidR="008430BD" w:rsidRPr="001C3EC8" w:rsidRDefault="008430BD" w:rsidP="00E077F3">
            <w:pPr>
              <w:jc w:val="left"/>
              <w:rPr>
                <w:color w:val="000000" w:themeColor="text1"/>
              </w:rPr>
            </w:pPr>
            <w:r w:rsidRPr="001C3EC8">
              <w:rPr>
                <w:color w:val="000000" w:themeColor="text1"/>
              </w:rPr>
              <w:t>KS Hr. Králové</w:t>
            </w:r>
          </w:p>
        </w:tc>
        <w:tc>
          <w:tcPr>
            <w:tcW w:w="1131" w:type="dxa"/>
            <w:tcBorders>
              <w:top w:val="nil"/>
              <w:left w:val="nil"/>
              <w:bottom w:val="single" w:sz="4" w:space="0" w:color="auto"/>
              <w:right w:val="nil"/>
            </w:tcBorders>
            <w:shd w:val="clear" w:color="auto" w:fill="auto"/>
            <w:noWrap/>
            <w:vAlign w:val="bottom"/>
            <w:hideMark/>
          </w:tcPr>
          <w:p w14:paraId="2F83B8DE" w14:textId="77777777" w:rsidR="008430BD" w:rsidRPr="001C3EC8" w:rsidRDefault="008430BD" w:rsidP="00E077F3">
            <w:pPr>
              <w:jc w:val="center"/>
              <w:rPr>
                <w:color w:val="000000" w:themeColor="text1"/>
              </w:rPr>
            </w:pPr>
            <w:r w:rsidRPr="001C3EC8">
              <w:rPr>
                <w:color w:val="000000" w:themeColor="text1"/>
              </w:rPr>
              <w:t>1</w:t>
            </w:r>
          </w:p>
        </w:tc>
        <w:tc>
          <w:tcPr>
            <w:tcW w:w="940" w:type="dxa"/>
            <w:tcBorders>
              <w:top w:val="nil"/>
              <w:left w:val="nil"/>
              <w:bottom w:val="single" w:sz="4" w:space="0" w:color="auto"/>
              <w:right w:val="nil"/>
            </w:tcBorders>
            <w:shd w:val="clear" w:color="auto" w:fill="auto"/>
            <w:noWrap/>
            <w:vAlign w:val="bottom"/>
            <w:hideMark/>
          </w:tcPr>
          <w:p w14:paraId="6B57E34E" w14:textId="77777777" w:rsidR="008430BD" w:rsidRPr="001C3EC8" w:rsidRDefault="008430BD" w:rsidP="00E077F3">
            <w:pPr>
              <w:jc w:val="center"/>
              <w:rPr>
                <w:color w:val="000000" w:themeColor="text1"/>
              </w:rPr>
            </w:pPr>
            <w:r w:rsidRPr="001C3EC8">
              <w:rPr>
                <w:color w:val="000000" w:themeColor="text1"/>
              </w:rPr>
              <w:t>10</w:t>
            </w:r>
          </w:p>
        </w:tc>
        <w:tc>
          <w:tcPr>
            <w:tcW w:w="940" w:type="dxa"/>
            <w:tcBorders>
              <w:top w:val="nil"/>
              <w:left w:val="nil"/>
              <w:bottom w:val="single" w:sz="4" w:space="0" w:color="auto"/>
              <w:right w:val="nil"/>
            </w:tcBorders>
            <w:shd w:val="clear" w:color="auto" w:fill="auto"/>
            <w:noWrap/>
            <w:vAlign w:val="bottom"/>
            <w:hideMark/>
          </w:tcPr>
          <w:p w14:paraId="25B80C31" w14:textId="77777777" w:rsidR="008430BD" w:rsidRPr="001C3EC8" w:rsidRDefault="008430BD" w:rsidP="00E077F3">
            <w:pPr>
              <w:jc w:val="center"/>
              <w:rPr>
                <w:color w:val="000000" w:themeColor="text1"/>
              </w:rPr>
            </w:pPr>
            <w:r w:rsidRPr="001C3EC8">
              <w:rPr>
                <w:color w:val="000000" w:themeColor="text1"/>
              </w:rPr>
              <w:t>14</w:t>
            </w:r>
          </w:p>
        </w:tc>
        <w:tc>
          <w:tcPr>
            <w:tcW w:w="940" w:type="dxa"/>
            <w:tcBorders>
              <w:top w:val="nil"/>
              <w:left w:val="nil"/>
              <w:bottom w:val="single" w:sz="4" w:space="0" w:color="auto"/>
              <w:right w:val="nil"/>
            </w:tcBorders>
            <w:shd w:val="clear" w:color="auto" w:fill="auto"/>
            <w:noWrap/>
            <w:vAlign w:val="bottom"/>
            <w:hideMark/>
          </w:tcPr>
          <w:p w14:paraId="20B87A29" w14:textId="77777777" w:rsidR="008430BD" w:rsidRPr="001C3EC8" w:rsidRDefault="008430BD" w:rsidP="00E077F3">
            <w:pPr>
              <w:jc w:val="center"/>
              <w:rPr>
                <w:color w:val="000000" w:themeColor="text1"/>
              </w:rPr>
            </w:pPr>
            <w:r w:rsidRPr="001C3EC8">
              <w:rPr>
                <w:color w:val="000000" w:themeColor="text1"/>
              </w:rPr>
              <w:t>19</w:t>
            </w:r>
          </w:p>
        </w:tc>
        <w:tc>
          <w:tcPr>
            <w:tcW w:w="1450" w:type="dxa"/>
            <w:tcBorders>
              <w:top w:val="nil"/>
              <w:left w:val="nil"/>
              <w:bottom w:val="single" w:sz="4" w:space="0" w:color="auto"/>
              <w:right w:val="nil"/>
            </w:tcBorders>
            <w:shd w:val="clear" w:color="auto" w:fill="auto"/>
            <w:noWrap/>
            <w:vAlign w:val="bottom"/>
            <w:hideMark/>
          </w:tcPr>
          <w:p w14:paraId="60333FE0" w14:textId="77777777" w:rsidR="008430BD" w:rsidRPr="001C3EC8" w:rsidRDefault="008430BD" w:rsidP="00E077F3">
            <w:pPr>
              <w:jc w:val="center"/>
              <w:rPr>
                <w:color w:val="000000" w:themeColor="text1"/>
              </w:rPr>
            </w:pPr>
            <w:r w:rsidRPr="001C3EC8">
              <w:rPr>
                <w:color w:val="000000" w:themeColor="text1"/>
              </w:rPr>
              <w:t>22</w:t>
            </w:r>
          </w:p>
        </w:tc>
      </w:tr>
      <w:tr w:rsidR="008430BD" w:rsidRPr="001C3EC8" w14:paraId="26253226" w14:textId="77777777" w:rsidTr="00E077F3">
        <w:trPr>
          <w:trHeight w:val="315"/>
        </w:trPr>
        <w:tc>
          <w:tcPr>
            <w:tcW w:w="2220" w:type="dxa"/>
            <w:tcBorders>
              <w:top w:val="nil"/>
              <w:left w:val="nil"/>
              <w:bottom w:val="single" w:sz="4" w:space="0" w:color="auto"/>
              <w:right w:val="nil"/>
            </w:tcBorders>
            <w:shd w:val="clear" w:color="auto" w:fill="auto"/>
            <w:noWrap/>
            <w:vAlign w:val="bottom"/>
            <w:hideMark/>
          </w:tcPr>
          <w:p w14:paraId="3D1AAB16" w14:textId="77777777" w:rsidR="008430BD" w:rsidRPr="001C3EC8" w:rsidRDefault="008430BD" w:rsidP="00E077F3">
            <w:pPr>
              <w:jc w:val="left"/>
              <w:rPr>
                <w:color w:val="000000" w:themeColor="text1"/>
              </w:rPr>
            </w:pPr>
            <w:r w:rsidRPr="001C3EC8">
              <w:rPr>
                <w:color w:val="000000" w:themeColor="text1"/>
              </w:rPr>
              <w:t>KS Brno</w:t>
            </w:r>
          </w:p>
        </w:tc>
        <w:tc>
          <w:tcPr>
            <w:tcW w:w="1131" w:type="dxa"/>
            <w:tcBorders>
              <w:top w:val="nil"/>
              <w:left w:val="nil"/>
              <w:bottom w:val="single" w:sz="4" w:space="0" w:color="auto"/>
              <w:right w:val="nil"/>
            </w:tcBorders>
            <w:shd w:val="clear" w:color="auto" w:fill="auto"/>
            <w:noWrap/>
            <w:vAlign w:val="bottom"/>
            <w:hideMark/>
          </w:tcPr>
          <w:p w14:paraId="432231A6" w14:textId="77777777" w:rsidR="008430BD" w:rsidRPr="001C3EC8" w:rsidRDefault="008430BD" w:rsidP="00E077F3">
            <w:pPr>
              <w:jc w:val="center"/>
              <w:rPr>
                <w:color w:val="000000" w:themeColor="text1"/>
              </w:rPr>
            </w:pPr>
            <w:r w:rsidRPr="001C3EC8">
              <w:rPr>
                <w:color w:val="000000" w:themeColor="text1"/>
              </w:rPr>
              <w:t>5</w:t>
            </w:r>
          </w:p>
        </w:tc>
        <w:tc>
          <w:tcPr>
            <w:tcW w:w="940" w:type="dxa"/>
            <w:tcBorders>
              <w:top w:val="nil"/>
              <w:left w:val="nil"/>
              <w:bottom w:val="single" w:sz="4" w:space="0" w:color="auto"/>
              <w:right w:val="nil"/>
            </w:tcBorders>
            <w:shd w:val="clear" w:color="auto" w:fill="auto"/>
            <w:noWrap/>
            <w:vAlign w:val="bottom"/>
            <w:hideMark/>
          </w:tcPr>
          <w:p w14:paraId="11D79229" w14:textId="77777777" w:rsidR="008430BD" w:rsidRPr="001C3EC8" w:rsidRDefault="008430BD" w:rsidP="00E077F3">
            <w:pPr>
              <w:jc w:val="center"/>
              <w:rPr>
                <w:color w:val="000000" w:themeColor="text1"/>
              </w:rPr>
            </w:pPr>
            <w:r w:rsidRPr="001C3EC8">
              <w:rPr>
                <w:color w:val="000000" w:themeColor="text1"/>
              </w:rPr>
              <w:t>15</w:t>
            </w:r>
          </w:p>
        </w:tc>
        <w:tc>
          <w:tcPr>
            <w:tcW w:w="940" w:type="dxa"/>
            <w:tcBorders>
              <w:top w:val="nil"/>
              <w:left w:val="nil"/>
              <w:bottom w:val="single" w:sz="4" w:space="0" w:color="auto"/>
              <w:right w:val="nil"/>
            </w:tcBorders>
            <w:shd w:val="clear" w:color="auto" w:fill="auto"/>
            <w:noWrap/>
            <w:vAlign w:val="bottom"/>
            <w:hideMark/>
          </w:tcPr>
          <w:p w14:paraId="160EF51B" w14:textId="77777777" w:rsidR="008430BD" w:rsidRPr="001C3EC8" w:rsidRDefault="008430BD" w:rsidP="00E077F3">
            <w:pPr>
              <w:jc w:val="center"/>
              <w:rPr>
                <w:color w:val="000000" w:themeColor="text1"/>
              </w:rPr>
            </w:pPr>
            <w:r w:rsidRPr="001C3EC8">
              <w:rPr>
                <w:color w:val="000000" w:themeColor="text1"/>
              </w:rPr>
              <w:t>36</w:t>
            </w:r>
          </w:p>
        </w:tc>
        <w:tc>
          <w:tcPr>
            <w:tcW w:w="940" w:type="dxa"/>
            <w:tcBorders>
              <w:top w:val="nil"/>
              <w:left w:val="nil"/>
              <w:bottom w:val="single" w:sz="4" w:space="0" w:color="auto"/>
              <w:right w:val="nil"/>
            </w:tcBorders>
            <w:shd w:val="clear" w:color="auto" w:fill="auto"/>
            <w:noWrap/>
            <w:vAlign w:val="bottom"/>
            <w:hideMark/>
          </w:tcPr>
          <w:p w14:paraId="56DDC7DA" w14:textId="77777777" w:rsidR="008430BD" w:rsidRPr="001C3EC8" w:rsidRDefault="008430BD" w:rsidP="00E077F3">
            <w:pPr>
              <w:jc w:val="center"/>
              <w:rPr>
                <w:color w:val="000000" w:themeColor="text1"/>
              </w:rPr>
            </w:pPr>
            <w:r w:rsidRPr="001C3EC8">
              <w:rPr>
                <w:color w:val="000000" w:themeColor="text1"/>
              </w:rPr>
              <w:t>50</w:t>
            </w:r>
          </w:p>
        </w:tc>
        <w:tc>
          <w:tcPr>
            <w:tcW w:w="1450" w:type="dxa"/>
            <w:tcBorders>
              <w:top w:val="nil"/>
              <w:left w:val="nil"/>
              <w:bottom w:val="single" w:sz="4" w:space="0" w:color="auto"/>
              <w:right w:val="nil"/>
            </w:tcBorders>
            <w:shd w:val="clear" w:color="auto" w:fill="auto"/>
            <w:noWrap/>
            <w:vAlign w:val="bottom"/>
            <w:hideMark/>
          </w:tcPr>
          <w:p w14:paraId="1548D522" w14:textId="77777777" w:rsidR="008430BD" w:rsidRPr="001C3EC8" w:rsidRDefault="008430BD" w:rsidP="00E077F3">
            <w:pPr>
              <w:jc w:val="center"/>
              <w:rPr>
                <w:color w:val="000000" w:themeColor="text1"/>
              </w:rPr>
            </w:pPr>
            <w:r w:rsidRPr="001C3EC8">
              <w:rPr>
                <w:color w:val="000000" w:themeColor="text1"/>
              </w:rPr>
              <w:t>50</w:t>
            </w:r>
          </w:p>
        </w:tc>
      </w:tr>
      <w:tr w:rsidR="008430BD" w:rsidRPr="001C3EC8" w14:paraId="7FBAEFFC" w14:textId="77777777" w:rsidTr="00E077F3">
        <w:trPr>
          <w:trHeight w:val="330"/>
        </w:trPr>
        <w:tc>
          <w:tcPr>
            <w:tcW w:w="2220" w:type="dxa"/>
            <w:tcBorders>
              <w:top w:val="nil"/>
              <w:left w:val="nil"/>
              <w:bottom w:val="double" w:sz="6" w:space="0" w:color="auto"/>
              <w:right w:val="nil"/>
            </w:tcBorders>
            <w:shd w:val="clear" w:color="auto" w:fill="auto"/>
            <w:noWrap/>
            <w:vAlign w:val="bottom"/>
            <w:hideMark/>
          </w:tcPr>
          <w:p w14:paraId="7C01A981" w14:textId="77777777" w:rsidR="008430BD" w:rsidRPr="001C3EC8" w:rsidRDefault="008430BD" w:rsidP="00E077F3">
            <w:pPr>
              <w:jc w:val="left"/>
              <w:rPr>
                <w:color w:val="000000" w:themeColor="text1"/>
              </w:rPr>
            </w:pPr>
            <w:r w:rsidRPr="001C3EC8">
              <w:rPr>
                <w:color w:val="000000" w:themeColor="text1"/>
              </w:rPr>
              <w:t>KS Ostrava</w:t>
            </w:r>
          </w:p>
        </w:tc>
        <w:tc>
          <w:tcPr>
            <w:tcW w:w="1131" w:type="dxa"/>
            <w:tcBorders>
              <w:top w:val="nil"/>
              <w:left w:val="nil"/>
              <w:bottom w:val="double" w:sz="6" w:space="0" w:color="auto"/>
              <w:right w:val="nil"/>
            </w:tcBorders>
            <w:shd w:val="clear" w:color="auto" w:fill="auto"/>
            <w:noWrap/>
            <w:vAlign w:val="bottom"/>
            <w:hideMark/>
          </w:tcPr>
          <w:p w14:paraId="66D0A190" w14:textId="77777777" w:rsidR="008430BD" w:rsidRPr="001C3EC8" w:rsidRDefault="008430BD" w:rsidP="00E077F3">
            <w:pPr>
              <w:jc w:val="center"/>
              <w:rPr>
                <w:color w:val="000000" w:themeColor="text1"/>
              </w:rPr>
            </w:pPr>
            <w:r w:rsidRPr="001C3EC8">
              <w:rPr>
                <w:color w:val="000000" w:themeColor="text1"/>
              </w:rPr>
              <w:t>11</w:t>
            </w:r>
          </w:p>
        </w:tc>
        <w:tc>
          <w:tcPr>
            <w:tcW w:w="940" w:type="dxa"/>
            <w:tcBorders>
              <w:top w:val="nil"/>
              <w:left w:val="nil"/>
              <w:bottom w:val="double" w:sz="6" w:space="0" w:color="auto"/>
              <w:right w:val="nil"/>
            </w:tcBorders>
            <w:shd w:val="clear" w:color="auto" w:fill="auto"/>
            <w:noWrap/>
            <w:vAlign w:val="bottom"/>
            <w:hideMark/>
          </w:tcPr>
          <w:p w14:paraId="6CD2FA23" w14:textId="77777777" w:rsidR="008430BD" w:rsidRPr="001C3EC8" w:rsidRDefault="008430BD" w:rsidP="00E077F3">
            <w:pPr>
              <w:jc w:val="center"/>
              <w:rPr>
                <w:color w:val="000000" w:themeColor="text1"/>
              </w:rPr>
            </w:pPr>
            <w:r w:rsidRPr="001C3EC8">
              <w:rPr>
                <w:color w:val="000000" w:themeColor="text1"/>
              </w:rPr>
              <w:t>28</w:t>
            </w:r>
          </w:p>
        </w:tc>
        <w:tc>
          <w:tcPr>
            <w:tcW w:w="940" w:type="dxa"/>
            <w:tcBorders>
              <w:top w:val="nil"/>
              <w:left w:val="nil"/>
              <w:bottom w:val="double" w:sz="6" w:space="0" w:color="auto"/>
              <w:right w:val="nil"/>
            </w:tcBorders>
            <w:shd w:val="clear" w:color="auto" w:fill="auto"/>
            <w:noWrap/>
            <w:vAlign w:val="bottom"/>
            <w:hideMark/>
          </w:tcPr>
          <w:p w14:paraId="74D2EEF9" w14:textId="77777777" w:rsidR="008430BD" w:rsidRPr="001C3EC8" w:rsidRDefault="008430BD" w:rsidP="00E077F3">
            <w:pPr>
              <w:jc w:val="center"/>
              <w:rPr>
                <w:color w:val="000000" w:themeColor="text1"/>
              </w:rPr>
            </w:pPr>
            <w:r w:rsidRPr="001C3EC8">
              <w:rPr>
                <w:color w:val="000000" w:themeColor="text1"/>
              </w:rPr>
              <w:t>34</w:t>
            </w:r>
          </w:p>
        </w:tc>
        <w:tc>
          <w:tcPr>
            <w:tcW w:w="940" w:type="dxa"/>
            <w:tcBorders>
              <w:top w:val="nil"/>
              <w:left w:val="nil"/>
              <w:bottom w:val="double" w:sz="6" w:space="0" w:color="auto"/>
              <w:right w:val="nil"/>
            </w:tcBorders>
            <w:shd w:val="clear" w:color="auto" w:fill="auto"/>
            <w:noWrap/>
            <w:vAlign w:val="bottom"/>
            <w:hideMark/>
          </w:tcPr>
          <w:p w14:paraId="5B26B3C7" w14:textId="77777777" w:rsidR="008430BD" w:rsidRPr="001C3EC8" w:rsidRDefault="008430BD" w:rsidP="00E077F3">
            <w:pPr>
              <w:jc w:val="center"/>
              <w:rPr>
                <w:color w:val="000000" w:themeColor="text1"/>
              </w:rPr>
            </w:pPr>
            <w:r w:rsidRPr="001C3EC8">
              <w:rPr>
                <w:color w:val="000000" w:themeColor="text1"/>
              </w:rPr>
              <w:t>69</w:t>
            </w:r>
          </w:p>
        </w:tc>
        <w:tc>
          <w:tcPr>
            <w:tcW w:w="1450" w:type="dxa"/>
            <w:tcBorders>
              <w:top w:val="nil"/>
              <w:left w:val="nil"/>
              <w:bottom w:val="double" w:sz="6" w:space="0" w:color="auto"/>
              <w:right w:val="nil"/>
            </w:tcBorders>
            <w:shd w:val="clear" w:color="auto" w:fill="auto"/>
            <w:noWrap/>
            <w:vAlign w:val="bottom"/>
            <w:hideMark/>
          </w:tcPr>
          <w:p w14:paraId="76CBB3BA" w14:textId="77777777" w:rsidR="008430BD" w:rsidRPr="001C3EC8" w:rsidRDefault="008430BD" w:rsidP="00E077F3">
            <w:pPr>
              <w:jc w:val="center"/>
              <w:rPr>
                <w:color w:val="000000" w:themeColor="text1"/>
              </w:rPr>
            </w:pPr>
            <w:r w:rsidRPr="001C3EC8">
              <w:rPr>
                <w:color w:val="000000" w:themeColor="text1"/>
              </w:rPr>
              <w:t>74</w:t>
            </w:r>
          </w:p>
        </w:tc>
      </w:tr>
      <w:tr w:rsidR="008430BD" w:rsidRPr="001C3EC8" w14:paraId="69940E67" w14:textId="77777777" w:rsidTr="00E077F3">
        <w:trPr>
          <w:trHeight w:val="345"/>
        </w:trPr>
        <w:tc>
          <w:tcPr>
            <w:tcW w:w="2220" w:type="dxa"/>
            <w:tcBorders>
              <w:top w:val="nil"/>
              <w:left w:val="nil"/>
              <w:bottom w:val="double" w:sz="6" w:space="0" w:color="auto"/>
              <w:right w:val="nil"/>
            </w:tcBorders>
            <w:shd w:val="clear" w:color="auto" w:fill="auto"/>
            <w:noWrap/>
            <w:vAlign w:val="bottom"/>
            <w:hideMark/>
          </w:tcPr>
          <w:p w14:paraId="41959BD8" w14:textId="77777777" w:rsidR="008430BD" w:rsidRPr="001C3EC8" w:rsidRDefault="008430BD" w:rsidP="00E077F3">
            <w:pPr>
              <w:jc w:val="left"/>
              <w:rPr>
                <w:b/>
                <w:bCs/>
                <w:color w:val="000000" w:themeColor="text1"/>
              </w:rPr>
            </w:pPr>
            <w:r w:rsidRPr="001C3EC8">
              <w:rPr>
                <w:b/>
                <w:bCs/>
                <w:color w:val="000000" w:themeColor="text1"/>
              </w:rPr>
              <w:t>Celkem ČR</w:t>
            </w:r>
          </w:p>
        </w:tc>
        <w:tc>
          <w:tcPr>
            <w:tcW w:w="1131" w:type="dxa"/>
            <w:tcBorders>
              <w:top w:val="nil"/>
              <w:left w:val="nil"/>
              <w:bottom w:val="double" w:sz="6" w:space="0" w:color="auto"/>
              <w:right w:val="nil"/>
            </w:tcBorders>
            <w:shd w:val="clear" w:color="auto" w:fill="auto"/>
            <w:noWrap/>
            <w:vAlign w:val="bottom"/>
            <w:hideMark/>
          </w:tcPr>
          <w:p w14:paraId="23888CB4" w14:textId="77777777" w:rsidR="008430BD" w:rsidRPr="001C3EC8" w:rsidRDefault="008430BD" w:rsidP="00E077F3">
            <w:pPr>
              <w:jc w:val="center"/>
              <w:rPr>
                <w:b/>
                <w:bCs/>
                <w:color w:val="000000" w:themeColor="text1"/>
              </w:rPr>
            </w:pPr>
            <w:r w:rsidRPr="001C3EC8">
              <w:rPr>
                <w:b/>
                <w:bCs/>
                <w:color w:val="000000" w:themeColor="text1"/>
              </w:rPr>
              <w:t>50</w:t>
            </w:r>
          </w:p>
        </w:tc>
        <w:tc>
          <w:tcPr>
            <w:tcW w:w="940" w:type="dxa"/>
            <w:tcBorders>
              <w:top w:val="nil"/>
              <w:left w:val="nil"/>
              <w:bottom w:val="double" w:sz="6" w:space="0" w:color="auto"/>
              <w:right w:val="nil"/>
            </w:tcBorders>
            <w:shd w:val="clear" w:color="auto" w:fill="auto"/>
            <w:noWrap/>
            <w:vAlign w:val="bottom"/>
            <w:hideMark/>
          </w:tcPr>
          <w:p w14:paraId="488AAA0F" w14:textId="77777777" w:rsidR="008430BD" w:rsidRPr="001C3EC8" w:rsidRDefault="008430BD" w:rsidP="00E077F3">
            <w:pPr>
              <w:jc w:val="center"/>
              <w:rPr>
                <w:b/>
                <w:bCs/>
                <w:color w:val="000000" w:themeColor="text1"/>
              </w:rPr>
            </w:pPr>
            <w:r w:rsidRPr="001C3EC8">
              <w:rPr>
                <w:b/>
                <w:bCs/>
                <w:color w:val="000000" w:themeColor="text1"/>
              </w:rPr>
              <w:t>167</w:t>
            </w:r>
          </w:p>
        </w:tc>
        <w:tc>
          <w:tcPr>
            <w:tcW w:w="940" w:type="dxa"/>
            <w:tcBorders>
              <w:top w:val="nil"/>
              <w:left w:val="nil"/>
              <w:bottom w:val="double" w:sz="6" w:space="0" w:color="auto"/>
              <w:right w:val="nil"/>
            </w:tcBorders>
            <w:shd w:val="clear" w:color="auto" w:fill="auto"/>
            <w:noWrap/>
            <w:vAlign w:val="bottom"/>
            <w:hideMark/>
          </w:tcPr>
          <w:p w14:paraId="0AAAE508" w14:textId="77777777" w:rsidR="008430BD" w:rsidRPr="001C3EC8" w:rsidRDefault="008430BD" w:rsidP="00E077F3">
            <w:pPr>
              <w:jc w:val="center"/>
              <w:rPr>
                <w:b/>
                <w:bCs/>
                <w:color w:val="000000" w:themeColor="text1"/>
              </w:rPr>
            </w:pPr>
            <w:r w:rsidRPr="001C3EC8">
              <w:rPr>
                <w:b/>
                <w:bCs/>
                <w:color w:val="000000" w:themeColor="text1"/>
              </w:rPr>
              <w:t>183</w:t>
            </w:r>
          </w:p>
        </w:tc>
        <w:tc>
          <w:tcPr>
            <w:tcW w:w="940" w:type="dxa"/>
            <w:tcBorders>
              <w:top w:val="nil"/>
              <w:left w:val="nil"/>
              <w:bottom w:val="double" w:sz="6" w:space="0" w:color="auto"/>
              <w:right w:val="nil"/>
            </w:tcBorders>
            <w:shd w:val="clear" w:color="auto" w:fill="auto"/>
            <w:noWrap/>
            <w:vAlign w:val="bottom"/>
            <w:hideMark/>
          </w:tcPr>
          <w:p w14:paraId="592126BE" w14:textId="77777777" w:rsidR="008430BD" w:rsidRPr="001C3EC8" w:rsidRDefault="008430BD" w:rsidP="00E077F3">
            <w:pPr>
              <w:jc w:val="center"/>
              <w:rPr>
                <w:b/>
                <w:bCs/>
                <w:color w:val="000000" w:themeColor="text1"/>
              </w:rPr>
            </w:pPr>
            <w:r w:rsidRPr="001C3EC8">
              <w:rPr>
                <w:b/>
                <w:bCs/>
                <w:color w:val="000000" w:themeColor="text1"/>
              </w:rPr>
              <w:t>297</w:t>
            </w:r>
          </w:p>
        </w:tc>
        <w:tc>
          <w:tcPr>
            <w:tcW w:w="1450" w:type="dxa"/>
            <w:tcBorders>
              <w:top w:val="nil"/>
              <w:left w:val="nil"/>
              <w:bottom w:val="double" w:sz="6" w:space="0" w:color="auto"/>
              <w:right w:val="nil"/>
            </w:tcBorders>
            <w:shd w:val="clear" w:color="auto" w:fill="auto"/>
            <w:noWrap/>
            <w:vAlign w:val="bottom"/>
            <w:hideMark/>
          </w:tcPr>
          <w:p w14:paraId="67D821C2" w14:textId="77777777" w:rsidR="008430BD" w:rsidRPr="001C3EC8" w:rsidRDefault="008430BD" w:rsidP="00E077F3">
            <w:pPr>
              <w:jc w:val="center"/>
              <w:rPr>
                <w:b/>
                <w:bCs/>
                <w:color w:val="000000" w:themeColor="text1"/>
              </w:rPr>
            </w:pPr>
            <w:r w:rsidRPr="001C3EC8">
              <w:rPr>
                <w:b/>
                <w:bCs/>
                <w:color w:val="000000" w:themeColor="text1"/>
              </w:rPr>
              <w:t>294</w:t>
            </w:r>
          </w:p>
        </w:tc>
      </w:tr>
    </w:tbl>
    <w:p w14:paraId="6FF97A14" w14:textId="77777777" w:rsidR="008430BD" w:rsidRPr="001C3EC8" w:rsidRDefault="008430BD" w:rsidP="008430BD">
      <w:pPr>
        <w:spacing w:line="240" w:lineRule="auto"/>
        <w:jc w:val="left"/>
        <w:rPr>
          <w:color w:val="000000" w:themeColor="text1"/>
        </w:rPr>
      </w:pPr>
    </w:p>
    <w:p w14:paraId="6EAA268D"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1095D07C" w14:textId="77777777" w:rsidR="008430BD" w:rsidRPr="001C3EC8" w:rsidRDefault="008430BD" w:rsidP="008430BD">
      <w:pPr>
        <w:pStyle w:val="Nadpis2"/>
        <w:numPr>
          <w:ilvl w:val="1"/>
          <w:numId w:val="1"/>
        </w:numPr>
        <w:spacing w:before="120"/>
      </w:pPr>
      <w:bookmarkStart w:id="408" w:name="_Toc515871248"/>
      <w:bookmarkStart w:id="409" w:name="_Toc75952086"/>
      <w:r w:rsidRPr="001C3EC8">
        <w:lastRenderedPageBreak/>
        <w:t>Prvostupňová civilní a obchodní agenda</w:t>
      </w:r>
      <w:bookmarkEnd w:id="408"/>
      <w:bookmarkEnd w:id="409"/>
    </w:p>
    <w:p w14:paraId="5E6BCFD4" w14:textId="77777777" w:rsidR="008430BD" w:rsidRPr="001C3EC8" w:rsidRDefault="008430BD" w:rsidP="008430BD">
      <w:pPr>
        <w:pStyle w:val="OdstavecASR"/>
        <w:rPr>
          <w:color w:val="000000" w:themeColor="text1"/>
        </w:rPr>
      </w:pPr>
      <w:r w:rsidRPr="001C3EC8">
        <w:rPr>
          <w:color w:val="000000" w:themeColor="text1"/>
        </w:rPr>
        <w:t>Krajské soudy vyřizují podobně jako okresní soudy větší množství prvostupňové netrestní agendy. Na rozdíl od okresních soudů vyřizují krajské soudy s výjimkou KS Praha věci veřejných rejstříků právnických a fyzických osob. Tato podkapitola se věnuje prvostupňové civilní (občanskoprávní) a obchodní agendě. V rámci této zprávy se jedná o rejstříky označené jako C, EC, Cm a </w:t>
      </w:r>
      <w:proofErr w:type="spellStart"/>
      <w:r w:rsidRPr="001C3EC8">
        <w:rPr>
          <w:color w:val="000000" w:themeColor="text1"/>
        </w:rPr>
        <w:t>ECm</w:t>
      </w:r>
      <w:proofErr w:type="spellEnd"/>
      <w:r w:rsidRPr="001C3EC8">
        <w:rPr>
          <w:color w:val="000000" w:themeColor="text1"/>
        </w:rPr>
        <w:t>.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6910ED5A" w14:textId="77777777" w:rsidR="008430BD" w:rsidRPr="001C3EC8" w:rsidRDefault="008430BD" w:rsidP="008430BD">
      <w:pPr>
        <w:pStyle w:val="Nadpis3"/>
        <w:numPr>
          <w:ilvl w:val="2"/>
          <w:numId w:val="1"/>
        </w:numPr>
        <w:rPr>
          <w:color w:val="000000" w:themeColor="text1"/>
        </w:rPr>
      </w:pPr>
      <w:bookmarkStart w:id="410" w:name="_Ref511302440"/>
      <w:bookmarkStart w:id="411" w:name="_Toc515871249"/>
      <w:bookmarkStart w:id="412" w:name="_Toc75952087"/>
      <w:r w:rsidRPr="001C3EC8">
        <w:rPr>
          <w:color w:val="000000" w:themeColor="text1"/>
        </w:rPr>
        <w:t>Délka řízení</w:t>
      </w:r>
      <w:bookmarkEnd w:id="410"/>
      <w:bookmarkEnd w:id="411"/>
      <w:bookmarkEnd w:id="412"/>
    </w:p>
    <w:p w14:paraId="496E80C5" w14:textId="5554062B" w:rsidR="008430BD" w:rsidRPr="001C3EC8" w:rsidRDefault="008430BD" w:rsidP="008430BD">
      <w:pPr>
        <w:pStyle w:val="OdstavecASR"/>
        <w:rPr>
          <w:color w:val="000000" w:themeColor="text1"/>
        </w:rPr>
      </w:pPr>
      <w:bookmarkStart w:id="413" w:name="_Toc515871380"/>
      <w:bookmarkStart w:id="414" w:name="_Toc11135111"/>
      <w:r w:rsidRPr="001C3EC8">
        <w:rPr>
          <w:color w:val="000000" w:themeColor="text1"/>
        </w:rPr>
        <w:t xml:space="preserve">Uvádíme délky řízení v kalendářních dnech ode dne nápadu do dne konečného vyřízení soudem </w:t>
      </w:r>
      <w:r w:rsidR="000C3B1E">
        <w:rPr>
          <w:color w:val="000000" w:themeColor="text1"/>
        </w:rPr>
        <w:t>I. stupně</w:t>
      </w:r>
      <w:r w:rsidRPr="001C3EC8">
        <w:rPr>
          <w:color w:val="000000" w:themeColor="text1"/>
        </w:rPr>
        <w:t xml:space="preserve"> zjištěné ze statistických listů. V tomto případě došlo ke změně v metodologii a data byla dále očištěna o věci s předmětem sporu </w:t>
      </w:r>
      <w:r w:rsidRPr="001C3EC8">
        <w:rPr>
          <w:i/>
          <w:color w:val="000000" w:themeColor="text1"/>
        </w:rPr>
        <w:t>právní vztahy související se zrušením a likvidací obchodní korporace</w:t>
      </w:r>
      <w:r w:rsidRPr="001C3EC8">
        <w:rPr>
          <w:color w:val="000000" w:themeColor="text1"/>
        </w:rPr>
        <w:t xml:space="preserve">. Přestože se může jednat o administrativně náročnou agendu, především v Praze se velmi často vyskytují jednoduché a rychle vyřízené věci. Právě </w:t>
      </w:r>
      <w:r w:rsidR="00CD2266" w:rsidRPr="001C3EC8">
        <w:rPr>
          <w:color w:val="000000" w:themeColor="text1"/>
        </w:rPr>
        <w:t>u</w:t>
      </w:r>
      <w:r w:rsidR="00CD2266">
        <w:rPr>
          <w:color w:val="000000" w:themeColor="text1"/>
        </w:rPr>
        <w:t> </w:t>
      </w:r>
      <w:r w:rsidRPr="001C3EC8">
        <w:rPr>
          <w:color w:val="000000" w:themeColor="text1"/>
        </w:rPr>
        <w:t xml:space="preserve">tohoto soudu přitom došlo v roce 2017 k velkému nárůstu v počtu pravomocně skončených věcí (nárůst o 176 %), což samozřejmě značně ovlivňuje vykazovanou délku řízení – výrazně ji to snižuje. Stejně tak má tato kategorie sporů významný vliv na míru odvolání. Po úvaze byla proto především z důvodu zachování srovnatelnosti mezi soudními kraji a roky data využitá v této zprávě </w:t>
      </w:r>
      <w:r w:rsidR="00CD2266" w:rsidRPr="001C3EC8">
        <w:rPr>
          <w:color w:val="000000" w:themeColor="text1"/>
        </w:rPr>
        <w:t>o</w:t>
      </w:r>
      <w:r w:rsidR="00CD2266">
        <w:rPr>
          <w:color w:val="000000" w:themeColor="text1"/>
        </w:rPr>
        <w:t> </w:t>
      </w:r>
      <w:r w:rsidRPr="001C3EC8">
        <w:rPr>
          <w:color w:val="000000" w:themeColor="text1"/>
        </w:rPr>
        <w:t xml:space="preserve">uvedený typ sporu očištěna. Ostatní změny metodiky v této zprávě údaje spíše mírně upravují a zpřesňují. Očištění dat </w:t>
      </w:r>
      <w:r w:rsidR="00CD2266" w:rsidRPr="001C3EC8">
        <w:rPr>
          <w:color w:val="000000" w:themeColor="text1"/>
        </w:rPr>
        <w:t>a</w:t>
      </w:r>
      <w:r w:rsidR="00CD2266">
        <w:rPr>
          <w:color w:val="000000" w:themeColor="text1"/>
        </w:rPr>
        <w:t> </w:t>
      </w:r>
      <w:r w:rsidRPr="001C3EC8">
        <w:rPr>
          <w:color w:val="000000" w:themeColor="text1"/>
        </w:rPr>
        <w:t xml:space="preserve">změny v metodice zůstaly zachovány </w:t>
      </w:r>
      <w:r w:rsidR="00CD2266" w:rsidRPr="001C3EC8">
        <w:rPr>
          <w:color w:val="000000" w:themeColor="text1"/>
        </w:rPr>
        <w:t>i</w:t>
      </w:r>
      <w:r w:rsidR="00CD2266">
        <w:rPr>
          <w:color w:val="000000" w:themeColor="text1"/>
        </w:rPr>
        <w:t> </w:t>
      </w:r>
      <w:r w:rsidRPr="001C3EC8">
        <w:rPr>
          <w:color w:val="000000" w:themeColor="text1"/>
        </w:rPr>
        <w:t xml:space="preserve">pro roky 2018 </w:t>
      </w:r>
      <w:r w:rsidR="00CD2266" w:rsidRPr="001C3EC8">
        <w:rPr>
          <w:color w:val="000000" w:themeColor="text1"/>
        </w:rPr>
        <w:t>a</w:t>
      </w:r>
      <w:r w:rsidR="00CD2266">
        <w:rPr>
          <w:color w:val="000000" w:themeColor="text1"/>
        </w:rPr>
        <w:t> </w:t>
      </w:r>
      <w:r w:rsidRPr="001C3EC8">
        <w:rPr>
          <w:color w:val="000000" w:themeColor="text1"/>
        </w:rPr>
        <w:t>dále.</w:t>
      </w:r>
    </w:p>
    <w:p w14:paraId="2F4ECEB3" w14:textId="380C2AE8" w:rsidR="008430BD" w:rsidRPr="001C3EC8" w:rsidRDefault="008430BD" w:rsidP="008430BD">
      <w:pPr>
        <w:pStyle w:val="Podnadpis"/>
        <w:rPr>
          <w:color w:val="000000" w:themeColor="text1"/>
          <w:highlight w:val="yellow"/>
        </w:rPr>
      </w:pPr>
      <w:bookmarkStart w:id="415" w:name="_Toc43841430"/>
      <w:bookmarkStart w:id="416" w:name="_Toc7595223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54</w:t>
      </w:r>
      <w:r w:rsidRPr="001C3EC8">
        <w:rPr>
          <w:color w:val="000000" w:themeColor="text1"/>
        </w:rPr>
        <w:fldChar w:fldCharType="end"/>
      </w:r>
      <w:r w:rsidRPr="001C3EC8">
        <w:rPr>
          <w:color w:val="000000" w:themeColor="text1"/>
        </w:rPr>
        <w:t>: KS – délka prvostupňového civilního řízení v letech 2008–20</w:t>
      </w:r>
      <w:bookmarkEnd w:id="413"/>
      <w:bookmarkEnd w:id="414"/>
      <w:bookmarkEnd w:id="415"/>
      <w:r w:rsidRPr="001C3EC8">
        <w:rPr>
          <w:color w:val="000000" w:themeColor="text1"/>
        </w:rPr>
        <w:t>20</w:t>
      </w:r>
      <w:bookmarkEnd w:id="416"/>
    </w:p>
    <w:p w14:paraId="7D5C674A"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536531A7" wp14:editId="6C2EBA9E">
            <wp:extent cx="5114925" cy="3743325"/>
            <wp:effectExtent l="0" t="0" r="0" b="9525"/>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CF37FE9" w14:textId="77777777" w:rsidR="008430BD" w:rsidRPr="001C3EC8" w:rsidRDefault="008430BD" w:rsidP="008430BD">
      <w:pPr>
        <w:rPr>
          <w:color w:val="000000" w:themeColor="text1"/>
        </w:rPr>
      </w:pPr>
    </w:p>
    <w:p w14:paraId="047EFB91" w14:textId="77777777" w:rsidR="008430BD" w:rsidRPr="001C3EC8" w:rsidRDefault="008430BD" w:rsidP="008430BD">
      <w:pPr>
        <w:rPr>
          <w:color w:val="000000" w:themeColor="text1"/>
        </w:rPr>
      </w:pPr>
    </w:p>
    <w:p w14:paraId="1685AF10" w14:textId="77777777" w:rsidR="008430BD" w:rsidRPr="001C3EC8" w:rsidRDefault="008430BD" w:rsidP="008430BD">
      <w:pPr>
        <w:pStyle w:val="OdstavecASR"/>
        <w:rPr>
          <w:color w:val="000000" w:themeColor="text1"/>
          <w:highlight w:val="yellow"/>
        </w:rPr>
      </w:pPr>
      <w:r w:rsidRPr="001C3EC8">
        <w:rPr>
          <w:color w:val="000000" w:themeColor="text1"/>
        </w:rPr>
        <w:lastRenderedPageBreak/>
        <w:t>V časové řadě na grafu jsou zajímavé především dva extrémy – vysoká délka řízení v roce 2008 a nízká délka řízení v roce 2011. Do jisté míry to může vyplývat ze změn ve vedení statistik. Data totiž není možné úplně očistit a zbavit je tak výkyvů, které jsou způsobeny metodologickými změnami. Mezi roky 2008 a 2009 se ale zjevně jedná o reálný pokles v délce řízení. V té době (nebo spíše ještě dříve, protože v délce řízení se změny projevují se zpožděním) zřejmě došlo k výraznému urychlení civilního soudního řízení. Situaci lze na základě dat interpretovat zhruba následovně:</w:t>
      </w:r>
    </w:p>
    <w:p w14:paraId="2199B3EF" w14:textId="77777777" w:rsidR="008430BD" w:rsidRPr="001C3EC8" w:rsidRDefault="008430BD" w:rsidP="008430BD">
      <w:pPr>
        <w:pStyle w:val="OdstavecASR"/>
        <w:numPr>
          <w:ilvl w:val="0"/>
          <w:numId w:val="22"/>
        </w:numPr>
        <w:spacing w:before="0" w:after="0"/>
        <w:ind w:left="714" w:hanging="357"/>
        <w:rPr>
          <w:color w:val="000000" w:themeColor="text1"/>
        </w:rPr>
      </w:pPr>
      <w:r w:rsidRPr="001C3EC8">
        <w:rPr>
          <w:color w:val="000000" w:themeColor="text1"/>
        </w:rPr>
        <w:t>Od roku 2014 roste poměrně rychle průměr i percentil 90. K jejich nárůstu došlo každý rok a nárůst devadesátého percentilu byl v roce 2017 nejvyšší od roku 2014.</w:t>
      </w:r>
    </w:p>
    <w:p w14:paraId="2098975E" w14:textId="77777777" w:rsidR="008430BD" w:rsidRPr="001C3EC8" w:rsidRDefault="008430BD" w:rsidP="008430BD">
      <w:pPr>
        <w:pStyle w:val="OdstavecASR"/>
        <w:numPr>
          <w:ilvl w:val="0"/>
          <w:numId w:val="22"/>
        </w:numPr>
        <w:spacing w:before="0" w:after="0"/>
        <w:ind w:left="714" w:hanging="357"/>
        <w:rPr>
          <w:color w:val="000000" w:themeColor="text1"/>
        </w:rPr>
      </w:pPr>
      <w:r w:rsidRPr="001C3EC8">
        <w:rPr>
          <w:color w:val="000000" w:themeColor="text1"/>
        </w:rPr>
        <w:t>V roce 2018 došlo ke zlepšení všech sledovaných parametrů délky prvostupňového civilního řízení, zejména medián klesl již třetí rok po sobě.</w:t>
      </w:r>
    </w:p>
    <w:p w14:paraId="18F3A5D3" w14:textId="6601A588" w:rsidR="008430BD" w:rsidRPr="001C3EC8" w:rsidRDefault="008430BD" w:rsidP="008430BD">
      <w:pPr>
        <w:pStyle w:val="OdstavecASR"/>
        <w:numPr>
          <w:ilvl w:val="0"/>
          <w:numId w:val="22"/>
        </w:numPr>
        <w:spacing w:before="0" w:after="0"/>
        <w:ind w:left="714" w:hanging="357"/>
        <w:rPr>
          <w:color w:val="000000" w:themeColor="text1"/>
        </w:rPr>
      </w:pPr>
      <w:r w:rsidRPr="001C3EC8">
        <w:rPr>
          <w:color w:val="000000" w:themeColor="text1"/>
        </w:rPr>
        <w:t xml:space="preserve">V roce 2019 nicméně opět narostl průměr </w:t>
      </w:r>
      <w:r w:rsidR="00CD2266" w:rsidRPr="001C3EC8">
        <w:rPr>
          <w:color w:val="000000" w:themeColor="text1"/>
        </w:rPr>
        <w:t>i</w:t>
      </w:r>
      <w:r w:rsidR="00CD2266">
        <w:rPr>
          <w:color w:val="000000" w:themeColor="text1"/>
        </w:rPr>
        <w:t> </w:t>
      </w:r>
      <w:r w:rsidRPr="001C3EC8">
        <w:rPr>
          <w:color w:val="000000" w:themeColor="text1"/>
        </w:rPr>
        <w:t xml:space="preserve">percentil 90 </w:t>
      </w:r>
      <w:r w:rsidR="00CD2266" w:rsidRPr="001C3EC8">
        <w:rPr>
          <w:color w:val="000000" w:themeColor="text1"/>
        </w:rPr>
        <w:t>a</w:t>
      </w:r>
      <w:r w:rsidR="00CD2266">
        <w:rPr>
          <w:color w:val="000000" w:themeColor="text1"/>
        </w:rPr>
        <w:t> </w:t>
      </w:r>
      <w:r w:rsidRPr="001C3EC8">
        <w:rPr>
          <w:color w:val="000000" w:themeColor="text1"/>
        </w:rPr>
        <w:t xml:space="preserve">opět se téměř vrátily na úroveň roku 2017 </w:t>
      </w:r>
      <w:r w:rsidR="00CD2266" w:rsidRPr="001C3EC8">
        <w:rPr>
          <w:color w:val="000000" w:themeColor="text1"/>
        </w:rPr>
        <w:t>a</w:t>
      </w:r>
      <w:r w:rsidR="00CD2266">
        <w:rPr>
          <w:color w:val="000000" w:themeColor="text1"/>
        </w:rPr>
        <w:t> </w:t>
      </w:r>
      <w:r w:rsidRPr="001C3EC8">
        <w:rPr>
          <w:color w:val="000000" w:themeColor="text1"/>
        </w:rPr>
        <w:t xml:space="preserve">v roce 2020 průměr poklesl </w:t>
      </w:r>
      <w:r w:rsidR="00CD2266" w:rsidRPr="001C3EC8">
        <w:rPr>
          <w:color w:val="000000" w:themeColor="text1"/>
        </w:rPr>
        <w:t>a</w:t>
      </w:r>
      <w:r w:rsidR="00CD2266">
        <w:rPr>
          <w:color w:val="000000" w:themeColor="text1"/>
        </w:rPr>
        <w:t> </w:t>
      </w:r>
      <w:r w:rsidRPr="001C3EC8">
        <w:rPr>
          <w:color w:val="000000" w:themeColor="text1"/>
        </w:rPr>
        <w:t xml:space="preserve">percentil 90 mírně narostl. Došlo ke značnému poklesu mediánu. Ten byl v roce 2020 dokonce nejnižší od roku 2011. Celkově se zdá, že délka řízení není příliš stabilní </w:t>
      </w:r>
      <w:r w:rsidR="00CD2266" w:rsidRPr="001C3EC8">
        <w:rPr>
          <w:color w:val="000000" w:themeColor="text1"/>
        </w:rPr>
        <w:t>a</w:t>
      </w:r>
      <w:r w:rsidR="00CD2266">
        <w:rPr>
          <w:color w:val="000000" w:themeColor="text1"/>
        </w:rPr>
        <w:t> </w:t>
      </w:r>
      <w:r w:rsidRPr="001C3EC8">
        <w:rPr>
          <w:color w:val="000000" w:themeColor="text1"/>
        </w:rPr>
        <w:t xml:space="preserve">nyní nemá žádný trend, </w:t>
      </w:r>
      <w:r w:rsidR="00CD2266" w:rsidRPr="001C3EC8">
        <w:rPr>
          <w:color w:val="000000" w:themeColor="text1"/>
        </w:rPr>
        <w:t>a</w:t>
      </w:r>
      <w:r w:rsidR="00CD2266">
        <w:rPr>
          <w:color w:val="000000" w:themeColor="text1"/>
        </w:rPr>
        <w:t> </w:t>
      </w:r>
      <w:r w:rsidRPr="001C3EC8">
        <w:rPr>
          <w:color w:val="000000" w:themeColor="text1"/>
        </w:rPr>
        <w:t xml:space="preserve">to především na </w:t>
      </w:r>
      <w:r w:rsidR="002F041F" w:rsidRPr="001C3EC8">
        <w:rPr>
          <w:color w:val="000000" w:themeColor="text1"/>
        </w:rPr>
        <w:t xml:space="preserve">úrovni </w:t>
      </w:r>
      <w:r w:rsidR="00311CE3" w:rsidRPr="001C3EC8">
        <w:rPr>
          <w:color w:val="000000" w:themeColor="text1"/>
        </w:rPr>
        <w:t xml:space="preserve">jednotlivých </w:t>
      </w:r>
      <w:r w:rsidRPr="001C3EC8">
        <w:rPr>
          <w:color w:val="000000" w:themeColor="text1"/>
        </w:rPr>
        <w:t>soudů. Je j</w:t>
      </w:r>
      <w:r w:rsidR="00213A42" w:rsidRPr="001C3EC8">
        <w:rPr>
          <w:color w:val="000000" w:themeColor="text1"/>
        </w:rPr>
        <w:t>i</w:t>
      </w:r>
      <w:r w:rsidRPr="001C3EC8">
        <w:rPr>
          <w:color w:val="000000" w:themeColor="text1"/>
        </w:rPr>
        <w:t xml:space="preserve"> tedy rozhodně třeba doplnit údaji </w:t>
      </w:r>
      <w:r w:rsidR="00CD2266" w:rsidRPr="001C3EC8">
        <w:rPr>
          <w:color w:val="000000" w:themeColor="text1"/>
        </w:rPr>
        <w:t>o</w:t>
      </w:r>
      <w:r w:rsidR="00CD2266">
        <w:rPr>
          <w:color w:val="000000" w:themeColor="text1"/>
        </w:rPr>
        <w:t> </w:t>
      </w:r>
      <w:r w:rsidRPr="001C3EC8">
        <w:rPr>
          <w:color w:val="000000" w:themeColor="text1"/>
        </w:rPr>
        <w:t>po</w:t>
      </w:r>
      <w:r w:rsidR="00213A42" w:rsidRPr="001C3EC8">
        <w:rPr>
          <w:color w:val="000000" w:themeColor="text1"/>
        </w:rPr>
        <w:t>č</w:t>
      </w:r>
      <w:r w:rsidRPr="001C3EC8">
        <w:rPr>
          <w:color w:val="000000" w:themeColor="text1"/>
        </w:rPr>
        <w:t>tu nevyřízených věcí.</w:t>
      </w:r>
    </w:p>
    <w:p w14:paraId="562D5DBA" w14:textId="1C1E9804" w:rsidR="008430BD" w:rsidRPr="001C3EC8" w:rsidRDefault="008430BD" w:rsidP="008430BD">
      <w:pPr>
        <w:pStyle w:val="OdstavecASR"/>
        <w:numPr>
          <w:ilvl w:val="0"/>
          <w:numId w:val="22"/>
        </w:numPr>
        <w:spacing w:before="0" w:after="0"/>
        <w:ind w:left="714" w:hanging="357"/>
        <w:rPr>
          <w:color w:val="000000" w:themeColor="text1"/>
        </w:rPr>
      </w:pPr>
      <w:r w:rsidRPr="001C3EC8">
        <w:rPr>
          <w:color w:val="000000" w:themeColor="text1"/>
        </w:rPr>
        <w:t xml:space="preserve">Absolutní hodnoty průměru i percentilu 90 jsou velmi vysoké – celorepublikový percentil 90 je více než </w:t>
      </w:r>
      <w:r w:rsidR="00CD2266" w:rsidRPr="001C3EC8">
        <w:rPr>
          <w:color w:val="000000" w:themeColor="text1"/>
        </w:rPr>
        <w:t>7</w:t>
      </w:r>
      <w:r w:rsidR="00CD2266">
        <w:rPr>
          <w:color w:val="000000" w:themeColor="text1"/>
        </w:rPr>
        <w:t> </w:t>
      </w:r>
      <w:r w:rsidRPr="001C3EC8">
        <w:rPr>
          <w:color w:val="000000" w:themeColor="text1"/>
        </w:rPr>
        <w:t xml:space="preserve">let </w:t>
      </w:r>
      <w:r w:rsidR="00CD2266" w:rsidRPr="001C3EC8">
        <w:rPr>
          <w:color w:val="000000" w:themeColor="text1"/>
        </w:rPr>
        <w:t>a</w:t>
      </w:r>
      <w:r w:rsidR="00CD2266">
        <w:rPr>
          <w:color w:val="000000" w:themeColor="text1"/>
        </w:rPr>
        <w:t> </w:t>
      </w:r>
      <w:r w:rsidRPr="001C3EC8">
        <w:rPr>
          <w:color w:val="000000" w:themeColor="text1"/>
        </w:rPr>
        <w:t>celorepublikový průměr asi 2,</w:t>
      </w:r>
      <w:r w:rsidR="00CD2266" w:rsidRPr="001C3EC8">
        <w:rPr>
          <w:color w:val="000000" w:themeColor="text1"/>
        </w:rPr>
        <w:t>5</w:t>
      </w:r>
      <w:r w:rsidR="00CD2266">
        <w:rPr>
          <w:color w:val="000000" w:themeColor="text1"/>
        </w:rPr>
        <w:t> </w:t>
      </w:r>
      <w:r w:rsidRPr="001C3EC8">
        <w:rPr>
          <w:color w:val="000000" w:themeColor="text1"/>
        </w:rPr>
        <w:t xml:space="preserve">roku. </w:t>
      </w:r>
      <w:r w:rsidR="00CD2266" w:rsidRPr="001C3EC8">
        <w:rPr>
          <w:color w:val="000000" w:themeColor="text1"/>
        </w:rPr>
        <w:t>U</w:t>
      </w:r>
      <w:r w:rsidR="00CD2266">
        <w:rPr>
          <w:color w:val="000000" w:themeColor="text1"/>
        </w:rPr>
        <w:t> </w:t>
      </w:r>
      <w:r w:rsidRPr="001C3EC8">
        <w:rPr>
          <w:color w:val="000000" w:themeColor="text1"/>
        </w:rPr>
        <w:t>KS v Ostravě (kter</w:t>
      </w:r>
      <w:r w:rsidR="00213A42" w:rsidRPr="001C3EC8">
        <w:rPr>
          <w:color w:val="000000" w:themeColor="text1"/>
        </w:rPr>
        <w:t>ý</w:t>
      </w:r>
      <w:r w:rsidRPr="001C3EC8">
        <w:rPr>
          <w:color w:val="000000" w:themeColor="text1"/>
        </w:rPr>
        <w:t xml:space="preserve"> má percentil 90 v tomto roce nejvyšší) činí percentil 90 téměř 15 let.</w:t>
      </w:r>
      <w:r w:rsidRPr="001C3EC8">
        <w:rPr>
          <w:color w:val="000000" w:themeColor="text1"/>
        </w:rPr>
        <w:br/>
      </w:r>
      <w:r w:rsidR="002F041F" w:rsidRPr="001C3EC8">
        <w:rPr>
          <w:color w:val="000000" w:themeColor="text1"/>
        </w:rPr>
        <w:t xml:space="preserve">V roce 2019 </w:t>
      </w:r>
      <w:r w:rsidRPr="001C3EC8">
        <w:rPr>
          <w:color w:val="000000" w:themeColor="text1"/>
        </w:rPr>
        <w:t xml:space="preserve">to byl KS Ústi nad Labem – průměr téměř </w:t>
      </w:r>
      <w:r w:rsidR="00CD2266" w:rsidRPr="001C3EC8">
        <w:rPr>
          <w:color w:val="000000" w:themeColor="text1"/>
        </w:rPr>
        <w:t>7</w:t>
      </w:r>
      <w:r w:rsidR="00CD2266">
        <w:rPr>
          <w:color w:val="000000" w:themeColor="text1"/>
        </w:rPr>
        <w:t> </w:t>
      </w:r>
      <w:r w:rsidRPr="001C3EC8">
        <w:rPr>
          <w:color w:val="000000" w:themeColor="text1"/>
        </w:rPr>
        <w:t xml:space="preserve">let </w:t>
      </w:r>
      <w:r w:rsidR="00CD2266" w:rsidRPr="001C3EC8">
        <w:rPr>
          <w:color w:val="000000" w:themeColor="text1"/>
        </w:rPr>
        <w:t>a</w:t>
      </w:r>
      <w:r w:rsidR="00CD2266">
        <w:rPr>
          <w:color w:val="000000" w:themeColor="text1"/>
        </w:rPr>
        <w:t> </w:t>
      </w:r>
      <w:r w:rsidRPr="001C3EC8">
        <w:rPr>
          <w:color w:val="000000" w:themeColor="text1"/>
        </w:rPr>
        <w:t>percentil 90 přes 25 let.</w:t>
      </w:r>
    </w:p>
    <w:p w14:paraId="103175F9" w14:textId="4E5FB216" w:rsidR="008430BD" w:rsidRPr="001C3EC8" w:rsidRDefault="008430BD" w:rsidP="003F55DA">
      <w:pPr>
        <w:pStyle w:val="OdstavecASR"/>
        <w:numPr>
          <w:ilvl w:val="0"/>
          <w:numId w:val="22"/>
        </w:numPr>
        <w:rPr>
          <w:color w:val="000000" w:themeColor="text1"/>
        </w:rPr>
      </w:pPr>
      <w:r w:rsidRPr="001C3EC8">
        <w:rPr>
          <w:color w:val="000000" w:themeColor="text1"/>
        </w:rPr>
        <w:t>Histogram ukazuje, že tento rok přes 5 % řízení trv</w:t>
      </w:r>
      <w:r w:rsidR="00FB5CF5" w:rsidRPr="001C3EC8">
        <w:rPr>
          <w:color w:val="000000" w:themeColor="text1"/>
        </w:rPr>
        <w:t>á</w:t>
      </w:r>
      <w:r w:rsidRPr="001C3EC8">
        <w:rPr>
          <w:color w:val="000000" w:themeColor="text1"/>
        </w:rPr>
        <w:t xml:space="preserve"> déle než 4 000 dnů (11 let).</w:t>
      </w:r>
    </w:p>
    <w:p w14:paraId="54878B3A" w14:textId="0CB6DA2D" w:rsidR="008430BD" w:rsidRPr="001C3EC8" w:rsidRDefault="008430BD" w:rsidP="008430BD">
      <w:pPr>
        <w:pStyle w:val="Podnadpis"/>
        <w:rPr>
          <w:color w:val="000000" w:themeColor="text1"/>
        </w:rPr>
      </w:pPr>
      <w:bookmarkStart w:id="417" w:name="_Toc43931213"/>
      <w:bookmarkStart w:id="418" w:name="_Toc75952346"/>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43</w:t>
      </w:r>
      <w:r w:rsidRPr="001C3EC8">
        <w:rPr>
          <w:color w:val="000000" w:themeColor="text1"/>
        </w:rPr>
        <w:fldChar w:fldCharType="end"/>
      </w:r>
      <w:r w:rsidRPr="001C3EC8">
        <w:rPr>
          <w:color w:val="000000" w:themeColor="text1"/>
        </w:rPr>
        <w:t>: KS – délky prvostupňového civilního řízení dle soudů</w:t>
      </w:r>
      <w:bookmarkEnd w:id="417"/>
      <w:bookmarkEnd w:id="418"/>
    </w:p>
    <w:tbl>
      <w:tblPr>
        <w:tblW w:w="7522" w:type="dxa"/>
        <w:tblCellMar>
          <w:left w:w="70" w:type="dxa"/>
          <w:right w:w="70" w:type="dxa"/>
        </w:tblCellMar>
        <w:tblLook w:val="04A0" w:firstRow="1" w:lastRow="0" w:firstColumn="1" w:lastColumn="0" w:noHBand="0" w:noVBand="1"/>
      </w:tblPr>
      <w:tblGrid>
        <w:gridCol w:w="2480"/>
        <w:gridCol w:w="749"/>
        <w:gridCol w:w="883"/>
        <w:gridCol w:w="749"/>
        <w:gridCol w:w="883"/>
        <w:gridCol w:w="749"/>
        <w:gridCol w:w="1029"/>
      </w:tblGrid>
      <w:tr w:rsidR="008430BD" w:rsidRPr="001C3EC8" w14:paraId="36B4DD60"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EF50BA1" w14:textId="3D20647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042" w:type="dxa"/>
            <w:gridSpan w:val="6"/>
            <w:tcBorders>
              <w:top w:val="double" w:sz="6" w:space="0" w:color="auto"/>
              <w:left w:val="nil"/>
              <w:bottom w:val="nil"/>
              <w:right w:val="nil"/>
            </w:tcBorders>
            <w:shd w:val="clear" w:color="auto" w:fill="auto"/>
            <w:noWrap/>
            <w:vAlign w:val="center"/>
            <w:hideMark/>
          </w:tcPr>
          <w:p w14:paraId="49CC1E5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5E67B0BB"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539D89AF"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632" w:type="dxa"/>
            <w:gridSpan w:val="2"/>
            <w:tcBorders>
              <w:top w:val="nil"/>
              <w:left w:val="nil"/>
              <w:bottom w:val="double" w:sz="6" w:space="0" w:color="auto"/>
              <w:right w:val="nil"/>
            </w:tcBorders>
            <w:shd w:val="clear" w:color="auto" w:fill="auto"/>
            <w:noWrap/>
            <w:vAlign w:val="center"/>
            <w:hideMark/>
          </w:tcPr>
          <w:p w14:paraId="5DB7E84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63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35790C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778" w:type="dxa"/>
            <w:gridSpan w:val="2"/>
            <w:tcBorders>
              <w:top w:val="nil"/>
              <w:left w:val="nil"/>
              <w:bottom w:val="double" w:sz="6" w:space="0" w:color="auto"/>
              <w:right w:val="nil"/>
            </w:tcBorders>
            <w:shd w:val="clear" w:color="auto" w:fill="auto"/>
            <w:noWrap/>
            <w:vAlign w:val="center"/>
            <w:hideMark/>
          </w:tcPr>
          <w:p w14:paraId="01596AE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778A6D6F"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AF3DD5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749" w:type="dxa"/>
            <w:tcBorders>
              <w:top w:val="single" w:sz="4" w:space="0" w:color="auto"/>
              <w:left w:val="nil"/>
              <w:bottom w:val="single" w:sz="4" w:space="0" w:color="auto"/>
              <w:right w:val="nil"/>
            </w:tcBorders>
            <w:shd w:val="clear" w:color="auto" w:fill="auto"/>
            <w:noWrap/>
            <w:vAlign w:val="bottom"/>
            <w:hideMark/>
          </w:tcPr>
          <w:p w14:paraId="087F04A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798</w:t>
            </w:r>
          </w:p>
        </w:tc>
        <w:tc>
          <w:tcPr>
            <w:tcW w:w="883" w:type="dxa"/>
            <w:tcBorders>
              <w:top w:val="single" w:sz="4" w:space="0" w:color="auto"/>
              <w:left w:val="nil"/>
              <w:bottom w:val="single" w:sz="4" w:space="0" w:color="auto"/>
              <w:right w:val="nil"/>
            </w:tcBorders>
            <w:shd w:val="clear" w:color="auto" w:fill="auto"/>
            <w:noWrap/>
            <w:vAlign w:val="center"/>
            <w:hideMark/>
          </w:tcPr>
          <w:p w14:paraId="0BE287C3"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-30 %</w:t>
            </w:r>
          </w:p>
        </w:tc>
        <w:tc>
          <w:tcPr>
            <w:tcW w:w="749" w:type="dxa"/>
            <w:tcBorders>
              <w:top w:val="nil"/>
              <w:left w:val="single" w:sz="4" w:space="0" w:color="auto"/>
              <w:bottom w:val="single" w:sz="4" w:space="0" w:color="auto"/>
              <w:right w:val="nil"/>
            </w:tcBorders>
            <w:shd w:val="clear" w:color="auto" w:fill="auto"/>
            <w:noWrap/>
            <w:vAlign w:val="bottom"/>
            <w:hideMark/>
          </w:tcPr>
          <w:p w14:paraId="0C7EF8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260</w:t>
            </w:r>
          </w:p>
        </w:tc>
        <w:tc>
          <w:tcPr>
            <w:tcW w:w="883" w:type="dxa"/>
            <w:tcBorders>
              <w:top w:val="nil"/>
              <w:left w:val="nil"/>
              <w:bottom w:val="single" w:sz="4" w:space="0" w:color="auto"/>
              <w:right w:val="single" w:sz="4" w:space="0" w:color="auto"/>
            </w:tcBorders>
            <w:shd w:val="clear" w:color="auto" w:fill="auto"/>
            <w:noWrap/>
            <w:vAlign w:val="center"/>
            <w:hideMark/>
          </w:tcPr>
          <w:p w14:paraId="7E0DCE27"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-34 %</w:t>
            </w:r>
          </w:p>
        </w:tc>
        <w:tc>
          <w:tcPr>
            <w:tcW w:w="749" w:type="dxa"/>
            <w:tcBorders>
              <w:top w:val="single" w:sz="4" w:space="0" w:color="auto"/>
              <w:left w:val="nil"/>
              <w:bottom w:val="single" w:sz="4" w:space="0" w:color="auto"/>
              <w:right w:val="nil"/>
            </w:tcBorders>
            <w:shd w:val="clear" w:color="auto" w:fill="auto"/>
            <w:noWrap/>
            <w:vAlign w:val="bottom"/>
            <w:hideMark/>
          </w:tcPr>
          <w:p w14:paraId="72AABCD4" w14:textId="754F5E72"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504</w:t>
            </w:r>
          </w:p>
        </w:tc>
        <w:tc>
          <w:tcPr>
            <w:tcW w:w="1029" w:type="dxa"/>
            <w:tcBorders>
              <w:top w:val="single" w:sz="4" w:space="0" w:color="auto"/>
              <w:left w:val="nil"/>
              <w:bottom w:val="single" w:sz="4" w:space="0" w:color="auto"/>
              <w:right w:val="nil"/>
            </w:tcBorders>
            <w:shd w:val="clear" w:color="auto" w:fill="auto"/>
            <w:noWrap/>
            <w:vAlign w:val="center"/>
            <w:hideMark/>
          </w:tcPr>
          <w:p w14:paraId="1B1B0B3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-18 %</w:t>
            </w:r>
          </w:p>
        </w:tc>
      </w:tr>
      <w:tr w:rsidR="008430BD" w:rsidRPr="001C3EC8" w14:paraId="75CD7D17"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495327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749" w:type="dxa"/>
            <w:tcBorders>
              <w:top w:val="nil"/>
              <w:left w:val="nil"/>
              <w:bottom w:val="single" w:sz="4" w:space="0" w:color="auto"/>
              <w:right w:val="nil"/>
            </w:tcBorders>
            <w:shd w:val="clear" w:color="auto" w:fill="auto"/>
            <w:noWrap/>
            <w:vAlign w:val="bottom"/>
            <w:hideMark/>
          </w:tcPr>
          <w:p w14:paraId="3ABDAB8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825</w:t>
            </w:r>
          </w:p>
        </w:tc>
        <w:tc>
          <w:tcPr>
            <w:tcW w:w="883" w:type="dxa"/>
            <w:tcBorders>
              <w:top w:val="nil"/>
              <w:left w:val="nil"/>
              <w:bottom w:val="single" w:sz="4" w:space="0" w:color="auto"/>
              <w:right w:val="nil"/>
            </w:tcBorders>
            <w:shd w:val="clear" w:color="auto" w:fill="auto"/>
            <w:noWrap/>
            <w:vAlign w:val="center"/>
            <w:hideMark/>
          </w:tcPr>
          <w:p w14:paraId="1969A7D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+27 %</w:t>
            </w:r>
          </w:p>
        </w:tc>
        <w:tc>
          <w:tcPr>
            <w:tcW w:w="749" w:type="dxa"/>
            <w:tcBorders>
              <w:top w:val="nil"/>
              <w:left w:val="single" w:sz="4" w:space="0" w:color="auto"/>
              <w:bottom w:val="single" w:sz="4" w:space="0" w:color="auto"/>
              <w:right w:val="nil"/>
            </w:tcBorders>
            <w:shd w:val="clear" w:color="auto" w:fill="auto"/>
            <w:noWrap/>
            <w:vAlign w:val="bottom"/>
            <w:hideMark/>
          </w:tcPr>
          <w:p w14:paraId="0558C87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331</w:t>
            </w:r>
          </w:p>
        </w:tc>
        <w:tc>
          <w:tcPr>
            <w:tcW w:w="883" w:type="dxa"/>
            <w:tcBorders>
              <w:top w:val="nil"/>
              <w:left w:val="nil"/>
              <w:bottom w:val="single" w:sz="4" w:space="0" w:color="auto"/>
              <w:right w:val="single" w:sz="4" w:space="0" w:color="auto"/>
            </w:tcBorders>
            <w:shd w:val="clear" w:color="auto" w:fill="auto"/>
            <w:noWrap/>
            <w:vAlign w:val="center"/>
            <w:hideMark/>
          </w:tcPr>
          <w:p w14:paraId="3A100DAC"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+43 %</w:t>
            </w:r>
          </w:p>
        </w:tc>
        <w:tc>
          <w:tcPr>
            <w:tcW w:w="749" w:type="dxa"/>
            <w:tcBorders>
              <w:top w:val="nil"/>
              <w:left w:val="nil"/>
              <w:bottom w:val="single" w:sz="4" w:space="0" w:color="auto"/>
              <w:right w:val="nil"/>
            </w:tcBorders>
            <w:shd w:val="clear" w:color="auto" w:fill="auto"/>
            <w:noWrap/>
            <w:vAlign w:val="bottom"/>
            <w:hideMark/>
          </w:tcPr>
          <w:p w14:paraId="14E9440C" w14:textId="69656293"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606</w:t>
            </w:r>
          </w:p>
        </w:tc>
        <w:tc>
          <w:tcPr>
            <w:tcW w:w="1029" w:type="dxa"/>
            <w:tcBorders>
              <w:top w:val="nil"/>
              <w:left w:val="nil"/>
              <w:bottom w:val="single" w:sz="4" w:space="0" w:color="auto"/>
              <w:right w:val="nil"/>
            </w:tcBorders>
            <w:shd w:val="clear" w:color="auto" w:fill="auto"/>
            <w:noWrap/>
            <w:vAlign w:val="center"/>
            <w:hideMark/>
          </w:tcPr>
          <w:p w14:paraId="53E43B8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+27 %</w:t>
            </w:r>
          </w:p>
        </w:tc>
      </w:tr>
      <w:tr w:rsidR="008430BD" w:rsidRPr="001C3EC8" w14:paraId="5173F92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744D8A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749" w:type="dxa"/>
            <w:tcBorders>
              <w:top w:val="nil"/>
              <w:left w:val="nil"/>
              <w:bottom w:val="single" w:sz="4" w:space="0" w:color="auto"/>
              <w:right w:val="nil"/>
            </w:tcBorders>
            <w:shd w:val="clear" w:color="auto" w:fill="auto"/>
            <w:noWrap/>
            <w:vAlign w:val="bottom"/>
            <w:hideMark/>
          </w:tcPr>
          <w:p w14:paraId="5737B3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755</w:t>
            </w:r>
          </w:p>
        </w:tc>
        <w:tc>
          <w:tcPr>
            <w:tcW w:w="883" w:type="dxa"/>
            <w:tcBorders>
              <w:top w:val="nil"/>
              <w:left w:val="nil"/>
              <w:bottom w:val="single" w:sz="4" w:space="0" w:color="auto"/>
              <w:right w:val="nil"/>
            </w:tcBorders>
            <w:shd w:val="clear" w:color="auto" w:fill="auto"/>
            <w:noWrap/>
            <w:vAlign w:val="center"/>
            <w:hideMark/>
          </w:tcPr>
          <w:p w14:paraId="0EF4616B" w14:textId="2112E03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6</w:t>
            </w:r>
            <w:r w:rsidR="00CD2266">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749" w:type="dxa"/>
            <w:tcBorders>
              <w:top w:val="nil"/>
              <w:left w:val="single" w:sz="4" w:space="0" w:color="auto"/>
              <w:bottom w:val="single" w:sz="4" w:space="0" w:color="auto"/>
              <w:right w:val="nil"/>
            </w:tcBorders>
            <w:shd w:val="clear" w:color="auto" w:fill="auto"/>
            <w:noWrap/>
            <w:vAlign w:val="bottom"/>
            <w:hideMark/>
          </w:tcPr>
          <w:p w14:paraId="504A057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266</w:t>
            </w:r>
          </w:p>
        </w:tc>
        <w:tc>
          <w:tcPr>
            <w:tcW w:w="883" w:type="dxa"/>
            <w:tcBorders>
              <w:top w:val="nil"/>
              <w:left w:val="nil"/>
              <w:bottom w:val="single" w:sz="4" w:space="0" w:color="auto"/>
              <w:right w:val="single" w:sz="4" w:space="0" w:color="auto"/>
            </w:tcBorders>
            <w:shd w:val="clear" w:color="auto" w:fill="auto"/>
            <w:noWrap/>
            <w:vAlign w:val="center"/>
            <w:hideMark/>
          </w:tcPr>
          <w:p w14:paraId="42C1480E"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+16 %</w:t>
            </w:r>
          </w:p>
        </w:tc>
        <w:tc>
          <w:tcPr>
            <w:tcW w:w="749" w:type="dxa"/>
            <w:tcBorders>
              <w:top w:val="nil"/>
              <w:left w:val="nil"/>
              <w:bottom w:val="single" w:sz="4" w:space="0" w:color="auto"/>
              <w:right w:val="nil"/>
            </w:tcBorders>
            <w:shd w:val="clear" w:color="auto" w:fill="auto"/>
            <w:noWrap/>
            <w:vAlign w:val="bottom"/>
            <w:hideMark/>
          </w:tcPr>
          <w:p w14:paraId="0BF60B0B" w14:textId="4D0BA9AA"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128</w:t>
            </w:r>
          </w:p>
        </w:tc>
        <w:tc>
          <w:tcPr>
            <w:tcW w:w="1029" w:type="dxa"/>
            <w:tcBorders>
              <w:top w:val="nil"/>
              <w:left w:val="nil"/>
              <w:bottom w:val="single" w:sz="4" w:space="0" w:color="auto"/>
              <w:right w:val="nil"/>
            </w:tcBorders>
            <w:shd w:val="clear" w:color="auto" w:fill="auto"/>
            <w:noWrap/>
            <w:vAlign w:val="center"/>
            <w:hideMark/>
          </w:tcPr>
          <w:p w14:paraId="7912632F" w14:textId="6F85F49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3</w:t>
            </w:r>
            <w:r w:rsidR="00CD2266">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23061C09"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9297F5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749" w:type="dxa"/>
            <w:tcBorders>
              <w:top w:val="nil"/>
              <w:left w:val="nil"/>
              <w:bottom w:val="single" w:sz="4" w:space="0" w:color="auto"/>
              <w:right w:val="nil"/>
            </w:tcBorders>
            <w:shd w:val="clear" w:color="auto" w:fill="auto"/>
            <w:noWrap/>
            <w:vAlign w:val="bottom"/>
            <w:hideMark/>
          </w:tcPr>
          <w:p w14:paraId="78062AD4" w14:textId="3407F28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w:t>
            </w:r>
            <w:r w:rsidRPr="001C3EC8">
              <w:rPr>
                <w:rFonts w:eastAsia="Times New Roman"/>
                <w:color w:val="000000" w:themeColor="text1"/>
                <w:szCs w:val="24"/>
                <w:lang w:eastAsia="cs-CZ"/>
              </w:rPr>
              <w:t>077</w:t>
            </w:r>
          </w:p>
        </w:tc>
        <w:tc>
          <w:tcPr>
            <w:tcW w:w="883" w:type="dxa"/>
            <w:tcBorders>
              <w:top w:val="nil"/>
              <w:left w:val="nil"/>
              <w:bottom w:val="single" w:sz="4" w:space="0" w:color="auto"/>
              <w:right w:val="nil"/>
            </w:tcBorders>
            <w:shd w:val="clear" w:color="auto" w:fill="auto"/>
            <w:noWrap/>
            <w:vAlign w:val="center"/>
            <w:hideMark/>
          </w:tcPr>
          <w:p w14:paraId="1FA5F02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+13 %</w:t>
            </w:r>
          </w:p>
        </w:tc>
        <w:tc>
          <w:tcPr>
            <w:tcW w:w="749" w:type="dxa"/>
            <w:tcBorders>
              <w:top w:val="nil"/>
              <w:left w:val="single" w:sz="4" w:space="0" w:color="auto"/>
              <w:bottom w:val="single" w:sz="4" w:space="0" w:color="auto"/>
              <w:right w:val="nil"/>
            </w:tcBorders>
            <w:shd w:val="clear" w:color="auto" w:fill="auto"/>
            <w:noWrap/>
            <w:vAlign w:val="bottom"/>
            <w:hideMark/>
          </w:tcPr>
          <w:p w14:paraId="3BFA68E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350</w:t>
            </w:r>
          </w:p>
        </w:tc>
        <w:tc>
          <w:tcPr>
            <w:tcW w:w="883" w:type="dxa"/>
            <w:tcBorders>
              <w:top w:val="nil"/>
              <w:left w:val="nil"/>
              <w:bottom w:val="single" w:sz="4" w:space="0" w:color="auto"/>
              <w:right w:val="single" w:sz="4" w:space="0" w:color="auto"/>
            </w:tcBorders>
            <w:shd w:val="clear" w:color="auto" w:fill="auto"/>
            <w:noWrap/>
            <w:vAlign w:val="center"/>
            <w:hideMark/>
          </w:tcPr>
          <w:p w14:paraId="10980964" w14:textId="2151848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2</w:t>
            </w:r>
            <w:r w:rsidR="00CD2266">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749" w:type="dxa"/>
            <w:tcBorders>
              <w:top w:val="nil"/>
              <w:left w:val="nil"/>
              <w:bottom w:val="single" w:sz="4" w:space="0" w:color="auto"/>
              <w:right w:val="nil"/>
            </w:tcBorders>
            <w:shd w:val="clear" w:color="auto" w:fill="auto"/>
            <w:noWrap/>
            <w:vAlign w:val="bottom"/>
            <w:hideMark/>
          </w:tcPr>
          <w:p w14:paraId="33AD0B22" w14:textId="60C13794"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861</w:t>
            </w:r>
          </w:p>
        </w:tc>
        <w:tc>
          <w:tcPr>
            <w:tcW w:w="1029" w:type="dxa"/>
            <w:tcBorders>
              <w:top w:val="nil"/>
              <w:left w:val="nil"/>
              <w:bottom w:val="single" w:sz="4" w:space="0" w:color="auto"/>
              <w:right w:val="nil"/>
            </w:tcBorders>
            <w:shd w:val="clear" w:color="auto" w:fill="auto"/>
            <w:noWrap/>
            <w:vAlign w:val="center"/>
            <w:hideMark/>
          </w:tcPr>
          <w:p w14:paraId="1090EDF9" w14:textId="6F04DE9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5</w:t>
            </w:r>
            <w:r w:rsidR="00CD2266">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r>
      <w:tr w:rsidR="008430BD" w:rsidRPr="001C3EC8" w14:paraId="7908D92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C6E500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749" w:type="dxa"/>
            <w:tcBorders>
              <w:top w:val="nil"/>
              <w:left w:val="nil"/>
              <w:bottom w:val="single" w:sz="4" w:space="0" w:color="auto"/>
              <w:right w:val="nil"/>
            </w:tcBorders>
            <w:shd w:val="clear" w:color="auto" w:fill="auto"/>
            <w:noWrap/>
            <w:vAlign w:val="bottom"/>
            <w:hideMark/>
          </w:tcPr>
          <w:p w14:paraId="6F01C0D6" w14:textId="56B68B3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w:t>
            </w:r>
            <w:r w:rsidRPr="001C3EC8">
              <w:rPr>
                <w:rFonts w:eastAsia="Times New Roman"/>
                <w:color w:val="000000" w:themeColor="text1"/>
                <w:szCs w:val="24"/>
                <w:lang w:eastAsia="cs-CZ"/>
              </w:rPr>
              <w:t>797</w:t>
            </w:r>
          </w:p>
        </w:tc>
        <w:tc>
          <w:tcPr>
            <w:tcW w:w="883" w:type="dxa"/>
            <w:tcBorders>
              <w:top w:val="nil"/>
              <w:left w:val="nil"/>
              <w:bottom w:val="single" w:sz="4" w:space="0" w:color="auto"/>
              <w:right w:val="nil"/>
            </w:tcBorders>
            <w:shd w:val="clear" w:color="auto" w:fill="auto"/>
            <w:noWrap/>
            <w:vAlign w:val="center"/>
            <w:hideMark/>
          </w:tcPr>
          <w:p w14:paraId="314FC1D6"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-28 %</w:t>
            </w:r>
          </w:p>
        </w:tc>
        <w:tc>
          <w:tcPr>
            <w:tcW w:w="749" w:type="dxa"/>
            <w:tcBorders>
              <w:top w:val="nil"/>
              <w:left w:val="single" w:sz="4" w:space="0" w:color="auto"/>
              <w:bottom w:val="single" w:sz="4" w:space="0" w:color="auto"/>
              <w:right w:val="nil"/>
            </w:tcBorders>
            <w:shd w:val="clear" w:color="auto" w:fill="auto"/>
            <w:noWrap/>
            <w:vAlign w:val="bottom"/>
            <w:hideMark/>
          </w:tcPr>
          <w:p w14:paraId="5BCBFE64" w14:textId="2FF029A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w:t>
            </w:r>
            <w:r w:rsidRPr="001C3EC8">
              <w:rPr>
                <w:rFonts w:eastAsia="Times New Roman"/>
                <w:color w:val="000000" w:themeColor="text1"/>
                <w:szCs w:val="24"/>
                <w:lang w:eastAsia="cs-CZ"/>
              </w:rPr>
              <w:t>244</w:t>
            </w:r>
          </w:p>
        </w:tc>
        <w:tc>
          <w:tcPr>
            <w:tcW w:w="883" w:type="dxa"/>
            <w:tcBorders>
              <w:top w:val="nil"/>
              <w:left w:val="nil"/>
              <w:bottom w:val="single" w:sz="4" w:space="0" w:color="auto"/>
              <w:right w:val="single" w:sz="4" w:space="0" w:color="auto"/>
            </w:tcBorders>
            <w:shd w:val="clear" w:color="auto" w:fill="auto"/>
            <w:noWrap/>
            <w:vAlign w:val="center"/>
            <w:hideMark/>
          </w:tcPr>
          <w:p w14:paraId="3BEB1F6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-15 %</w:t>
            </w:r>
          </w:p>
        </w:tc>
        <w:tc>
          <w:tcPr>
            <w:tcW w:w="749" w:type="dxa"/>
            <w:tcBorders>
              <w:top w:val="nil"/>
              <w:left w:val="nil"/>
              <w:bottom w:val="single" w:sz="4" w:space="0" w:color="auto"/>
              <w:right w:val="nil"/>
            </w:tcBorders>
            <w:shd w:val="clear" w:color="auto" w:fill="auto"/>
            <w:noWrap/>
            <w:vAlign w:val="bottom"/>
            <w:hideMark/>
          </w:tcPr>
          <w:p w14:paraId="462009BB" w14:textId="4087DE2C"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r>
              <w:rPr>
                <w:rFonts w:eastAsia="Times New Roman"/>
                <w:color w:val="000000" w:themeColor="text1"/>
                <w:szCs w:val="24"/>
                <w:lang w:eastAsia="cs-CZ"/>
              </w:rPr>
              <w:t> </w:t>
            </w:r>
            <w:r w:rsidR="008430BD" w:rsidRPr="001C3EC8">
              <w:rPr>
                <w:rFonts w:eastAsia="Times New Roman"/>
                <w:color w:val="000000" w:themeColor="text1"/>
                <w:szCs w:val="24"/>
                <w:lang w:eastAsia="cs-CZ"/>
              </w:rPr>
              <w:t>373</w:t>
            </w:r>
          </w:p>
        </w:tc>
        <w:tc>
          <w:tcPr>
            <w:tcW w:w="1029" w:type="dxa"/>
            <w:tcBorders>
              <w:top w:val="nil"/>
              <w:left w:val="nil"/>
              <w:bottom w:val="single" w:sz="4" w:space="0" w:color="auto"/>
              <w:right w:val="nil"/>
            </w:tcBorders>
            <w:shd w:val="clear" w:color="auto" w:fill="auto"/>
            <w:noWrap/>
            <w:vAlign w:val="center"/>
            <w:hideMark/>
          </w:tcPr>
          <w:p w14:paraId="562232EF"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-64 %</w:t>
            </w:r>
          </w:p>
        </w:tc>
      </w:tr>
      <w:tr w:rsidR="008430BD" w:rsidRPr="001C3EC8" w14:paraId="31114F85"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37FC7A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749" w:type="dxa"/>
            <w:tcBorders>
              <w:top w:val="nil"/>
              <w:left w:val="nil"/>
              <w:bottom w:val="single" w:sz="4" w:space="0" w:color="auto"/>
              <w:right w:val="nil"/>
            </w:tcBorders>
            <w:shd w:val="clear" w:color="auto" w:fill="auto"/>
            <w:noWrap/>
            <w:vAlign w:val="bottom"/>
            <w:hideMark/>
          </w:tcPr>
          <w:p w14:paraId="381BD9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440</w:t>
            </w:r>
          </w:p>
        </w:tc>
        <w:tc>
          <w:tcPr>
            <w:tcW w:w="883" w:type="dxa"/>
            <w:tcBorders>
              <w:top w:val="nil"/>
              <w:left w:val="nil"/>
              <w:bottom w:val="single" w:sz="4" w:space="0" w:color="auto"/>
              <w:right w:val="nil"/>
            </w:tcBorders>
            <w:shd w:val="clear" w:color="auto" w:fill="auto"/>
            <w:noWrap/>
            <w:vAlign w:val="center"/>
            <w:hideMark/>
          </w:tcPr>
          <w:p w14:paraId="1F84BED5"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-33 %</w:t>
            </w:r>
          </w:p>
        </w:tc>
        <w:tc>
          <w:tcPr>
            <w:tcW w:w="749" w:type="dxa"/>
            <w:tcBorders>
              <w:top w:val="nil"/>
              <w:left w:val="single" w:sz="4" w:space="0" w:color="auto"/>
              <w:bottom w:val="single" w:sz="4" w:space="0" w:color="auto"/>
              <w:right w:val="nil"/>
            </w:tcBorders>
            <w:shd w:val="clear" w:color="auto" w:fill="auto"/>
            <w:noWrap/>
            <w:vAlign w:val="bottom"/>
            <w:hideMark/>
          </w:tcPr>
          <w:p w14:paraId="4299A16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149</w:t>
            </w:r>
          </w:p>
        </w:tc>
        <w:tc>
          <w:tcPr>
            <w:tcW w:w="883" w:type="dxa"/>
            <w:tcBorders>
              <w:top w:val="nil"/>
              <w:left w:val="nil"/>
              <w:bottom w:val="single" w:sz="4" w:space="0" w:color="auto"/>
              <w:right w:val="single" w:sz="4" w:space="0" w:color="auto"/>
            </w:tcBorders>
            <w:shd w:val="clear" w:color="auto" w:fill="auto"/>
            <w:noWrap/>
            <w:vAlign w:val="center"/>
            <w:hideMark/>
          </w:tcPr>
          <w:p w14:paraId="1AD1FD2F" w14:textId="6CB6C46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3</w:t>
            </w:r>
            <w:r w:rsidR="00CD2266">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749" w:type="dxa"/>
            <w:tcBorders>
              <w:top w:val="nil"/>
              <w:left w:val="nil"/>
              <w:bottom w:val="single" w:sz="4" w:space="0" w:color="auto"/>
              <w:right w:val="nil"/>
            </w:tcBorders>
            <w:shd w:val="clear" w:color="auto" w:fill="auto"/>
            <w:noWrap/>
            <w:vAlign w:val="bottom"/>
            <w:hideMark/>
          </w:tcPr>
          <w:p w14:paraId="04EAA4D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889</w:t>
            </w:r>
          </w:p>
        </w:tc>
        <w:tc>
          <w:tcPr>
            <w:tcW w:w="1029" w:type="dxa"/>
            <w:tcBorders>
              <w:top w:val="nil"/>
              <w:left w:val="nil"/>
              <w:bottom w:val="single" w:sz="4" w:space="0" w:color="auto"/>
              <w:right w:val="nil"/>
            </w:tcBorders>
            <w:shd w:val="clear" w:color="auto" w:fill="auto"/>
            <w:noWrap/>
            <w:vAlign w:val="center"/>
            <w:hideMark/>
          </w:tcPr>
          <w:p w14:paraId="38C3228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-54 %</w:t>
            </w:r>
          </w:p>
        </w:tc>
      </w:tr>
      <w:tr w:rsidR="008430BD" w:rsidRPr="001C3EC8" w14:paraId="3938BB8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024620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749" w:type="dxa"/>
            <w:tcBorders>
              <w:top w:val="nil"/>
              <w:left w:val="nil"/>
              <w:bottom w:val="single" w:sz="4" w:space="0" w:color="auto"/>
              <w:right w:val="nil"/>
            </w:tcBorders>
            <w:shd w:val="clear" w:color="auto" w:fill="auto"/>
            <w:noWrap/>
            <w:vAlign w:val="bottom"/>
            <w:hideMark/>
          </w:tcPr>
          <w:p w14:paraId="0ED28A8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853</w:t>
            </w:r>
          </w:p>
        </w:tc>
        <w:tc>
          <w:tcPr>
            <w:tcW w:w="883" w:type="dxa"/>
            <w:tcBorders>
              <w:top w:val="nil"/>
              <w:left w:val="nil"/>
              <w:bottom w:val="single" w:sz="4" w:space="0" w:color="auto"/>
              <w:right w:val="nil"/>
            </w:tcBorders>
            <w:shd w:val="clear" w:color="auto" w:fill="auto"/>
            <w:noWrap/>
            <w:vAlign w:val="center"/>
            <w:hideMark/>
          </w:tcPr>
          <w:p w14:paraId="3E1935E9" w14:textId="4748E94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3</w:t>
            </w:r>
            <w:r w:rsidR="00CD2266">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749" w:type="dxa"/>
            <w:tcBorders>
              <w:top w:val="nil"/>
              <w:left w:val="single" w:sz="4" w:space="0" w:color="auto"/>
              <w:bottom w:val="single" w:sz="4" w:space="0" w:color="auto"/>
              <w:right w:val="nil"/>
            </w:tcBorders>
            <w:shd w:val="clear" w:color="auto" w:fill="auto"/>
            <w:noWrap/>
            <w:vAlign w:val="bottom"/>
            <w:hideMark/>
          </w:tcPr>
          <w:p w14:paraId="6835FDD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275</w:t>
            </w:r>
          </w:p>
        </w:tc>
        <w:tc>
          <w:tcPr>
            <w:tcW w:w="883" w:type="dxa"/>
            <w:tcBorders>
              <w:top w:val="nil"/>
              <w:left w:val="nil"/>
              <w:bottom w:val="single" w:sz="4" w:space="0" w:color="auto"/>
              <w:right w:val="single" w:sz="4" w:space="0" w:color="auto"/>
            </w:tcBorders>
            <w:shd w:val="clear" w:color="auto" w:fill="auto"/>
            <w:noWrap/>
            <w:vAlign w:val="center"/>
            <w:hideMark/>
          </w:tcPr>
          <w:p w14:paraId="7A574CF5"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-24 %</w:t>
            </w:r>
          </w:p>
        </w:tc>
        <w:tc>
          <w:tcPr>
            <w:tcW w:w="749" w:type="dxa"/>
            <w:tcBorders>
              <w:top w:val="nil"/>
              <w:left w:val="nil"/>
              <w:bottom w:val="single" w:sz="4" w:space="0" w:color="auto"/>
              <w:right w:val="nil"/>
            </w:tcBorders>
            <w:shd w:val="clear" w:color="auto" w:fill="auto"/>
            <w:noWrap/>
            <w:vAlign w:val="bottom"/>
            <w:hideMark/>
          </w:tcPr>
          <w:p w14:paraId="023053E2" w14:textId="67018108"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554</w:t>
            </w:r>
          </w:p>
        </w:tc>
        <w:tc>
          <w:tcPr>
            <w:tcW w:w="1029" w:type="dxa"/>
            <w:tcBorders>
              <w:top w:val="nil"/>
              <w:left w:val="nil"/>
              <w:bottom w:val="single" w:sz="4" w:space="0" w:color="auto"/>
              <w:right w:val="nil"/>
            </w:tcBorders>
            <w:shd w:val="clear" w:color="auto" w:fill="auto"/>
            <w:noWrap/>
            <w:vAlign w:val="center"/>
            <w:hideMark/>
          </w:tcPr>
          <w:p w14:paraId="130EC8C4"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+15 %</w:t>
            </w:r>
          </w:p>
        </w:tc>
      </w:tr>
      <w:tr w:rsidR="008430BD" w:rsidRPr="001C3EC8" w14:paraId="50833B06"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507E2C7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749" w:type="dxa"/>
            <w:tcBorders>
              <w:top w:val="nil"/>
              <w:left w:val="nil"/>
              <w:bottom w:val="double" w:sz="6" w:space="0" w:color="auto"/>
              <w:right w:val="nil"/>
            </w:tcBorders>
            <w:shd w:val="clear" w:color="auto" w:fill="auto"/>
            <w:noWrap/>
            <w:vAlign w:val="bottom"/>
            <w:hideMark/>
          </w:tcPr>
          <w:p w14:paraId="137C9A97" w14:textId="2B7B4BE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w:t>
            </w:r>
            <w:r w:rsidRPr="001C3EC8">
              <w:rPr>
                <w:rFonts w:eastAsia="Times New Roman"/>
                <w:color w:val="000000" w:themeColor="text1"/>
                <w:szCs w:val="24"/>
                <w:lang w:eastAsia="cs-CZ"/>
              </w:rPr>
              <w:t>314</w:t>
            </w:r>
          </w:p>
        </w:tc>
        <w:tc>
          <w:tcPr>
            <w:tcW w:w="883" w:type="dxa"/>
            <w:tcBorders>
              <w:top w:val="nil"/>
              <w:left w:val="nil"/>
              <w:bottom w:val="double" w:sz="6" w:space="0" w:color="auto"/>
              <w:right w:val="nil"/>
            </w:tcBorders>
            <w:shd w:val="clear" w:color="auto" w:fill="auto"/>
            <w:noWrap/>
            <w:vAlign w:val="center"/>
            <w:hideMark/>
          </w:tcPr>
          <w:p w14:paraId="2E433FA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+68 %</w:t>
            </w:r>
          </w:p>
        </w:tc>
        <w:tc>
          <w:tcPr>
            <w:tcW w:w="749" w:type="dxa"/>
            <w:tcBorders>
              <w:top w:val="nil"/>
              <w:left w:val="single" w:sz="4" w:space="0" w:color="auto"/>
              <w:bottom w:val="double" w:sz="6" w:space="0" w:color="auto"/>
              <w:right w:val="nil"/>
            </w:tcBorders>
            <w:shd w:val="clear" w:color="auto" w:fill="auto"/>
            <w:noWrap/>
            <w:vAlign w:val="bottom"/>
            <w:hideMark/>
          </w:tcPr>
          <w:p w14:paraId="64EE280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190</w:t>
            </w:r>
          </w:p>
        </w:tc>
        <w:tc>
          <w:tcPr>
            <w:tcW w:w="883" w:type="dxa"/>
            <w:tcBorders>
              <w:top w:val="nil"/>
              <w:left w:val="nil"/>
              <w:bottom w:val="double" w:sz="6" w:space="0" w:color="auto"/>
              <w:right w:val="single" w:sz="4" w:space="0" w:color="auto"/>
            </w:tcBorders>
            <w:shd w:val="clear" w:color="auto" w:fill="auto"/>
            <w:noWrap/>
            <w:vAlign w:val="center"/>
            <w:hideMark/>
          </w:tcPr>
          <w:p w14:paraId="1F83B65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+12 %</w:t>
            </w:r>
          </w:p>
        </w:tc>
        <w:tc>
          <w:tcPr>
            <w:tcW w:w="749" w:type="dxa"/>
            <w:tcBorders>
              <w:top w:val="nil"/>
              <w:left w:val="nil"/>
              <w:bottom w:val="double" w:sz="6" w:space="0" w:color="auto"/>
              <w:right w:val="nil"/>
            </w:tcBorders>
            <w:shd w:val="clear" w:color="auto" w:fill="auto"/>
            <w:noWrap/>
            <w:vAlign w:val="bottom"/>
            <w:hideMark/>
          </w:tcPr>
          <w:p w14:paraId="1AF72137" w14:textId="634F936F"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r>
              <w:rPr>
                <w:rFonts w:eastAsia="Times New Roman"/>
                <w:color w:val="000000" w:themeColor="text1"/>
                <w:szCs w:val="24"/>
                <w:lang w:eastAsia="cs-CZ"/>
              </w:rPr>
              <w:t> </w:t>
            </w:r>
            <w:r w:rsidR="008430BD" w:rsidRPr="001C3EC8">
              <w:rPr>
                <w:rFonts w:eastAsia="Times New Roman"/>
                <w:color w:val="000000" w:themeColor="text1"/>
                <w:szCs w:val="24"/>
                <w:lang w:eastAsia="cs-CZ"/>
              </w:rPr>
              <w:t>372</w:t>
            </w:r>
          </w:p>
        </w:tc>
        <w:tc>
          <w:tcPr>
            <w:tcW w:w="1029" w:type="dxa"/>
            <w:tcBorders>
              <w:top w:val="nil"/>
              <w:left w:val="nil"/>
              <w:bottom w:val="double" w:sz="6" w:space="0" w:color="auto"/>
              <w:right w:val="nil"/>
            </w:tcBorders>
            <w:shd w:val="clear" w:color="auto" w:fill="auto"/>
            <w:noWrap/>
            <w:vAlign w:val="center"/>
            <w:hideMark/>
          </w:tcPr>
          <w:p w14:paraId="15C20D41"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+158 %</w:t>
            </w:r>
          </w:p>
        </w:tc>
      </w:tr>
      <w:tr w:rsidR="008430BD" w:rsidRPr="001C3EC8" w14:paraId="290D835A"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557C28CC"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749" w:type="dxa"/>
            <w:tcBorders>
              <w:top w:val="nil"/>
              <w:left w:val="nil"/>
              <w:bottom w:val="double" w:sz="6" w:space="0" w:color="auto"/>
              <w:right w:val="nil"/>
            </w:tcBorders>
            <w:shd w:val="clear" w:color="auto" w:fill="auto"/>
            <w:noWrap/>
            <w:vAlign w:val="bottom"/>
            <w:hideMark/>
          </w:tcPr>
          <w:p w14:paraId="17360F3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953</w:t>
            </w:r>
          </w:p>
        </w:tc>
        <w:tc>
          <w:tcPr>
            <w:tcW w:w="883" w:type="dxa"/>
            <w:tcBorders>
              <w:top w:val="nil"/>
              <w:left w:val="nil"/>
              <w:bottom w:val="double" w:sz="6" w:space="0" w:color="auto"/>
              <w:right w:val="nil"/>
            </w:tcBorders>
            <w:shd w:val="clear" w:color="auto" w:fill="auto"/>
            <w:noWrap/>
            <w:vAlign w:val="center"/>
            <w:hideMark/>
          </w:tcPr>
          <w:p w14:paraId="0FF2D3E1" w14:textId="50F0EFFA"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CD2266" w:rsidRPr="001C3EC8">
              <w:rPr>
                <w:rFonts w:eastAsia="Times New Roman"/>
                <w:b/>
                <w:bCs/>
                <w:color w:val="000000" w:themeColor="text1"/>
                <w:sz w:val="20"/>
                <w:szCs w:val="20"/>
                <w:lang w:eastAsia="cs-CZ"/>
              </w:rPr>
              <w:t>9</w:t>
            </w:r>
            <w:r w:rsidR="00CD2266">
              <w:rPr>
                <w:rFonts w:eastAsia="Times New Roman"/>
                <w:b/>
                <w:bCs/>
                <w:color w:val="000000" w:themeColor="text1"/>
                <w:sz w:val="20"/>
                <w:szCs w:val="20"/>
                <w:lang w:eastAsia="cs-CZ"/>
              </w:rPr>
              <w:t> </w:t>
            </w:r>
            <w:r w:rsidRPr="001C3EC8">
              <w:rPr>
                <w:rFonts w:eastAsia="Times New Roman"/>
                <w:b/>
                <w:bCs/>
                <w:color w:val="000000" w:themeColor="text1"/>
                <w:sz w:val="20"/>
                <w:szCs w:val="20"/>
                <w:lang w:eastAsia="cs-CZ"/>
              </w:rPr>
              <w:t>%</w:t>
            </w:r>
          </w:p>
        </w:tc>
        <w:tc>
          <w:tcPr>
            <w:tcW w:w="749" w:type="dxa"/>
            <w:tcBorders>
              <w:top w:val="nil"/>
              <w:left w:val="single" w:sz="4" w:space="0" w:color="auto"/>
              <w:bottom w:val="double" w:sz="6" w:space="0" w:color="auto"/>
              <w:right w:val="nil"/>
            </w:tcBorders>
            <w:shd w:val="clear" w:color="auto" w:fill="auto"/>
            <w:noWrap/>
            <w:vAlign w:val="bottom"/>
            <w:hideMark/>
          </w:tcPr>
          <w:p w14:paraId="71B70DD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229</w:t>
            </w:r>
          </w:p>
        </w:tc>
        <w:tc>
          <w:tcPr>
            <w:tcW w:w="883" w:type="dxa"/>
            <w:tcBorders>
              <w:top w:val="nil"/>
              <w:left w:val="nil"/>
              <w:bottom w:val="double" w:sz="6" w:space="0" w:color="auto"/>
              <w:right w:val="single" w:sz="4" w:space="0" w:color="auto"/>
            </w:tcBorders>
            <w:shd w:val="clear" w:color="auto" w:fill="auto"/>
            <w:noWrap/>
            <w:vAlign w:val="center"/>
            <w:hideMark/>
          </w:tcPr>
          <w:p w14:paraId="169BE128"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-25 %</w:t>
            </w:r>
          </w:p>
        </w:tc>
        <w:tc>
          <w:tcPr>
            <w:tcW w:w="749" w:type="dxa"/>
            <w:tcBorders>
              <w:top w:val="nil"/>
              <w:left w:val="nil"/>
              <w:bottom w:val="double" w:sz="6" w:space="0" w:color="auto"/>
              <w:right w:val="nil"/>
            </w:tcBorders>
            <w:shd w:val="clear" w:color="auto" w:fill="auto"/>
            <w:noWrap/>
            <w:vAlign w:val="bottom"/>
            <w:hideMark/>
          </w:tcPr>
          <w:p w14:paraId="75197765" w14:textId="07987268" w:rsidR="008430BD" w:rsidRPr="001C3EC8" w:rsidRDefault="00CD2266"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w:t>
            </w:r>
            <w:r>
              <w:rPr>
                <w:rFonts w:eastAsia="Times New Roman"/>
                <w:b/>
                <w:bCs/>
                <w:color w:val="000000" w:themeColor="text1"/>
                <w:szCs w:val="24"/>
                <w:lang w:eastAsia="cs-CZ"/>
              </w:rPr>
              <w:t> </w:t>
            </w:r>
            <w:r w:rsidR="008430BD" w:rsidRPr="001C3EC8">
              <w:rPr>
                <w:rFonts w:eastAsia="Times New Roman"/>
                <w:b/>
                <w:bCs/>
                <w:color w:val="000000" w:themeColor="text1"/>
                <w:szCs w:val="24"/>
                <w:lang w:eastAsia="cs-CZ"/>
              </w:rPr>
              <w:t>768</w:t>
            </w:r>
          </w:p>
        </w:tc>
        <w:tc>
          <w:tcPr>
            <w:tcW w:w="1029" w:type="dxa"/>
            <w:tcBorders>
              <w:top w:val="nil"/>
              <w:left w:val="nil"/>
              <w:bottom w:val="double" w:sz="6" w:space="0" w:color="auto"/>
              <w:right w:val="nil"/>
            </w:tcBorders>
            <w:shd w:val="clear" w:color="auto" w:fill="auto"/>
            <w:noWrap/>
            <w:vAlign w:val="center"/>
            <w:hideMark/>
          </w:tcPr>
          <w:p w14:paraId="6D0662E9" w14:textId="148E6A2F"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CD2266" w:rsidRPr="001C3EC8">
              <w:rPr>
                <w:rFonts w:eastAsia="Times New Roman"/>
                <w:b/>
                <w:bCs/>
                <w:color w:val="000000" w:themeColor="text1"/>
                <w:sz w:val="20"/>
                <w:szCs w:val="20"/>
                <w:lang w:eastAsia="cs-CZ"/>
              </w:rPr>
              <w:t>3</w:t>
            </w:r>
            <w:r w:rsidR="00CD2266">
              <w:rPr>
                <w:rFonts w:eastAsia="Times New Roman"/>
                <w:b/>
                <w:bCs/>
                <w:color w:val="000000" w:themeColor="text1"/>
                <w:sz w:val="20"/>
                <w:szCs w:val="20"/>
                <w:lang w:eastAsia="cs-CZ"/>
              </w:rPr>
              <w:t> </w:t>
            </w:r>
            <w:r w:rsidRPr="001C3EC8">
              <w:rPr>
                <w:rFonts w:eastAsia="Times New Roman"/>
                <w:b/>
                <w:bCs/>
                <w:color w:val="000000" w:themeColor="text1"/>
                <w:sz w:val="20"/>
                <w:szCs w:val="20"/>
                <w:lang w:eastAsia="cs-CZ"/>
              </w:rPr>
              <w:t>%</w:t>
            </w:r>
          </w:p>
        </w:tc>
      </w:tr>
    </w:tbl>
    <w:p w14:paraId="0674CD2B" w14:textId="77777777" w:rsidR="008430BD" w:rsidRPr="001C3EC8" w:rsidRDefault="008430BD" w:rsidP="008430BD">
      <w:pPr>
        <w:pStyle w:val="OdstavecASR"/>
        <w:rPr>
          <w:color w:val="000000" w:themeColor="text1"/>
        </w:rPr>
      </w:pPr>
    </w:p>
    <w:p w14:paraId="49EFAA4F" w14:textId="77777777" w:rsidR="008430BD" w:rsidRPr="001C3EC8" w:rsidRDefault="008430BD" w:rsidP="008430BD">
      <w:pPr>
        <w:pStyle w:val="OdstavecASR"/>
        <w:rPr>
          <w:color w:val="000000" w:themeColor="text1"/>
        </w:rPr>
      </w:pPr>
      <w:r w:rsidRPr="001C3EC8">
        <w:rPr>
          <w:color w:val="000000" w:themeColor="text1"/>
        </w:rPr>
        <w:t>Situace je nicméně lepší, než by se z výše uvedeného mohlo zdát, a to z následujících důvodů:</w:t>
      </w:r>
    </w:p>
    <w:p w14:paraId="0A6581AD" w14:textId="5BDA6FEC" w:rsidR="008430BD" w:rsidRPr="001C3EC8" w:rsidRDefault="008430BD" w:rsidP="008430BD">
      <w:pPr>
        <w:pStyle w:val="OdstavecASR"/>
        <w:numPr>
          <w:ilvl w:val="0"/>
          <w:numId w:val="15"/>
        </w:numPr>
        <w:rPr>
          <w:color w:val="000000" w:themeColor="text1"/>
        </w:rPr>
      </w:pPr>
      <w:r w:rsidRPr="001C3EC8">
        <w:rPr>
          <w:color w:val="000000" w:themeColor="text1"/>
        </w:rPr>
        <w:t xml:space="preserve">Jak je vidět v další podkapitole, v roce 2020 opět poklesl počet příchozích </w:t>
      </w:r>
      <w:r w:rsidR="00CD2266" w:rsidRPr="001C3EC8">
        <w:rPr>
          <w:color w:val="000000" w:themeColor="text1"/>
        </w:rPr>
        <w:t>i</w:t>
      </w:r>
      <w:r w:rsidR="00CD2266">
        <w:rPr>
          <w:color w:val="000000" w:themeColor="text1"/>
        </w:rPr>
        <w:t> </w:t>
      </w:r>
      <w:r w:rsidRPr="001C3EC8">
        <w:rPr>
          <w:color w:val="000000" w:themeColor="text1"/>
        </w:rPr>
        <w:t xml:space="preserve">vyřízených věcí. Počet věcí příchozích ale klesl více, což vyústilo v pokles v počtu nevyřízených věcí. Od roku 2011 klesl počet nevyřízených věcí téměř na třetinu (44 618 na 13 837, to je pokles takřka </w:t>
      </w:r>
      <w:r w:rsidR="00CD2266" w:rsidRPr="001C3EC8">
        <w:rPr>
          <w:color w:val="000000" w:themeColor="text1"/>
        </w:rPr>
        <w:t>o</w:t>
      </w:r>
      <w:r w:rsidR="00CD2266">
        <w:rPr>
          <w:color w:val="000000" w:themeColor="text1"/>
        </w:rPr>
        <w:t> </w:t>
      </w:r>
      <w:r w:rsidRPr="001C3EC8">
        <w:rPr>
          <w:color w:val="000000" w:themeColor="text1"/>
        </w:rPr>
        <w:t xml:space="preserve">70 %). V tom samozřejmě hraje velkou roli </w:t>
      </w:r>
      <w:r w:rsidR="00CD2266" w:rsidRPr="001C3EC8">
        <w:rPr>
          <w:color w:val="000000" w:themeColor="text1"/>
        </w:rPr>
        <w:t>i</w:t>
      </w:r>
      <w:r w:rsidR="00CD2266">
        <w:rPr>
          <w:color w:val="000000" w:themeColor="text1"/>
        </w:rPr>
        <w:t> </w:t>
      </w:r>
      <w:r w:rsidRPr="001C3EC8">
        <w:rPr>
          <w:color w:val="000000" w:themeColor="text1"/>
        </w:rPr>
        <w:t xml:space="preserve">převod vybrané agendy na OS. V roce 2020 došlo k dalšímu velkému poklesu v počtu nevyřízených věcí, markantní je především </w:t>
      </w:r>
      <w:r w:rsidR="00CD2266" w:rsidRPr="001C3EC8">
        <w:rPr>
          <w:color w:val="000000" w:themeColor="text1"/>
        </w:rPr>
        <w:lastRenderedPageBreak/>
        <w:t>u</w:t>
      </w:r>
      <w:r w:rsidR="00CD2266">
        <w:rPr>
          <w:color w:val="000000" w:themeColor="text1"/>
        </w:rPr>
        <w:t> </w:t>
      </w:r>
      <w:r w:rsidRPr="001C3EC8">
        <w:rPr>
          <w:color w:val="000000" w:themeColor="text1"/>
        </w:rPr>
        <w:t xml:space="preserve">KS v Ústí nad Labem </w:t>
      </w:r>
      <w:r w:rsidR="00CD2266" w:rsidRPr="001C3EC8">
        <w:rPr>
          <w:color w:val="000000" w:themeColor="text1"/>
        </w:rPr>
        <w:t>a</w:t>
      </w:r>
      <w:r w:rsidR="00CD2266">
        <w:rPr>
          <w:color w:val="000000" w:themeColor="text1"/>
        </w:rPr>
        <w:t> </w:t>
      </w:r>
      <w:r w:rsidRPr="001C3EC8">
        <w:rPr>
          <w:color w:val="000000" w:themeColor="text1"/>
        </w:rPr>
        <w:t>KS v Plzni. Oba soudy vykázal</w:t>
      </w:r>
      <w:r w:rsidR="00213A42" w:rsidRPr="001C3EC8">
        <w:rPr>
          <w:color w:val="000000" w:themeColor="text1"/>
        </w:rPr>
        <w:t>y</w:t>
      </w:r>
      <w:r w:rsidRPr="001C3EC8">
        <w:rPr>
          <w:color w:val="000000" w:themeColor="text1"/>
        </w:rPr>
        <w:t xml:space="preserve"> velmi vysokou míru vyřizování (188</w:t>
      </w:r>
      <w:r w:rsidR="00CD2266">
        <w:rPr>
          <w:color w:val="000000" w:themeColor="text1"/>
        </w:rPr>
        <w:t> </w:t>
      </w:r>
      <w:r w:rsidRPr="001C3EC8">
        <w:rPr>
          <w:color w:val="000000" w:themeColor="text1"/>
        </w:rPr>
        <w:t xml:space="preserve">% </w:t>
      </w:r>
      <w:r w:rsidR="00CD2266" w:rsidRPr="001C3EC8">
        <w:rPr>
          <w:color w:val="000000" w:themeColor="text1"/>
        </w:rPr>
        <w:t>a</w:t>
      </w:r>
      <w:r w:rsidR="00CD2266">
        <w:rPr>
          <w:color w:val="000000" w:themeColor="text1"/>
        </w:rPr>
        <w:t> </w:t>
      </w:r>
      <w:r w:rsidRPr="001C3EC8">
        <w:rPr>
          <w:color w:val="000000" w:themeColor="text1"/>
        </w:rPr>
        <w:t>165</w:t>
      </w:r>
      <w:r w:rsidR="00CD2266">
        <w:rPr>
          <w:color w:val="000000" w:themeColor="text1"/>
        </w:rPr>
        <w:t> </w:t>
      </w:r>
      <w:r w:rsidRPr="001C3EC8">
        <w:rPr>
          <w:color w:val="000000" w:themeColor="text1"/>
        </w:rPr>
        <w:t>%).</w:t>
      </w:r>
    </w:p>
    <w:p w14:paraId="732C8FAE" w14:textId="2D61E4CB" w:rsidR="008430BD" w:rsidRPr="001C3EC8" w:rsidRDefault="008430BD" w:rsidP="008430BD">
      <w:pPr>
        <w:pStyle w:val="OdstavecASR"/>
        <w:numPr>
          <w:ilvl w:val="0"/>
          <w:numId w:val="15"/>
        </w:numPr>
        <w:rPr>
          <w:color w:val="000000" w:themeColor="text1"/>
        </w:rPr>
      </w:pPr>
      <w:r w:rsidRPr="001C3EC8">
        <w:rPr>
          <w:color w:val="000000" w:themeColor="text1"/>
        </w:rPr>
        <w:t>Počty déle nevyřízených věcí (přes 3 roky, přes 5 let či přes 7 let) v posledních letech klesají</w:t>
      </w:r>
      <w:r w:rsidR="00C30FE4" w:rsidRPr="001C3EC8">
        <w:rPr>
          <w:color w:val="000000" w:themeColor="text1"/>
        </w:rPr>
        <w:t>.</w:t>
      </w:r>
      <w:r w:rsidRPr="001C3EC8">
        <w:rPr>
          <w:color w:val="000000" w:themeColor="text1"/>
        </w:rPr>
        <w:t xml:space="preserve"> To také samozřejmě může ovlivnit vykázanou délku řízení.</w:t>
      </w:r>
    </w:p>
    <w:p w14:paraId="0F90EB25" w14:textId="111BB106" w:rsidR="008430BD" w:rsidRPr="001C3EC8" w:rsidRDefault="008430BD" w:rsidP="00A46239">
      <w:pPr>
        <w:pStyle w:val="OdstavecASR"/>
        <w:numPr>
          <w:ilvl w:val="0"/>
          <w:numId w:val="15"/>
        </w:numPr>
        <w:rPr>
          <w:color w:val="000000" w:themeColor="text1"/>
        </w:rPr>
      </w:pPr>
      <w:r w:rsidRPr="001C3EC8">
        <w:rPr>
          <w:color w:val="000000" w:themeColor="text1"/>
        </w:rPr>
        <w:t xml:space="preserve">Především je však velká část věcí přerušena z důvodu </w:t>
      </w:r>
      <w:r w:rsidR="00A46239" w:rsidRPr="001C3EC8">
        <w:rPr>
          <w:color w:val="000000" w:themeColor="text1"/>
        </w:rPr>
        <w:t xml:space="preserve">rozhodnutí </w:t>
      </w:r>
      <w:r w:rsidR="00CD2266" w:rsidRPr="001C3EC8">
        <w:rPr>
          <w:color w:val="000000" w:themeColor="text1"/>
        </w:rPr>
        <w:t>o</w:t>
      </w:r>
      <w:r w:rsidR="00CD2266">
        <w:rPr>
          <w:color w:val="000000" w:themeColor="text1"/>
        </w:rPr>
        <w:t> </w:t>
      </w:r>
      <w:r w:rsidR="00A46239" w:rsidRPr="001C3EC8">
        <w:rPr>
          <w:color w:val="000000" w:themeColor="text1"/>
        </w:rPr>
        <w:t xml:space="preserve">úpadku </w:t>
      </w:r>
      <w:r w:rsidR="00076009" w:rsidRPr="001C3EC8">
        <w:rPr>
          <w:color w:val="000000" w:themeColor="text1"/>
        </w:rPr>
        <w:t>či konkursu a d</w:t>
      </w:r>
      <w:r w:rsidRPr="001C3EC8">
        <w:rPr>
          <w:color w:val="000000" w:themeColor="text1"/>
        </w:rPr>
        <w:t>o vykazované délky řízení se však tato doba promítne. Data ze statistických listů bohužel neumožňují očištění o tuto dobu nebo o řízení, která byla takto přerušena. Můžeme alespoň odhadnout, jak velký vliv takové věci mají. Například data z výkazů ukazují, že k 31.</w:t>
      </w:r>
      <w:r w:rsidR="001F7A18" w:rsidRPr="001C3EC8">
        <w:rPr>
          <w:color w:val="000000" w:themeColor="text1"/>
        </w:rPr>
        <w:t> </w:t>
      </w:r>
      <w:r w:rsidRPr="001C3EC8">
        <w:rPr>
          <w:color w:val="000000" w:themeColor="text1"/>
        </w:rPr>
        <w:t>12.</w:t>
      </w:r>
      <w:r w:rsidR="001F7A18" w:rsidRPr="001C3EC8">
        <w:rPr>
          <w:color w:val="000000" w:themeColor="text1"/>
        </w:rPr>
        <w:t> </w:t>
      </w:r>
      <w:r w:rsidRPr="001C3EC8">
        <w:rPr>
          <w:color w:val="000000" w:themeColor="text1"/>
        </w:rPr>
        <w:t xml:space="preserve">2016 bylo v rejstříku Cm nevyřízeno déle než 5 let 5 214 věcí. Z toho bylo z důvodu </w:t>
      </w:r>
      <w:r w:rsidR="00A46239" w:rsidRPr="001C3EC8">
        <w:rPr>
          <w:color w:val="000000" w:themeColor="text1"/>
        </w:rPr>
        <w:t xml:space="preserve">rozhodnutí </w:t>
      </w:r>
      <w:r w:rsidR="00CD2266" w:rsidRPr="001C3EC8">
        <w:rPr>
          <w:color w:val="000000" w:themeColor="text1"/>
        </w:rPr>
        <w:t>o</w:t>
      </w:r>
      <w:r w:rsidR="00CD2266">
        <w:rPr>
          <w:color w:val="000000" w:themeColor="text1"/>
        </w:rPr>
        <w:t> </w:t>
      </w:r>
      <w:r w:rsidR="00A46239" w:rsidRPr="001C3EC8">
        <w:rPr>
          <w:color w:val="000000" w:themeColor="text1"/>
        </w:rPr>
        <w:t>úpadku</w:t>
      </w:r>
      <w:r w:rsidRPr="001C3EC8">
        <w:rPr>
          <w:color w:val="000000" w:themeColor="text1"/>
        </w:rPr>
        <w:t>/</w:t>
      </w:r>
      <w:r w:rsidR="00A46239" w:rsidRPr="001C3EC8">
        <w:rPr>
          <w:color w:val="000000" w:themeColor="text1"/>
        </w:rPr>
        <w:t xml:space="preserve">prohlášení </w:t>
      </w:r>
      <w:r w:rsidRPr="001C3EC8">
        <w:rPr>
          <w:color w:val="000000" w:themeColor="text1"/>
        </w:rPr>
        <w:t>konkursu přerušeno 3 614 věcí, tedy asi 69 %. Tyto věci se samozřejmě nakonec objeví ve statistických listech a výrazně ovlivní délku řízení. Velká část z nich pak ale nevypovídá o fungování soudu.</w:t>
      </w:r>
    </w:p>
    <w:p w14:paraId="45999154" w14:textId="77777777" w:rsidR="008430BD" w:rsidRPr="001C3EC8" w:rsidRDefault="008430BD" w:rsidP="008430BD">
      <w:pPr>
        <w:pStyle w:val="Nadpis3"/>
        <w:numPr>
          <w:ilvl w:val="2"/>
          <w:numId w:val="1"/>
        </w:numPr>
        <w:rPr>
          <w:color w:val="000000" w:themeColor="text1"/>
        </w:rPr>
      </w:pPr>
      <w:bookmarkStart w:id="419" w:name="_Toc515871250"/>
      <w:bookmarkStart w:id="420" w:name="_Toc75952088"/>
      <w:r w:rsidRPr="001C3EC8">
        <w:rPr>
          <w:color w:val="000000" w:themeColor="text1"/>
        </w:rPr>
        <w:t>Vyřizování věcí</w:t>
      </w:r>
      <w:bookmarkEnd w:id="419"/>
      <w:bookmarkEnd w:id="420"/>
    </w:p>
    <w:p w14:paraId="2F6927C5" w14:textId="77777777" w:rsidR="008430BD" w:rsidRPr="001C3EC8" w:rsidRDefault="008430BD" w:rsidP="008430BD">
      <w:pPr>
        <w:pStyle w:val="OdstavecASR"/>
        <w:rPr>
          <w:color w:val="000000" w:themeColor="text1"/>
        </w:rPr>
      </w:pPr>
      <w:r w:rsidRPr="001C3EC8">
        <w:rPr>
          <w:color w:val="000000" w:themeColor="text1"/>
        </w:rPr>
        <w:t>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vykazuje v posledních letech zjevný klesající trend. Klesající trend se zastavil až v roce 2017, kdy se počet příchozích věcí oproti roku 2016 zvýšil. V letech 2018 až 2020 opět došlo k poklesu.</w:t>
      </w:r>
    </w:p>
    <w:p w14:paraId="70278BC0" w14:textId="4AA01F38" w:rsidR="008430BD" w:rsidRPr="001C3EC8" w:rsidRDefault="008430BD" w:rsidP="008430BD">
      <w:pPr>
        <w:pStyle w:val="OdstavecASR"/>
        <w:rPr>
          <w:color w:val="000000" w:themeColor="text1"/>
        </w:rPr>
      </w:pPr>
      <w:r w:rsidRPr="001C3EC8">
        <w:rPr>
          <w:color w:val="000000" w:themeColor="text1"/>
        </w:rPr>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 v roce 2014 (v návaznosti na o. z. se změnila věcná příslušnost těchto řízení). Graf 5</w:t>
      </w:r>
      <w:r w:rsidR="00213A42" w:rsidRPr="001C3EC8">
        <w:rPr>
          <w:color w:val="000000" w:themeColor="text1"/>
        </w:rPr>
        <w:t>5</w:t>
      </w:r>
      <w:r w:rsidRPr="001C3EC8">
        <w:rPr>
          <w:color w:val="000000" w:themeColor="text1"/>
        </w:rPr>
        <w:t xml:space="preserve"> zobrazuje vývoj v počtu příchozích, vyřízených a nevyřízených věcí. Z grafu vyplývají především dvě věci:</w:t>
      </w:r>
    </w:p>
    <w:p w14:paraId="38294720" w14:textId="77777777" w:rsidR="008430BD" w:rsidRPr="001C3EC8" w:rsidRDefault="008430BD" w:rsidP="008430BD">
      <w:pPr>
        <w:pStyle w:val="OdstavecASR"/>
        <w:numPr>
          <w:ilvl w:val="0"/>
          <w:numId w:val="15"/>
        </w:numPr>
        <w:rPr>
          <w:color w:val="000000" w:themeColor="text1"/>
        </w:rPr>
      </w:pPr>
      <w:r w:rsidRPr="001C3EC8">
        <w:rPr>
          <w:color w:val="000000" w:themeColor="text1"/>
        </w:rPr>
        <w:t>Naprostou většinu prvostupňové občanskoprávní a obchodněprávní agendy tvoří rejstřík Cm, tedy obchodněprávní spory.</w:t>
      </w:r>
    </w:p>
    <w:p w14:paraId="229A7290" w14:textId="35658093" w:rsidR="008430BD" w:rsidRPr="001C3EC8" w:rsidRDefault="008430BD" w:rsidP="008430BD">
      <w:pPr>
        <w:pStyle w:val="OdstavecASR"/>
        <w:numPr>
          <w:ilvl w:val="0"/>
          <w:numId w:val="15"/>
        </w:numPr>
        <w:rPr>
          <w:color w:val="000000" w:themeColor="text1"/>
        </w:rPr>
      </w:pPr>
      <w:r w:rsidRPr="001C3EC8">
        <w:rPr>
          <w:color w:val="000000" w:themeColor="text1"/>
        </w:rPr>
        <w:t xml:space="preserve">Výše zmíněný převod obchodněprávní agendy na okresní soudy hrál velkou roli. Pokles v příchozích věcech byl ale očividně způsoben i dalšími faktory. K poklesu došlo i v jiných letech než jen mezi roky 2013 a 2014 </w:t>
      </w:r>
      <w:r w:rsidR="00CD2266" w:rsidRPr="001C3EC8">
        <w:rPr>
          <w:color w:val="000000" w:themeColor="text1"/>
        </w:rPr>
        <w:t>a</w:t>
      </w:r>
      <w:r w:rsidR="00CD2266">
        <w:rPr>
          <w:color w:val="000000" w:themeColor="text1"/>
        </w:rPr>
        <w:t> </w:t>
      </w:r>
      <w:r w:rsidRPr="001C3EC8">
        <w:rPr>
          <w:color w:val="000000" w:themeColor="text1"/>
        </w:rPr>
        <w:t>pokles dále pokračuje.</w:t>
      </w:r>
    </w:p>
    <w:p w14:paraId="1A29D349" w14:textId="77777777" w:rsidR="008430BD" w:rsidRPr="001C3EC8" w:rsidRDefault="008430BD" w:rsidP="008430BD">
      <w:pPr>
        <w:rPr>
          <w:color w:val="000000" w:themeColor="text1"/>
        </w:rPr>
      </w:pPr>
    </w:p>
    <w:p w14:paraId="519B4A3F" w14:textId="64040E0F" w:rsidR="008430BD" w:rsidRPr="001C3EC8" w:rsidRDefault="008430BD" w:rsidP="008430BD">
      <w:pPr>
        <w:pStyle w:val="Podnadpis"/>
        <w:rPr>
          <w:color w:val="000000" w:themeColor="text1"/>
        </w:rPr>
      </w:pPr>
      <w:bookmarkStart w:id="421" w:name="_Toc515871382"/>
      <w:bookmarkStart w:id="422" w:name="_Toc11135113"/>
      <w:bookmarkStart w:id="423" w:name="_Toc43841432"/>
      <w:bookmarkStart w:id="424" w:name="_Toc75952235"/>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55</w:t>
      </w:r>
      <w:r w:rsidRPr="001C3EC8">
        <w:rPr>
          <w:color w:val="000000" w:themeColor="text1"/>
        </w:rPr>
        <w:fldChar w:fldCharType="end"/>
      </w:r>
      <w:r w:rsidRPr="001C3EC8">
        <w:rPr>
          <w:color w:val="000000" w:themeColor="text1"/>
        </w:rPr>
        <w:t>: KS – vyřizování prvostupňových civilních věcí v letech 2008–</w:t>
      </w:r>
      <w:bookmarkEnd w:id="421"/>
      <w:bookmarkEnd w:id="422"/>
      <w:r w:rsidRPr="001C3EC8">
        <w:rPr>
          <w:color w:val="000000" w:themeColor="text1"/>
        </w:rPr>
        <w:t>20</w:t>
      </w:r>
      <w:bookmarkEnd w:id="423"/>
      <w:r w:rsidRPr="001C3EC8">
        <w:rPr>
          <w:color w:val="000000" w:themeColor="text1"/>
        </w:rPr>
        <w:t>20</w:t>
      </w:r>
      <w:bookmarkEnd w:id="424"/>
    </w:p>
    <w:p w14:paraId="4D7C2B9A"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57BA2F44" wp14:editId="1CB424E3">
            <wp:extent cx="5114925" cy="3743325"/>
            <wp:effectExtent l="0" t="0" r="0" b="952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FA18F2F" w14:textId="77777777" w:rsidR="008430BD" w:rsidRPr="001C3EC8" w:rsidRDefault="008430BD" w:rsidP="008430BD">
      <w:pPr>
        <w:pStyle w:val="Podnadpis"/>
        <w:rPr>
          <w:color w:val="000000" w:themeColor="text1"/>
        </w:rPr>
      </w:pPr>
      <w:bookmarkStart w:id="425" w:name="_Ref511293259"/>
      <w:bookmarkStart w:id="426" w:name="_Toc515871383"/>
      <w:bookmarkStart w:id="427" w:name="_Toc11135114"/>
      <w:bookmarkStart w:id="428" w:name="_Toc43841433"/>
    </w:p>
    <w:p w14:paraId="63FEC88D" w14:textId="19402978" w:rsidR="008430BD" w:rsidRPr="001C3EC8" w:rsidRDefault="008430BD" w:rsidP="008430BD">
      <w:pPr>
        <w:pStyle w:val="Podnadpis"/>
        <w:rPr>
          <w:color w:val="000000" w:themeColor="text1"/>
        </w:rPr>
      </w:pPr>
      <w:bookmarkStart w:id="429" w:name="_Toc75952236"/>
      <w:r w:rsidRPr="001C3EC8">
        <w:rPr>
          <w:color w:val="000000" w:themeColor="text1"/>
        </w:rPr>
        <w:t xml:space="preserve">Graf </w:t>
      </w:r>
      <w:r w:rsidRPr="001C3EC8">
        <w:rPr>
          <w:color w:val="000000" w:themeColor="text1"/>
        </w:rPr>
        <w:fldChar w:fldCharType="begin"/>
      </w:r>
      <w:r w:rsidRPr="001C3EC8">
        <w:rPr>
          <w:noProof/>
          <w:color w:val="000000" w:themeColor="text1"/>
        </w:rPr>
        <w:instrText xml:space="preserve"> SEQ Graf \* ARABIC </w:instrText>
      </w:r>
      <w:r w:rsidRPr="001C3EC8">
        <w:rPr>
          <w:color w:val="000000" w:themeColor="text1"/>
        </w:rPr>
        <w:fldChar w:fldCharType="separate"/>
      </w:r>
      <w:r w:rsidR="009C575D">
        <w:rPr>
          <w:noProof/>
          <w:color w:val="000000" w:themeColor="text1"/>
        </w:rPr>
        <w:t>56</w:t>
      </w:r>
      <w:r w:rsidRPr="001C3EC8">
        <w:rPr>
          <w:color w:val="000000" w:themeColor="text1"/>
        </w:rPr>
        <w:fldChar w:fldCharType="end"/>
      </w:r>
      <w:bookmarkEnd w:id="425"/>
      <w:r w:rsidRPr="001C3EC8">
        <w:rPr>
          <w:color w:val="000000" w:themeColor="text1"/>
        </w:rPr>
        <w:t>: KS – vyřizování věcí v letech 2008–2020, pouze rejstřík Cm</w:t>
      </w:r>
      <w:bookmarkEnd w:id="426"/>
      <w:bookmarkEnd w:id="427"/>
      <w:bookmarkEnd w:id="428"/>
      <w:bookmarkEnd w:id="429"/>
    </w:p>
    <w:p w14:paraId="4060B831"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45F7E27E" wp14:editId="51B8E74B">
            <wp:extent cx="5114925" cy="3743325"/>
            <wp:effectExtent l="0" t="0" r="0" b="9525"/>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9870A03" w14:textId="77777777" w:rsidR="008430BD" w:rsidRPr="001C3EC8" w:rsidRDefault="008430BD" w:rsidP="008430BD">
      <w:pPr>
        <w:rPr>
          <w:color w:val="000000" w:themeColor="text1"/>
        </w:rPr>
      </w:pPr>
    </w:p>
    <w:p w14:paraId="2C98099B" w14:textId="77777777" w:rsidR="008430BD" w:rsidRPr="001C3EC8" w:rsidRDefault="008430BD" w:rsidP="008430BD">
      <w:pPr>
        <w:spacing w:line="240" w:lineRule="auto"/>
        <w:jc w:val="left"/>
        <w:rPr>
          <w:rFonts w:eastAsia="Times New Roman"/>
          <w:b/>
          <w:iCs/>
          <w:color w:val="000000" w:themeColor="text1"/>
          <w:spacing w:val="15"/>
          <w:szCs w:val="24"/>
        </w:rPr>
      </w:pPr>
      <w:bookmarkStart w:id="430" w:name="_Toc515871469"/>
      <w:bookmarkStart w:id="431" w:name="_Toc11133236"/>
      <w:bookmarkStart w:id="432" w:name="_Toc43931214"/>
      <w:r w:rsidRPr="001C3EC8">
        <w:rPr>
          <w:color w:val="000000" w:themeColor="text1"/>
        </w:rPr>
        <w:br w:type="page"/>
      </w:r>
    </w:p>
    <w:p w14:paraId="5FB54417" w14:textId="77C59EEF" w:rsidR="008430BD" w:rsidRPr="001C3EC8" w:rsidRDefault="008430BD" w:rsidP="008430BD">
      <w:pPr>
        <w:pStyle w:val="Podnadpis"/>
        <w:rPr>
          <w:color w:val="000000" w:themeColor="text1"/>
        </w:rPr>
      </w:pPr>
      <w:bookmarkStart w:id="433" w:name="_Toc75952347"/>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44</w:t>
      </w:r>
      <w:r w:rsidRPr="001C3EC8">
        <w:rPr>
          <w:color w:val="000000" w:themeColor="text1"/>
        </w:rPr>
        <w:fldChar w:fldCharType="end"/>
      </w:r>
      <w:r w:rsidRPr="001C3EC8">
        <w:rPr>
          <w:color w:val="000000" w:themeColor="text1"/>
        </w:rPr>
        <w:t>: KS – vyřizování prvostupňových civilních věcí dle soudů</w:t>
      </w:r>
      <w:bookmarkEnd w:id="430"/>
      <w:bookmarkEnd w:id="431"/>
      <w:bookmarkEnd w:id="432"/>
      <w:bookmarkEnd w:id="433"/>
    </w:p>
    <w:tbl>
      <w:tblPr>
        <w:tblW w:w="9051" w:type="dxa"/>
        <w:tblCellMar>
          <w:left w:w="70" w:type="dxa"/>
          <w:right w:w="70" w:type="dxa"/>
        </w:tblCellMar>
        <w:tblLook w:val="04A0" w:firstRow="1" w:lastRow="0" w:firstColumn="1" w:lastColumn="0" w:noHBand="0" w:noVBand="1"/>
      </w:tblPr>
      <w:tblGrid>
        <w:gridCol w:w="2020"/>
        <w:gridCol w:w="957"/>
        <w:gridCol w:w="1050"/>
        <w:gridCol w:w="935"/>
        <w:gridCol w:w="850"/>
        <w:gridCol w:w="851"/>
        <w:gridCol w:w="850"/>
        <w:gridCol w:w="1538"/>
      </w:tblGrid>
      <w:tr w:rsidR="008430BD" w:rsidRPr="001C3EC8" w14:paraId="3B73FA09" w14:textId="77777777" w:rsidTr="00F66F3C">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8021CD1" w14:textId="33222D03"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493" w:type="dxa"/>
            <w:gridSpan w:val="6"/>
            <w:tcBorders>
              <w:top w:val="double" w:sz="6" w:space="0" w:color="auto"/>
              <w:left w:val="nil"/>
              <w:bottom w:val="nil"/>
              <w:right w:val="single" w:sz="4" w:space="0" w:color="000000"/>
            </w:tcBorders>
            <w:shd w:val="clear" w:color="auto" w:fill="auto"/>
            <w:noWrap/>
            <w:vAlign w:val="center"/>
            <w:hideMark/>
          </w:tcPr>
          <w:p w14:paraId="14185E7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38" w:type="dxa"/>
            <w:vMerge w:val="restart"/>
            <w:tcBorders>
              <w:top w:val="double" w:sz="6" w:space="0" w:color="auto"/>
              <w:left w:val="nil"/>
              <w:bottom w:val="double" w:sz="6" w:space="0" w:color="000000"/>
              <w:right w:val="nil"/>
            </w:tcBorders>
            <w:shd w:val="clear" w:color="auto" w:fill="auto"/>
            <w:vAlign w:val="center"/>
            <w:hideMark/>
          </w:tcPr>
          <w:p w14:paraId="05EBA05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52DCFA83" w14:textId="77777777" w:rsidTr="00F66F3C">
        <w:trPr>
          <w:trHeight w:val="330"/>
        </w:trPr>
        <w:tc>
          <w:tcPr>
            <w:tcW w:w="2020" w:type="dxa"/>
            <w:vMerge/>
            <w:tcBorders>
              <w:top w:val="double" w:sz="6" w:space="0" w:color="auto"/>
              <w:left w:val="nil"/>
              <w:bottom w:val="double" w:sz="6" w:space="0" w:color="000000"/>
              <w:right w:val="nil"/>
            </w:tcBorders>
            <w:vAlign w:val="center"/>
            <w:hideMark/>
          </w:tcPr>
          <w:p w14:paraId="6B4BF479"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2007" w:type="dxa"/>
            <w:gridSpan w:val="2"/>
            <w:tcBorders>
              <w:top w:val="nil"/>
              <w:left w:val="nil"/>
              <w:bottom w:val="double" w:sz="6" w:space="0" w:color="auto"/>
              <w:right w:val="nil"/>
            </w:tcBorders>
            <w:shd w:val="clear" w:color="auto" w:fill="auto"/>
            <w:noWrap/>
            <w:vAlign w:val="center"/>
            <w:hideMark/>
          </w:tcPr>
          <w:p w14:paraId="5BEEB18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7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F1E682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701" w:type="dxa"/>
            <w:gridSpan w:val="2"/>
            <w:tcBorders>
              <w:top w:val="nil"/>
              <w:left w:val="nil"/>
              <w:bottom w:val="double" w:sz="6" w:space="0" w:color="auto"/>
              <w:right w:val="single" w:sz="4" w:space="0" w:color="000000"/>
            </w:tcBorders>
            <w:shd w:val="clear" w:color="auto" w:fill="auto"/>
            <w:noWrap/>
            <w:vAlign w:val="center"/>
            <w:hideMark/>
          </w:tcPr>
          <w:p w14:paraId="7C8DA82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38" w:type="dxa"/>
            <w:vMerge/>
            <w:tcBorders>
              <w:top w:val="double" w:sz="6" w:space="0" w:color="auto"/>
              <w:left w:val="nil"/>
              <w:bottom w:val="double" w:sz="6" w:space="0" w:color="000000"/>
              <w:right w:val="nil"/>
            </w:tcBorders>
            <w:vAlign w:val="center"/>
            <w:hideMark/>
          </w:tcPr>
          <w:p w14:paraId="6177FACA"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76F3B764"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283595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957" w:type="dxa"/>
            <w:tcBorders>
              <w:top w:val="single" w:sz="4" w:space="0" w:color="auto"/>
              <w:left w:val="nil"/>
              <w:bottom w:val="single" w:sz="4" w:space="0" w:color="auto"/>
              <w:right w:val="nil"/>
            </w:tcBorders>
            <w:shd w:val="clear" w:color="auto" w:fill="auto"/>
            <w:noWrap/>
            <w:vAlign w:val="bottom"/>
            <w:hideMark/>
          </w:tcPr>
          <w:p w14:paraId="040752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10 108</w:t>
            </w:r>
          </w:p>
        </w:tc>
        <w:tc>
          <w:tcPr>
            <w:tcW w:w="1050" w:type="dxa"/>
            <w:tcBorders>
              <w:top w:val="single" w:sz="4" w:space="0" w:color="auto"/>
              <w:left w:val="nil"/>
              <w:bottom w:val="single" w:sz="4" w:space="0" w:color="auto"/>
              <w:right w:val="nil"/>
            </w:tcBorders>
            <w:shd w:val="clear" w:color="auto" w:fill="auto"/>
            <w:noWrap/>
            <w:vAlign w:val="center"/>
            <w:hideMark/>
          </w:tcPr>
          <w:p w14:paraId="27E452DC" w14:textId="2B717F9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3</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935" w:type="dxa"/>
            <w:tcBorders>
              <w:top w:val="single" w:sz="4" w:space="0" w:color="auto"/>
              <w:left w:val="single" w:sz="4" w:space="0" w:color="auto"/>
              <w:bottom w:val="single" w:sz="4" w:space="0" w:color="auto"/>
              <w:right w:val="nil"/>
            </w:tcBorders>
            <w:shd w:val="clear" w:color="auto" w:fill="auto"/>
            <w:noWrap/>
            <w:vAlign w:val="bottom"/>
            <w:hideMark/>
          </w:tcPr>
          <w:p w14:paraId="7D4B95F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10 530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7C5A77F" w14:textId="445E840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6</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851" w:type="dxa"/>
            <w:tcBorders>
              <w:top w:val="single" w:sz="4" w:space="0" w:color="auto"/>
              <w:left w:val="nil"/>
              <w:bottom w:val="single" w:sz="4" w:space="0" w:color="auto"/>
              <w:right w:val="nil"/>
            </w:tcBorders>
            <w:shd w:val="clear" w:color="auto" w:fill="auto"/>
            <w:noWrap/>
            <w:vAlign w:val="bottom"/>
            <w:hideMark/>
          </w:tcPr>
          <w:p w14:paraId="54B7852F" w14:textId="0CE06BA9"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r>
              <w:rPr>
                <w:rFonts w:eastAsia="Times New Roman"/>
                <w:color w:val="000000" w:themeColor="text1"/>
                <w:szCs w:val="24"/>
                <w:lang w:eastAsia="cs-CZ"/>
              </w:rPr>
              <w:t> </w:t>
            </w:r>
            <w:r w:rsidR="008430BD" w:rsidRPr="001C3EC8">
              <w:rPr>
                <w:rFonts w:eastAsia="Times New Roman"/>
                <w:color w:val="000000" w:themeColor="text1"/>
                <w:szCs w:val="24"/>
                <w:lang w:eastAsia="cs-CZ"/>
              </w:rPr>
              <w:t>210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F7D31F2" w14:textId="3D88508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9</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20F1CA89" w14:textId="13D0FFD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w:t>
            </w:r>
            <w:r w:rsidR="00CD2266" w:rsidRPr="001C3EC8">
              <w:rPr>
                <w:rFonts w:eastAsia="Times New Roman"/>
                <w:color w:val="000000" w:themeColor="text1"/>
                <w:szCs w:val="24"/>
                <w:lang w:eastAsia="cs-CZ"/>
              </w:rPr>
              <w:t>2</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1194F658"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ECF7E6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957" w:type="dxa"/>
            <w:tcBorders>
              <w:top w:val="nil"/>
              <w:left w:val="nil"/>
              <w:bottom w:val="single" w:sz="4" w:space="0" w:color="auto"/>
              <w:right w:val="nil"/>
            </w:tcBorders>
            <w:shd w:val="clear" w:color="auto" w:fill="auto"/>
            <w:noWrap/>
            <w:vAlign w:val="bottom"/>
            <w:hideMark/>
          </w:tcPr>
          <w:p w14:paraId="7931E2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729</w:t>
            </w:r>
          </w:p>
        </w:tc>
        <w:tc>
          <w:tcPr>
            <w:tcW w:w="1050" w:type="dxa"/>
            <w:tcBorders>
              <w:top w:val="nil"/>
              <w:left w:val="nil"/>
              <w:bottom w:val="single" w:sz="4" w:space="0" w:color="auto"/>
              <w:right w:val="nil"/>
            </w:tcBorders>
            <w:shd w:val="clear" w:color="auto" w:fill="auto"/>
            <w:noWrap/>
            <w:vAlign w:val="center"/>
            <w:hideMark/>
          </w:tcPr>
          <w:p w14:paraId="09C1BC8C" w14:textId="3E625EC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6</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935" w:type="dxa"/>
            <w:tcBorders>
              <w:top w:val="nil"/>
              <w:left w:val="single" w:sz="4" w:space="0" w:color="auto"/>
              <w:bottom w:val="single" w:sz="4" w:space="0" w:color="auto"/>
              <w:right w:val="nil"/>
            </w:tcBorders>
            <w:shd w:val="clear" w:color="auto" w:fill="auto"/>
            <w:noWrap/>
            <w:vAlign w:val="bottom"/>
            <w:hideMark/>
          </w:tcPr>
          <w:p w14:paraId="686AED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843</w:t>
            </w:r>
          </w:p>
        </w:tc>
        <w:tc>
          <w:tcPr>
            <w:tcW w:w="850" w:type="dxa"/>
            <w:tcBorders>
              <w:top w:val="nil"/>
              <w:left w:val="nil"/>
              <w:bottom w:val="single" w:sz="4" w:space="0" w:color="auto"/>
              <w:right w:val="single" w:sz="4" w:space="0" w:color="auto"/>
            </w:tcBorders>
            <w:shd w:val="clear" w:color="auto" w:fill="auto"/>
            <w:noWrap/>
            <w:vAlign w:val="center"/>
            <w:hideMark/>
          </w:tcPr>
          <w:p w14:paraId="692F9CA3" w14:textId="3CE3342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0</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62991AC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490</w:t>
            </w:r>
          </w:p>
        </w:tc>
        <w:tc>
          <w:tcPr>
            <w:tcW w:w="850" w:type="dxa"/>
            <w:tcBorders>
              <w:top w:val="nil"/>
              <w:left w:val="nil"/>
              <w:bottom w:val="single" w:sz="4" w:space="0" w:color="auto"/>
              <w:right w:val="single" w:sz="4" w:space="0" w:color="auto"/>
            </w:tcBorders>
            <w:shd w:val="clear" w:color="auto" w:fill="auto"/>
            <w:noWrap/>
            <w:vAlign w:val="center"/>
            <w:hideMark/>
          </w:tcPr>
          <w:p w14:paraId="26A4AD38" w14:textId="5F45FFB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1695F2EC" w14:textId="0C67539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115,</w:t>
            </w:r>
            <w:r w:rsidR="00CD2266" w:rsidRPr="001C3EC8">
              <w:rPr>
                <w:rFonts w:eastAsia="Times New Roman"/>
                <w:color w:val="000000" w:themeColor="text1"/>
                <w:szCs w:val="24"/>
                <w:lang w:eastAsia="cs-CZ"/>
              </w:rPr>
              <w:t>6</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5808234A"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1ABB40B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957" w:type="dxa"/>
            <w:tcBorders>
              <w:top w:val="nil"/>
              <w:left w:val="nil"/>
              <w:bottom w:val="single" w:sz="4" w:space="0" w:color="auto"/>
              <w:right w:val="nil"/>
            </w:tcBorders>
            <w:shd w:val="clear" w:color="auto" w:fill="auto"/>
            <w:noWrap/>
            <w:vAlign w:val="bottom"/>
            <w:hideMark/>
          </w:tcPr>
          <w:p w14:paraId="1CADC5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427</w:t>
            </w:r>
          </w:p>
        </w:tc>
        <w:tc>
          <w:tcPr>
            <w:tcW w:w="1050" w:type="dxa"/>
            <w:tcBorders>
              <w:top w:val="nil"/>
              <w:left w:val="nil"/>
              <w:bottom w:val="single" w:sz="4" w:space="0" w:color="auto"/>
              <w:right w:val="nil"/>
            </w:tcBorders>
            <w:shd w:val="clear" w:color="auto" w:fill="auto"/>
            <w:noWrap/>
            <w:vAlign w:val="center"/>
            <w:hideMark/>
          </w:tcPr>
          <w:p w14:paraId="5179F679" w14:textId="49A8915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-36 </w:t>
            </w:r>
            <w:r w:rsidR="00B07E76">
              <w:rPr>
                <w:rFonts w:eastAsia="Times New Roman"/>
                <w:color w:val="000000" w:themeColor="text1"/>
                <w:sz w:val="20"/>
                <w:szCs w:val="20"/>
                <w:lang w:eastAsia="cs-CZ"/>
              </w:rPr>
              <w:t>%</w:t>
            </w:r>
          </w:p>
        </w:tc>
        <w:tc>
          <w:tcPr>
            <w:tcW w:w="935" w:type="dxa"/>
            <w:tcBorders>
              <w:top w:val="nil"/>
              <w:left w:val="single" w:sz="4" w:space="0" w:color="auto"/>
              <w:bottom w:val="single" w:sz="4" w:space="0" w:color="auto"/>
              <w:right w:val="nil"/>
            </w:tcBorders>
            <w:shd w:val="clear" w:color="auto" w:fill="auto"/>
            <w:noWrap/>
            <w:vAlign w:val="bottom"/>
            <w:hideMark/>
          </w:tcPr>
          <w:p w14:paraId="4EF170C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523</w:t>
            </w:r>
          </w:p>
        </w:tc>
        <w:tc>
          <w:tcPr>
            <w:tcW w:w="850" w:type="dxa"/>
            <w:tcBorders>
              <w:top w:val="nil"/>
              <w:left w:val="nil"/>
              <w:bottom w:val="single" w:sz="4" w:space="0" w:color="auto"/>
              <w:right w:val="single" w:sz="4" w:space="0" w:color="auto"/>
            </w:tcBorders>
            <w:shd w:val="clear" w:color="auto" w:fill="auto"/>
            <w:noWrap/>
            <w:vAlign w:val="center"/>
            <w:hideMark/>
          </w:tcPr>
          <w:p w14:paraId="1F813115" w14:textId="26F9357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3A44A67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359</w:t>
            </w:r>
          </w:p>
        </w:tc>
        <w:tc>
          <w:tcPr>
            <w:tcW w:w="850" w:type="dxa"/>
            <w:tcBorders>
              <w:top w:val="nil"/>
              <w:left w:val="nil"/>
              <w:bottom w:val="single" w:sz="4" w:space="0" w:color="auto"/>
              <w:right w:val="single" w:sz="4" w:space="0" w:color="auto"/>
            </w:tcBorders>
            <w:shd w:val="clear" w:color="auto" w:fill="auto"/>
            <w:noWrap/>
            <w:vAlign w:val="center"/>
            <w:hideMark/>
          </w:tcPr>
          <w:p w14:paraId="76B38AD5" w14:textId="435FCA9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60E1F886" w14:textId="48C84B2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w:t>
            </w:r>
            <w:r w:rsidR="00CD2266" w:rsidRPr="001C3EC8">
              <w:rPr>
                <w:rFonts w:eastAsia="Times New Roman"/>
                <w:color w:val="000000" w:themeColor="text1"/>
                <w:szCs w:val="24"/>
                <w:lang w:eastAsia="cs-CZ"/>
              </w:rPr>
              <w:t>5</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0012322E"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4B3EBC5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957" w:type="dxa"/>
            <w:tcBorders>
              <w:top w:val="nil"/>
              <w:left w:val="nil"/>
              <w:bottom w:val="single" w:sz="4" w:space="0" w:color="auto"/>
              <w:right w:val="nil"/>
            </w:tcBorders>
            <w:shd w:val="clear" w:color="auto" w:fill="auto"/>
            <w:noWrap/>
            <w:vAlign w:val="bottom"/>
            <w:hideMark/>
          </w:tcPr>
          <w:p w14:paraId="40CBB2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953</w:t>
            </w:r>
          </w:p>
        </w:tc>
        <w:tc>
          <w:tcPr>
            <w:tcW w:w="1050" w:type="dxa"/>
            <w:tcBorders>
              <w:top w:val="nil"/>
              <w:left w:val="nil"/>
              <w:bottom w:val="single" w:sz="4" w:space="0" w:color="auto"/>
              <w:right w:val="nil"/>
            </w:tcBorders>
            <w:shd w:val="clear" w:color="auto" w:fill="auto"/>
            <w:noWrap/>
            <w:vAlign w:val="center"/>
            <w:hideMark/>
          </w:tcPr>
          <w:p w14:paraId="6184920F" w14:textId="35A5F2E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-45 </w:t>
            </w:r>
            <w:r w:rsidR="00B07E76">
              <w:rPr>
                <w:rFonts w:eastAsia="Times New Roman"/>
                <w:color w:val="000000" w:themeColor="text1"/>
                <w:sz w:val="20"/>
                <w:szCs w:val="20"/>
                <w:lang w:eastAsia="cs-CZ"/>
              </w:rPr>
              <w:t>%</w:t>
            </w:r>
          </w:p>
        </w:tc>
        <w:tc>
          <w:tcPr>
            <w:tcW w:w="935" w:type="dxa"/>
            <w:tcBorders>
              <w:top w:val="nil"/>
              <w:left w:val="single" w:sz="4" w:space="0" w:color="auto"/>
              <w:bottom w:val="single" w:sz="4" w:space="0" w:color="auto"/>
              <w:right w:val="nil"/>
            </w:tcBorders>
            <w:shd w:val="clear" w:color="auto" w:fill="auto"/>
            <w:noWrap/>
            <w:vAlign w:val="bottom"/>
            <w:hideMark/>
          </w:tcPr>
          <w:p w14:paraId="35E431FA" w14:textId="3ABD3B34"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Pr>
                <w:rFonts w:eastAsia="Times New Roman"/>
                <w:color w:val="000000" w:themeColor="text1"/>
                <w:szCs w:val="24"/>
                <w:lang w:eastAsia="cs-CZ"/>
              </w:rPr>
              <w:t> </w:t>
            </w:r>
            <w:r w:rsidR="008430BD" w:rsidRPr="001C3EC8">
              <w:rPr>
                <w:rFonts w:eastAsia="Times New Roman"/>
                <w:color w:val="000000" w:themeColor="text1"/>
                <w:szCs w:val="24"/>
                <w:lang w:eastAsia="cs-CZ"/>
              </w:rPr>
              <w:t>576</w:t>
            </w:r>
          </w:p>
        </w:tc>
        <w:tc>
          <w:tcPr>
            <w:tcW w:w="850" w:type="dxa"/>
            <w:tcBorders>
              <w:top w:val="nil"/>
              <w:left w:val="nil"/>
              <w:bottom w:val="single" w:sz="4" w:space="0" w:color="auto"/>
              <w:right w:val="single" w:sz="4" w:space="0" w:color="auto"/>
            </w:tcBorders>
            <w:shd w:val="clear" w:color="auto" w:fill="auto"/>
            <w:noWrap/>
            <w:vAlign w:val="center"/>
            <w:hideMark/>
          </w:tcPr>
          <w:p w14:paraId="0E5E0636" w14:textId="20DA2C1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4820F68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636</w:t>
            </w:r>
          </w:p>
        </w:tc>
        <w:tc>
          <w:tcPr>
            <w:tcW w:w="850" w:type="dxa"/>
            <w:tcBorders>
              <w:top w:val="nil"/>
              <w:left w:val="nil"/>
              <w:bottom w:val="single" w:sz="4" w:space="0" w:color="auto"/>
              <w:right w:val="single" w:sz="4" w:space="0" w:color="auto"/>
            </w:tcBorders>
            <w:shd w:val="clear" w:color="auto" w:fill="auto"/>
            <w:noWrap/>
            <w:vAlign w:val="center"/>
            <w:hideMark/>
          </w:tcPr>
          <w:p w14:paraId="339F23CA" w14:textId="7A2211E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-49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7B2CC86F" w14:textId="48115D9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165,</w:t>
            </w:r>
            <w:r w:rsidR="00CD2266" w:rsidRPr="001C3EC8">
              <w:rPr>
                <w:rFonts w:eastAsia="Times New Roman"/>
                <w:color w:val="000000" w:themeColor="text1"/>
                <w:szCs w:val="24"/>
                <w:lang w:eastAsia="cs-CZ"/>
              </w:rPr>
              <w:t>4</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66CC91A9"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551BB8E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957" w:type="dxa"/>
            <w:tcBorders>
              <w:top w:val="nil"/>
              <w:left w:val="nil"/>
              <w:bottom w:val="single" w:sz="4" w:space="0" w:color="auto"/>
              <w:right w:val="nil"/>
            </w:tcBorders>
            <w:shd w:val="clear" w:color="auto" w:fill="auto"/>
            <w:noWrap/>
            <w:vAlign w:val="bottom"/>
            <w:hideMark/>
          </w:tcPr>
          <w:p w14:paraId="23910D26" w14:textId="79D199F7"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Pr>
                <w:rFonts w:eastAsia="Times New Roman"/>
                <w:color w:val="000000" w:themeColor="text1"/>
                <w:szCs w:val="24"/>
                <w:lang w:eastAsia="cs-CZ"/>
              </w:rPr>
              <w:t> </w:t>
            </w:r>
            <w:r w:rsidR="008430BD" w:rsidRPr="001C3EC8">
              <w:rPr>
                <w:rFonts w:eastAsia="Times New Roman"/>
                <w:color w:val="000000" w:themeColor="text1"/>
                <w:szCs w:val="24"/>
                <w:lang w:eastAsia="cs-CZ"/>
              </w:rPr>
              <w:t>054</w:t>
            </w:r>
          </w:p>
        </w:tc>
        <w:tc>
          <w:tcPr>
            <w:tcW w:w="1050" w:type="dxa"/>
            <w:tcBorders>
              <w:top w:val="nil"/>
              <w:left w:val="nil"/>
              <w:bottom w:val="single" w:sz="4" w:space="0" w:color="auto"/>
              <w:right w:val="nil"/>
            </w:tcBorders>
            <w:shd w:val="clear" w:color="auto" w:fill="auto"/>
            <w:noWrap/>
            <w:vAlign w:val="center"/>
            <w:hideMark/>
          </w:tcPr>
          <w:p w14:paraId="0EB237C2" w14:textId="1F757EC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935" w:type="dxa"/>
            <w:tcBorders>
              <w:top w:val="nil"/>
              <w:left w:val="single" w:sz="4" w:space="0" w:color="auto"/>
              <w:bottom w:val="single" w:sz="4" w:space="0" w:color="auto"/>
              <w:right w:val="nil"/>
            </w:tcBorders>
            <w:shd w:val="clear" w:color="auto" w:fill="auto"/>
            <w:noWrap/>
            <w:vAlign w:val="bottom"/>
            <w:hideMark/>
          </w:tcPr>
          <w:p w14:paraId="6611D5DB" w14:textId="0DBCB375"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Pr>
                <w:rFonts w:eastAsia="Times New Roman"/>
                <w:color w:val="000000" w:themeColor="text1"/>
                <w:szCs w:val="24"/>
                <w:lang w:eastAsia="cs-CZ"/>
              </w:rPr>
              <w:t> </w:t>
            </w:r>
            <w:r w:rsidR="008430BD" w:rsidRPr="001C3EC8">
              <w:rPr>
                <w:rFonts w:eastAsia="Times New Roman"/>
                <w:color w:val="000000" w:themeColor="text1"/>
                <w:szCs w:val="24"/>
                <w:lang w:eastAsia="cs-CZ"/>
              </w:rPr>
              <w:t>989</w:t>
            </w:r>
          </w:p>
        </w:tc>
        <w:tc>
          <w:tcPr>
            <w:tcW w:w="850" w:type="dxa"/>
            <w:tcBorders>
              <w:top w:val="nil"/>
              <w:left w:val="nil"/>
              <w:bottom w:val="single" w:sz="4" w:space="0" w:color="auto"/>
              <w:right w:val="single" w:sz="4" w:space="0" w:color="auto"/>
            </w:tcBorders>
            <w:shd w:val="clear" w:color="auto" w:fill="auto"/>
            <w:noWrap/>
            <w:vAlign w:val="center"/>
            <w:hideMark/>
          </w:tcPr>
          <w:p w14:paraId="55461E3B" w14:textId="513B48E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7E0297F2" w14:textId="6EEFC700"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Pr>
                <w:rFonts w:eastAsia="Times New Roman"/>
                <w:color w:val="000000" w:themeColor="text1"/>
                <w:szCs w:val="24"/>
                <w:lang w:eastAsia="cs-CZ"/>
              </w:rPr>
              <w:t> </w:t>
            </w:r>
            <w:r w:rsidR="008430BD" w:rsidRPr="001C3EC8">
              <w:rPr>
                <w:rFonts w:eastAsia="Times New Roman"/>
                <w:color w:val="000000" w:themeColor="text1"/>
                <w:szCs w:val="24"/>
                <w:lang w:eastAsia="cs-CZ"/>
              </w:rPr>
              <w:t>763</w:t>
            </w:r>
          </w:p>
        </w:tc>
        <w:tc>
          <w:tcPr>
            <w:tcW w:w="850" w:type="dxa"/>
            <w:tcBorders>
              <w:top w:val="nil"/>
              <w:left w:val="nil"/>
              <w:bottom w:val="single" w:sz="4" w:space="0" w:color="auto"/>
              <w:right w:val="single" w:sz="4" w:space="0" w:color="auto"/>
            </w:tcBorders>
            <w:shd w:val="clear" w:color="auto" w:fill="auto"/>
            <w:noWrap/>
            <w:vAlign w:val="center"/>
            <w:hideMark/>
          </w:tcPr>
          <w:p w14:paraId="448C08F0" w14:textId="6C86626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-35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4B3FB9ED" w14:textId="3548F66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188,</w:t>
            </w:r>
            <w:r w:rsidR="00CD2266" w:rsidRPr="001C3EC8">
              <w:rPr>
                <w:rFonts w:eastAsia="Times New Roman"/>
                <w:color w:val="000000" w:themeColor="text1"/>
                <w:szCs w:val="24"/>
                <w:lang w:eastAsia="cs-CZ"/>
              </w:rPr>
              <w:t>7</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69F7FFC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50FCF50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957" w:type="dxa"/>
            <w:tcBorders>
              <w:top w:val="nil"/>
              <w:left w:val="nil"/>
              <w:bottom w:val="single" w:sz="4" w:space="0" w:color="auto"/>
              <w:right w:val="nil"/>
            </w:tcBorders>
            <w:shd w:val="clear" w:color="auto" w:fill="auto"/>
            <w:noWrap/>
            <w:vAlign w:val="bottom"/>
            <w:hideMark/>
          </w:tcPr>
          <w:p w14:paraId="1352132C" w14:textId="18B425B0"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031</w:t>
            </w:r>
          </w:p>
        </w:tc>
        <w:tc>
          <w:tcPr>
            <w:tcW w:w="1050" w:type="dxa"/>
            <w:tcBorders>
              <w:top w:val="nil"/>
              <w:left w:val="nil"/>
              <w:bottom w:val="single" w:sz="4" w:space="0" w:color="auto"/>
              <w:right w:val="nil"/>
            </w:tcBorders>
            <w:shd w:val="clear" w:color="auto" w:fill="auto"/>
            <w:noWrap/>
            <w:vAlign w:val="center"/>
            <w:hideMark/>
          </w:tcPr>
          <w:p w14:paraId="4EB646D7" w14:textId="32F981E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1</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935" w:type="dxa"/>
            <w:tcBorders>
              <w:top w:val="nil"/>
              <w:left w:val="single" w:sz="4" w:space="0" w:color="auto"/>
              <w:bottom w:val="single" w:sz="4" w:space="0" w:color="auto"/>
              <w:right w:val="nil"/>
            </w:tcBorders>
            <w:shd w:val="clear" w:color="auto" w:fill="auto"/>
            <w:noWrap/>
            <w:vAlign w:val="bottom"/>
            <w:hideMark/>
          </w:tcPr>
          <w:p w14:paraId="41C8875D" w14:textId="1C1CD6EE"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Pr>
                <w:rFonts w:eastAsia="Times New Roman"/>
                <w:color w:val="000000" w:themeColor="text1"/>
                <w:szCs w:val="24"/>
                <w:lang w:eastAsia="cs-CZ"/>
              </w:rPr>
              <w:t> </w:t>
            </w:r>
            <w:r w:rsidR="008430BD" w:rsidRPr="001C3EC8">
              <w:rPr>
                <w:rFonts w:eastAsia="Times New Roman"/>
                <w:color w:val="000000" w:themeColor="text1"/>
                <w:szCs w:val="24"/>
                <w:lang w:eastAsia="cs-CZ"/>
              </w:rPr>
              <w:t>880</w:t>
            </w:r>
          </w:p>
        </w:tc>
        <w:tc>
          <w:tcPr>
            <w:tcW w:w="850" w:type="dxa"/>
            <w:tcBorders>
              <w:top w:val="nil"/>
              <w:left w:val="nil"/>
              <w:bottom w:val="single" w:sz="4" w:space="0" w:color="auto"/>
              <w:right w:val="single" w:sz="4" w:space="0" w:color="auto"/>
            </w:tcBorders>
            <w:shd w:val="clear" w:color="auto" w:fill="auto"/>
            <w:noWrap/>
            <w:vAlign w:val="center"/>
            <w:hideMark/>
          </w:tcPr>
          <w:p w14:paraId="44FDCBC8" w14:textId="1C753E2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577F9F0E" w14:textId="5F9D7090"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Pr>
                <w:rFonts w:eastAsia="Times New Roman"/>
                <w:color w:val="000000" w:themeColor="text1"/>
                <w:szCs w:val="24"/>
                <w:lang w:eastAsia="cs-CZ"/>
              </w:rPr>
              <w:t> </w:t>
            </w:r>
            <w:r w:rsidR="008430BD" w:rsidRPr="001C3EC8">
              <w:rPr>
                <w:rFonts w:eastAsia="Times New Roman"/>
                <w:color w:val="000000" w:themeColor="text1"/>
                <w:szCs w:val="24"/>
                <w:lang w:eastAsia="cs-CZ"/>
              </w:rPr>
              <w:t>041</w:t>
            </w:r>
          </w:p>
        </w:tc>
        <w:tc>
          <w:tcPr>
            <w:tcW w:w="850" w:type="dxa"/>
            <w:tcBorders>
              <w:top w:val="nil"/>
              <w:left w:val="nil"/>
              <w:bottom w:val="single" w:sz="4" w:space="0" w:color="auto"/>
              <w:right w:val="single" w:sz="4" w:space="0" w:color="auto"/>
            </w:tcBorders>
            <w:shd w:val="clear" w:color="auto" w:fill="auto"/>
            <w:noWrap/>
            <w:vAlign w:val="center"/>
            <w:hideMark/>
          </w:tcPr>
          <w:p w14:paraId="5605CF66" w14:textId="3CD58C7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37F26ACD" w14:textId="5D0C425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w:t>
            </w:r>
            <w:r w:rsidR="00CD2266" w:rsidRPr="001C3EC8">
              <w:rPr>
                <w:rFonts w:eastAsia="Times New Roman"/>
                <w:color w:val="000000" w:themeColor="text1"/>
                <w:szCs w:val="24"/>
                <w:lang w:eastAsia="cs-CZ"/>
              </w:rPr>
              <w:t>6</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427EE57A"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6A1C762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957" w:type="dxa"/>
            <w:tcBorders>
              <w:top w:val="nil"/>
              <w:left w:val="nil"/>
              <w:bottom w:val="single" w:sz="4" w:space="0" w:color="auto"/>
              <w:right w:val="nil"/>
            </w:tcBorders>
            <w:shd w:val="clear" w:color="auto" w:fill="auto"/>
            <w:noWrap/>
            <w:vAlign w:val="bottom"/>
            <w:hideMark/>
          </w:tcPr>
          <w:p w14:paraId="60EE39A5" w14:textId="73DD390F"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r>
              <w:rPr>
                <w:rFonts w:eastAsia="Times New Roman"/>
                <w:color w:val="000000" w:themeColor="text1"/>
                <w:szCs w:val="24"/>
                <w:lang w:eastAsia="cs-CZ"/>
              </w:rPr>
              <w:t> </w:t>
            </w:r>
            <w:r w:rsidR="008430BD" w:rsidRPr="001C3EC8">
              <w:rPr>
                <w:rFonts w:eastAsia="Times New Roman"/>
                <w:color w:val="000000" w:themeColor="text1"/>
                <w:szCs w:val="24"/>
                <w:lang w:eastAsia="cs-CZ"/>
              </w:rPr>
              <w:t>158</w:t>
            </w:r>
          </w:p>
        </w:tc>
        <w:tc>
          <w:tcPr>
            <w:tcW w:w="1050" w:type="dxa"/>
            <w:tcBorders>
              <w:top w:val="nil"/>
              <w:left w:val="nil"/>
              <w:bottom w:val="single" w:sz="4" w:space="0" w:color="auto"/>
              <w:right w:val="nil"/>
            </w:tcBorders>
            <w:shd w:val="clear" w:color="auto" w:fill="auto"/>
            <w:noWrap/>
            <w:vAlign w:val="center"/>
            <w:hideMark/>
          </w:tcPr>
          <w:p w14:paraId="2E26499B" w14:textId="7BE426F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935" w:type="dxa"/>
            <w:tcBorders>
              <w:top w:val="nil"/>
              <w:left w:val="single" w:sz="4" w:space="0" w:color="auto"/>
              <w:bottom w:val="single" w:sz="4" w:space="0" w:color="auto"/>
              <w:right w:val="nil"/>
            </w:tcBorders>
            <w:shd w:val="clear" w:color="auto" w:fill="auto"/>
            <w:noWrap/>
            <w:vAlign w:val="bottom"/>
            <w:hideMark/>
          </w:tcPr>
          <w:p w14:paraId="0DE290E9" w14:textId="2CC79F54"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r>
              <w:rPr>
                <w:rFonts w:eastAsia="Times New Roman"/>
                <w:color w:val="000000" w:themeColor="text1"/>
                <w:szCs w:val="24"/>
                <w:lang w:eastAsia="cs-CZ"/>
              </w:rPr>
              <w:t> </w:t>
            </w:r>
            <w:r w:rsidR="008430BD" w:rsidRPr="001C3EC8">
              <w:rPr>
                <w:rFonts w:eastAsia="Times New Roman"/>
                <w:color w:val="000000" w:themeColor="text1"/>
                <w:szCs w:val="24"/>
                <w:lang w:eastAsia="cs-CZ"/>
              </w:rPr>
              <w:t>189</w:t>
            </w:r>
          </w:p>
        </w:tc>
        <w:tc>
          <w:tcPr>
            <w:tcW w:w="850" w:type="dxa"/>
            <w:tcBorders>
              <w:top w:val="nil"/>
              <w:left w:val="nil"/>
              <w:bottom w:val="single" w:sz="4" w:space="0" w:color="auto"/>
              <w:right w:val="single" w:sz="4" w:space="0" w:color="auto"/>
            </w:tcBorders>
            <w:shd w:val="clear" w:color="auto" w:fill="auto"/>
            <w:noWrap/>
            <w:vAlign w:val="center"/>
            <w:hideMark/>
          </w:tcPr>
          <w:p w14:paraId="47DDE6B4" w14:textId="5F3546F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1</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851" w:type="dxa"/>
            <w:tcBorders>
              <w:top w:val="nil"/>
              <w:left w:val="nil"/>
              <w:bottom w:val="single" w:sz="4" w:space="0" w:color="auto"/>
              <w:right w:val="nil"/>
            </w:tcBorders>
            <w:shd w:val="clear" w:color="auto" w:fill="auto"/>
            <w:noWrap/>
            <w:vAlign w:val="bottom"/>
            <w:hideMark/>
          </w:tcPr>
          <w:p w14:paraId="26E859BD" w14:textId="27E82010"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r>
              <w:rPr>
                <w:rFonts w:eastAsia="Times New Roman"/>
                <w:color w:val="000000" w:themeColor="text1"/>
                <w:szCs w:val="24"/>
                <w:lang w:eastAsia="cs-CZ"/>
              </w:rPr>
              <w:t> </w:t>
            </w:r>
            <w:r w:rsidR="008430BD" w:rsidRPr="001C3EC8">
              <w:rPr>
                <w:rFonts w:eastAsia="Times New Roman"/>
                <w:color w:val="000000" w:themeColor="text1"/>
                <w:szCs w:val="24"/>
                <w:lang w:eastAsia="cs-CZ"/>
              </w:rPr>
              <w:t>138</w:t>
            </w:r>
          </w:p>
        </w:tc>
        <w:tc>
          <w:tcPr>
            <w:tcW w:w="850" w:type="dxa"/>
            <w:tcBorders>
              <w:top w:val="nil"/>
              <w:left w:val="nil"/>
              <w:bottom w:val="single" w:sz="4" w:space="0" w:color="auto"/>
              <w:right w:val="single" w:sz="4" w:space="0" w:color="auto"/>
            </w:tcBorders>
            <w:shd w:val="clear" w:color="auto" w:fill="auto"/>
            <w:noWrap/>
            <w:vAlign w:val="center"/>
            <w:hideMark/>
          </w:tcPr>
          <w:p w14:paraId="3AC7730A" w14:textId="5FD5C58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1</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38" w:type="dxa"/>
            <w:tcBorders>
              <w:top w:val="nil"/>
              <w:left w:val="nil"/>
              <w:bottom w:val="single" w:sz="4" w:space="0" w:color="auto"/>
              <w:right w:val="nil"/>
            </w:tcBorders>
            <w:shd w:val="clear" w:color="auto" w:fill="auto"/>
            <w:noWrap/>
            <w:vAlign w:val="center"/>
            <w:hideMark/>
          </w:tcPr>
          <w:p w14:paraId="10951623" w14:textId="4400D81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w:t>
            </w:r>
            <w:r w:rsidR="00CD2266" w:rsidRPr="001C3EC8">
              <w:rPr>
                <w:rFonts w:eastAsia="Times New Roman"/>
                <w:color w:val="000000" w:themeColor="text1"/>
                <w:szCs w:val="24"/>
                <w:lang w:eastAsia="cs-CZ"/>
              </w:rPr>
              <w:t>0</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6016CCE5"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19364BF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957" w:type="dxa"/>
            <w:tcBorders>
              <w:top w:val="nil"/>
              <w:left w:val="nil"/>
              <w:bottom w:val="double" w:sz="6" w:space="0" w:color="auto"/>
              <w:right w:val="nil"/>
            </w:tcBorders>
            <w:shd w:val="clear" w:color="auto" w:fill="auto"/>
            <w:noWrap/>
            <w:vAlign w:val="bottom"/>
            <w:hideMark/>
          </w:tcPr>
          <w:p w14:paraId="530D29FB" w14:textId="7981CE43"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r>
              <w:rPr>
                <w:rFonts w:eastAsia="Times New Roman"/>
                <w:color w:val="000000" w:themeColor="text1"/>
                <w:szCs w:val="24"/>
                <w:lang w:eastAsia="cs-CZ"/>
              </w:rPr>
              <w:t> </w:t>
            </w:r>
            <w:r w:rsidR="008430BD" w:rsidRPr="001C3EC8">
              <w:rPr>
                <w:rFonts w:eastAsia="Times New Roman"/>
                <w:color w:val="000000" w:themeColor="text1"/>
                <w:szCs w:val="24"/>
                <w:lang w:eastAsia="cs-CZ"/>
              </w:rPr>
              <w:t>226</w:t>
            </w:r>
          </w:p>
        </w:tc>
        <w:tc>
          <w:tcPr>
            <w:tcW w:w="1050" w:type="dxa"/>
            <w:tcBorders>
              <w:top w:val="nil"/>
              <w:left w:val="nil"/>
              <w:bottom w:val="double" w:sz="6" w:space="0" w:color="auto"/>
              <w:right w:val="nil"/>
            </w:tcBorders>
            <w:shd w:val="clear" w:color="auto" w:fill="auto"/>
            <w:noWrap/>
            <w:vAlign w:val="center"/>
            <w:hideMark/>
          </w:tcPr>
          <w:p w14:paraId="3B106790" w14:textId="08F0A3B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1</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935" w:type="dxa"/>
            <w:tcBorders>
              <w:top w:val="nil"/>
              <w:left w:val="single" w:sz="4" w:space="0" w:color="auto"/>
              <w:bottom w:val="double" w:sz="6" w:space="0" w:color="auto"/>
              <w:right w:val="nil"/>
            </w:tcBorders>
            <w:shd w:val="clear" w:color="auto" w:fill="auto"/>
            <w:noWrap/>
            <w:vAlign w:val="bottom"/>
            <w:hideMark/>
          </w:tcPr>
          <w:p w14:paraId="7F61CFEF" w14:textId="042F65B4"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r>
              <w:rPr>
                <w:rFonts w:eastAsia="Times New Roman"/>
                <w:color w:val="000000" w:themeColor="text1"/>
                <w:szCs w:val="24"/>
                <w:lang w:eastAsia="cs-CZ"/>
              </w:rPr>
              <w:t> </w:t>
            </w:r>
            <w:r w:rsidR="008430BD" w:rsidRPr="001C3EC8">
              <w:rPr>
                <w:rFonts w:eastAsia="Times New Roman"/>
                <w:color w:val="000000" w:themeColor="text1"/>
                <w:szCs w:val="24"/>
                <w:lang w:eastAsia="cs-CZ"/>
              </w:rPr>
              <w:t>156</w:t>
            </w:r>
          </w:p>
        </w:tc>
        <w:tc>
          <w:tcPr>
            <w:tcW w:w="850" w:type="dxa"/>
            <w:tcBorders>
              <w:top w:val="nil"/>
              <w:left w:val="nil"/>
              <w:bottom w:val="double" w:sz="6" w:space="0" w:color="auto"/>
              <w:right w:val="single" w:sz="4" w:space="0" w:color="auto"/>
            </w:tcBorders>
            <w:shd w:val="clear" w:color="auto" w:fill="auto"/>
            <w:noWrap/>
            <w:vAlign w:val="center"/>
            <w:hideMark/>
          </w:tcPr>
          <w:p w14:paraId="6672EEBF" w14:textId="01458C7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2</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851" w:type="dxa"/>
            <w:tcBorders>
              <w:top w:val="nil"/>
              <w:left w:val="nil"/>
              <w:bottom w:val="double" w:sz="6" w:space="0" w:color="auto"/>
              <w:right w:val="nil"/>
            </w:tcBorders>
            <w:shd w:val="clear" w:color="auto" w:fill="auto"/>
            <w:noWrap/>
            <w:vAlign w:val="bottom"/>
            <w:hideMark/>
          </w:tcPr>
          <w:p w14:paraId="623DF704" w14:textId="73905669" w:rsidR="008430BD" w:rsidRPr="001C3EC8" w:rsidRDefault="00CD2266"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Pr>
                <w:rFonts w:eastAsia="Times New Roman"/>
                <w:color w:val="000000" w:themeColor="text1"/>
                <w:szCs w:val="24"/>
                <w:lang w:eastAsia="cs-CZ"/>
              </w:rPr>
              <w:t> </w:t>
            </w:r>
            <w:r w:rsidR="008430BD" w:rsidRPr="001C3EC8">
              <w:rPr>
                <w:rFonts w:eastAsia="Times New Roman"/>
                <w:color w:val="000000" w:themeColor="text1"/>
                <w:szCs w:val="24"/>
                <w:lang w:eastAsia="cs-CZ"/>
              </w:rPr>
              <w:t>210</w:t>
            </w:r>
          </w:p>
        </w:tc>
        <w:tc>
          <w:tcPr>
            <w:tcW w:w="850" w:type="dxa"/>
            <w:tcBorders>
              <w:top w:val="nil"/>
              <w:left w:val="nil"/>
              <w:bottom w:val="double" w:sz="6" w:space="0" w:color="auto"/>
              <w:right w:val="single" w:sz="4" w:space="0" w:color="auto"/>
            </w:tcBorders>
            <w:shd w:val="clear" w:color="auto" w:fill="auto"/>
            <w:noWrap/>
            <w:vAlign w:val="center"/>
            <w:hideMark/>
          </w:tcPr>
          <w:p w14:paraId="7E3A484A" w14:textId="13CB1AC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CD2266" w:rsidRPr="001C3EC8">
              <w:rPr>
                <w:rFonts w:eastAsia="Times New Roman"/>
                <w:color w:val="000000" w:themeColor="text1"/>
                <w:sz w:val="20"/>
                <w:szCs w:val="20"/>
                <w:lang w:eastAsia="cs-CZ"/>
              </w:rPr>
              <w:t>3</w:t>
            </w:r>
            <w:r w:rsidR="00CD2266">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538" w:type="dxa"/>
            <w:tcBorders>
              <w:top w:val="nil"/>
              <w:left w:val="nil"/>
              <w:bottom w:val="nil"/>
              <w:right w:val="nil"/>
            </w:tcBorders>
            <w:shd w:val="clear" w:color="auto" w:fill="auto"/>
            <w:noWrap/>
            <w:vAlign w:val="center"/>
            <w:hideMark/>
          </w:tcPr>
          <w:p w14:paraId="1CF4380B" w14:textId="1989370C"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w:t>
            </w:r>
            <w:r w:rsidR="00CD2266" w:rsidRPr="001C3EC8">
              <w:rPr>
                <w:rFonts w:eastAsia="Times New Roman"/>
                <w:color w:val="000000" w:themeColor="text1"/>
                <w:szCs w:val="24"/>
                <w:lang w:eastAsia="cs-CZ"/>
              </w:rPr>
              <w:t>3</w:t>
            </w:r>
            <w:r w:rsidR="00CD2266">
              <w:rPr>
                <w:rFonts w:eastAsia="Times New Roman"/>
                <w:color w:val="000000" w:themeColor="text1"/>
                <w:szCs w:val="24"/>
                <w:lang w:eastAsia="cs-CZ"/>
              </w:rPr>
              <w:t> </w:t>
            </w:r>
            <w:r w:rsidRPr="001C3EC8">
              <w:rPr>
                <w:rFonts w:eastAsia="Times New Roman"/>
                <w:color w:val="000000" w:themeColor="text1"/>
                <w:szCs w:val="24"/>
                <w:lang w:eastAsia="cs-CZ"/>
              </w:rPr>
              <w:t>%</w:t>
            </w:r>
          </w:p>
        </w:tc>
      </w:tr>
      <w:tr w:rsidR="008430BD" w:rsidRPr="001C3EC8" w14:paraId="1A2F10B8"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65BF514B"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957" w:type="dxa"/>
            <w:tcBorders>
              <w:top w:val="nil"/>
              <w:left w:val="nil"/>
              <w:bottom w:val="double" w:sz="6" w:space="0" w:color="auto"/>
              <w:right w:val="nil"/>
            </w:tcBorders>
            <w:shd w:val="clear" w:color="auto" w:fill="auto"/>
            <w:noWrap/>
            <w:vAlign w:val="bottom"/>
            <w:hideMark/>
          </w:tcPr>
          <w:p w14:paraId="779E9DD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22 686</w:t>
            </w:r>
          </w:p>
        </w:tc>
        <w:tc>
          <w:tcPr>
            <w:tcW w:w="1050" w:type="dxa"/>
            <w:tcBorders>
              <w:top w:val="nil"/>
              <w:left w:val="nil"/>
              <w:bottom w:val="double" w:sz="6" w:space="0" w:color="auto"/>
              <w:right w:val="nil"/>
            </w:tcBorders>
            <w:shd w:val="clear" w:color="auto" w:fill="auto"/>
            <w:noWrap/>
            <w:vAlign w:val="center"/>
            <w:hideMark/>
          </w:tcPr>
          <w:p w14:paraId="1B1AE52E" w14:textId="64CDFF3C"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CD2266" w:rsidRPr="001C3EC8">
              <w:rPr>
                <w:rFonts w:eastAsia="Times New Roman"/>
                <w:b/>
                <w:bCs/>
                <w:color w:val="000000" w:themeColor="text1"/>
                <w:sz w:val="20"/>
                <w:szCs w:val="20"/>
                <w:lang w:eastAsia="cs-CZ"/>
              </w:rPr>
              <w:t>5</w:t>
            </w:r>
            <w:r w:rsidR="00CD2266">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935" w:type="dxa"/>
            <w:tcBorders>
              <w:top w:val="nil"/>
              <w:left w:val="single" w:sz="4" w:space="0" w:color="auto"/>
              <w:bottom w:val="double" w:sz="6" w:space="0" w:color="auto"/>
              <w:right w:val="nil"/>
            </w:tcBorders>
            <w:shd w:val="clear" w:color="auto" w:fill="auto"/>
            <w:noWrap/>
            <w:vAlign w:val="bottom"/>
            <w:hideMark/>
          </w:tcPr>
          <w:p w14:paraId="71D6CAA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24 686</w:t>
            </w:r>
          </w:p>
        </w:tc>
        <w:tc>
          <w:tcPr>
            <w:tcW w:w="850" w:type="dxa"/>
            <w:tcBorders>
              <w:top w:val="nil"/>
              <w:left w:val="nil"/>
              <w:bottom w:val="double" w:sz="6" w:space="0" w:color="auto"/>
              <w:right w:val="single" w:sz="4" w:space="0" w:color="auto"/>
            </w:tcBorders>
            <w:shd w:val="clear" w:color="auto" w:fill="auto"/>
            <w:noWrap/>
            <w:vAlign w:val="center"/>
            <w:hideMark/>
          </w:tcPr>
          <w:p w14:paraId="582A8586" w14:textId="7464EAFC"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CD2266" w:rsidRPr="001C3EC8">
              <w:rPr>
                <w:rFonts w:eastAsia="Times New Roman"/>
                <w:b/>
                <w:bCs/>
                <w:color w:val="000000" w:themeColor="text1"/>
                <w:sz w:val="20"/>
                <w:szCs w:val="20"/>
                <w:lang w:eastAsia="cs-CZ"/>
              </w:rPr>
              <w:t>5</w:t>
            </w:r>
            <w:r w:rsidR="00CD2266">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851" w:type="dxa"/>
            <w:tcBorders>
              <w:top w:val="nil"/>
              <w:left w:val="nil"/>
              <w:bottom w:val="double" w:sz="6" w:space="0" w:color="auto"/>
              <w:right w:val="nil"/>
            </w:tcBorders>
            <w:shd w:val="clear" w:color="auto" w:fill="auto"/>
            <w:noWrap/>
            <w:vAlign w:val="bottom"/>
            <w:hideMark/>
          </w:tcPr>
          <w:p w14:paraId="7251398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13 847</w:t>
            </w:r>
          </w:p>
        </w:tc>
        <w:tc>
          <w:tcPr>
            <w:tcW w:w="850" w:type="dxa"/>
            <w:tcBorders>
              <w:top w:val="nil"/>
              <w:left w:val="nil"/>
              <w:bottom w:val="double" w:sz="6" w:space="0" w:color="auto"/>
              <w:right w:val="single" w:sz="4" w:space="0" w:color="auto"/>
            </w:tcBorders>
            <w:shd w:val="clear" w:color="auto" w:fill="auto"/>
            <w:noWrap/>
            <w:vAlign w:val="center"/>
            <w:hideMark/>
          </w:tcPr>
          <w:p w14:paraId="3118AD56" w14:textId="5E8963E0"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-13 </w:t>
            </w:r>
            <w:r w:rsidR="00B07E76">
              <w:rPr>
                <w:rFonts w:eastAsia="Times New Roman"/>
                <w:b/>
                <w:bCs/>
                <w:color w:val="000000" w:themeColor="text1"/>
                <w:sz w:val="20"/>
                <w:szCs w:val="20"/>
                <w:lang w:eastAsia="cs-CZ"/>
              </w:rPr>
              <w:t>%</w:t>
            </w:r>
          </w:p>
        </w:tc>
        <w:tc>
          <w:tcPr>
            <w:tcW w:w="1538" w:type="dxa"/>
            <w:tcBorders>
              <w:top w:val="double" w:sz="6" w:space="0" w:color="auto"/>
              <w:left w:val="nil"/>
              <w:bottom w:val="double" w:sz="6" w:space="0" w:color="auto"/>
              <w:right w:val="nil"/>
            </w:tcBorders>
            <w:shd w:val="clear" w:color="auto" w:fill="auto"/>
            <w:noWrap/>
            <w:vAlign w:val="center"/>
            <w:hideMark/>
          </w:tcPr>
          <w:p w14:paraId="1ABE8633" w14:textId="01E8F26D"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108,</w:t>
            </w:r>
            <w:r w:rsidR="00CD2266" w:rsidRPr="001C3EC8">
              <w:rPr>
                <w:rFonts w:eastAsia="Times New Roman"/>
                <w:b/>
                <w:bCs/>
                <w:color w:val="000000" w:themeColor="text1"/>
                <w:szCs w:val="24"/>
                <w:lang w:eastAsia="cs-CZ"/>
              </w:rPr>
              <w:t>8</w:t>
            </w:r>
            <w:r w:rsidR="00CD2266">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bl>
    <w:p w14:paraId="1AA1338B" w14:textId="77777777" w:rsidR="008430BD" w:rsidRPr="001C3EC8" w:rsidRDefault="008430BD" w:rsidP="008430BD">
      <w:pPr>
        <w:rPr>
          <w:color w:val="000000" w:themeColor="text1"/>
        </w:rPr>
      </w:pPr>
    </w:p>
    <w:p w14:paraId="275A05C2" w14:textId="455DE136" w:rsidR="00B07E76" w:rsidRDefault="008430BD" w:rsidP="008430BD">
      <w:pPr>
        <w:rPr>
          <w:color w:val="000000" w:themeColor="text1"/>
        </w:rPr>
      </w:pPr>
      <w:r w:rsidRPr="001C3EC8">
        <w:rPr>
          <w:color w:val="000000" w:themeColor="text1"/>
        </w:rPr>
        <w:t xml:space="preserve">Zatímco </w:t>
      </w:r>
      <w:r w:rsidR="00CD2266" w:rsidRPr="001C3EC8">
        <w:rPr>
          <w:color w:val="000000" w:themeColor="text1"/>
        </w:rPr>
        <w:t>u</w:t>
      </w:r>
      <w:r w:rsidR="00CD2266">
        <w:rPr>
          <w:color w:val="000000" w:themeColor="text1"/>
        </w:rPr>
        <w:t> </w:t>
      </w:r>
      <w:r w:rsidRPr="001C3EC8">
        <w:rPr>
          <w:color w:val="000000" w:themeColor="text1"/>
        </w:rPr>
        <w:t xml:space="preserve">okresních soudů se vliv pandemie </w:t>
      </w:r>
      <w:r w:rsidR="000C3B1E">
        <w:rPr>
          <w:color w:val="000000" w:themeColor="text1"/>
        </w:rPr>
        <w:t>COVID</w:t>
      </w:r>
      <w:r w:rsidR="000C3B1E">
        <w:rPr>
          <w:color w:val="000000" w:themeColor="text1"/>
        </w:rPr>
        <w:noBreakHyphen/>
        <w:t>19</w:t>
      </w:r>
      <w:r w:rsidRPr="001C3EC8">
        <w:rPr>
          <w:color w:val="000000" w:themeColor="text1"/>
        </w:rPr>
        <w:t xml:space="preserve"> zdál být poměrně jasný (zřejmý pokles nápadu ve všech agendách, možná určitý vliv na produktivitu soudů, který byl ale plně vykompenzován zmíněným poklesem nápadu s výjimkou civilní agendy), </w:t>
      </w:r>
      <w:r w:rsidR="00CD2266" w:rsidRPr="001C3EC8">
        <w:rPr>
          <w:color w:val="000000" w:themeColor="text1"/>
        </w:rPr>
        <w:t>u</w:t>
      </w:r>
      <w:r w:rsidR="00CD2266">
        <w:rPr>
          <w:color w:val="000000" w:themeColor="text1"/>
        </w:rPr>
        <w:t> </w:t>
      </w:r>
      <w:r w:rsidRPr="001C3EC8">
        <w:rPr>
          <w:color w:val="000000" w:themeColor="text1"/>
        </w:rPr>
        <w:t xml:space="preserve">krajských soudů je vliv poměrně nejasný. Opět klesl nápad, ale to může být pokračování trendu z předchozích let, </w:t>
      </w:r>
      <w:r w:rsidR="00CD2266" w:rsidRPr="001C3EC8">
        <w:rPr>
          <w:color w:val="000000" w:themeColor="text1"/>
        </w:rPr>
        <w:t>a</w:t>
      </w:r>
      <w:r w:rsidR="00CD2266">
        <w:rPr>
          <w:color w:val="000000" w:themeColor="text1"/>
        </w:rPr>
        <w:t> </w:t>
      </w:r>
      <w:r w:rsidRPr="001C3EC8">
        <w:rPr>
          <w:color w:val="000000" w:themeColor="text1"/>
        </w:rPr>
        <w:t xml:space="preserve">ne vliv pandemie. Nápad klesl pouze </w:t>
      </w:r>
      <w:r w:rsidR="00CD2266" w:rsidRPr="001C3EC8">
        <w:rPr>
          <w:color w:val="000000" w:themeColor="text1"/>
        </w:rPr>
        <w:t>u</w:t>
      </w:r>
      <w:r w:rsidR="00CD2266">
        <w:rPr>
          <w:color w:val="000000" w:themeColor="text1"/>
        </w:rPr>
        <w:t> </w:t>
      </w:r>
      <w:r w:rsidRPr="001C3EC8">
        <w:rPr>
          <w:color w:val="000000" w:themeColor="text1"/>
        </w:rPr>
        <w:t xml:space="preserve">pěti z osmi krajských soudů. Míra vyřizování byla větší než 100 % </w:t>
      </w:r>
      <w:r w:rsidR="00CD2266" w:rsidRPr="001C3EC8">
        <w:rPr>
          <w:color w:val="000000" w:themeColor="text1"/>
        </w:rPr>
        <w:t>u</w:t>
      </w:r>
      <w:r w:rsidR="00CD2266">
        <w:rPr>
          <w:color w:val="000000" w:themeColor="text1"/>
        </w:rPr>
        <w:t> </w:t>
      </w:r>
      <w:r w:rsidRPr="001C3EC8">
        <w:rPr>
          <w:color w:val="000000" w:themeColor="text1"/>
        </w:rPr>
        <w:t>šesti z osmi soudů.</w:t>
      </w:r>
    </w:p>
    <w:p w14:paraId="6C3CEE9D" w14:textId="5547321A" w:rsidR="008430BD" w:rsidRPr="001C3EC8" w:rsidRDefault="008430BD" w:rsidP="008430BD">
      <w:pPr>
        <w:pStyle w:val="Nadpis3"/>
        <w:numPr>
          <w:ilvl w:val="2"/>
          <w:numId w:val="1"/>
        </w:numPr>
        <w:rPr>
          <w:color w:val="000000" w:themeColor="text1"/>
        </w:rPr>
      </w:pPr>
      <w:bookmarkStart w:id="434" w:name="_Toc75952089"/>
      <w:r w:rsidRPr="001C3EC8">
        <w:rPr>
          <w:color w:val="000000" w:themeColor="text1"/>
        </w:rPr>
        <w:t>Vyřizování v přepočtu na soudce</w:t>
      </w:r>
      <w:bookmarkEnd w:id="434"/>
    </w:p>
    <w:p w14:paraId="789AEA47" w14:textId="7BF7078F" w:rsidR="008430BD" w:rsidRPr="001C3EC8" w:rsidRDefault="008430BD" w:rsidP="008430BD">
      <w:pPr>
        <w:pStyle w:val="OdstavecASR"/>
        <w:rPr>
          <w:color w:val="000000" w:themeColor="text1"/>
        </w:rPr>
      </w:pPr>
      <w:r w:rsidRPr="001C3EC8">
        <w:rPr>
          <w:color w:val="000000" w:themeColor="text1"/>
        </w:rPr>
        <w:t xml:space="preserve">Stejně jako </w:t>
      </w:r>
      <w:r w:rsidR="00CD2266" w:rsidRPr="001C3EC8">
        <w:rPr>
          <w:color w:val="000000" w:themeColor="text1"/>
        </w:rPr>
        <w:t>u</w:t>
      </w:r>
      <w:r w:rsidR="00CD2266">
        <w:rPr>
          <w:color w:val="000000" w:themeColor="text1"/>
        </w:rPr>
        <w:t> </w:t>
      </w:r>
      <w:r w:rsidRPr="001C3EC8">
        <w:rPr>
          <w:color w:val="000000" w:themeColor="text1"/>
        </w:rPr>
        <w:t xml:space="preserve">OS má Ministerstvo spravedlnosti k dispozici přesnější data </w:t>
      </w:r>
      <w:r w:rsidR="0014150C" w:rsidRPr="001C3EC8">
        <w:rPr>
          <w:color w:val="000000" w:themeColor="text1"/>
        </w:rPr>
        <w:t>o</w:t>
      </w:r>
      <w:r w:rsidR="0014150C">
        <w:rPr>
          <w:color w:val="000000" w:themeColor="text1"/>
        </w:rPr>
        <w:t> </w:t>
      </w:r>
      <w:r w:rsidRPr="001C3EC8">
        <w:rPr>
          <w:color w:val="000000" w:themeColor="text1"/>
        </w:rPr>
        <w:t xml:space="preserve">počtu soudců, která budou využita pro přepočet, neboť umožňují oddělit soudce vyřizující prvostupňovou agendu od soudců, kteří vyřizují agendu odvolací. </w:t>
      </w:r>
      <w:r w:rsidR="0014150C" w:rsidRPr="001C3EC8">
        <w:rPr>
          <w:color w:val="000000" w:themeColor="text1"/>
        </w:rPr>
        <w:t>V</w:t>
      </w:r>
      <w:r w:rsidR="0014150C">
        <w:rPr>
          <w:color w:val="000000" w:themeColor="text1"/>
        </w:rPr>
        <w:t> </w:t>
      </w:r>
      <w:r w:rsidRPr="001C3EC8">
        <w:rPr>
          <w:color w:val="000000" w:themeColor="text1"/>
        </w:rPr>
        <w:t xml:space="preserve">těchto datech tedy je zahrnut </w:t>
      </w:r>
      <w:r w:rsidR="0051225E">
        <w:rPr>
          <w:color w:val="000000" w:themeColor="text1"/>
        </w:rPr>
        <w:t xml:space="preserve">skutečný </w:t>
      </w:r>
      <w:r w:rsidRPr="001C3EC8">
        <w:rPr>
          <w:color w:val="000000" w:themeColor="text1"/>
        </w:rPr>
        <w:t>počet soudců (</w:t>
      </w:r>
      <w:r w:rsidR="0051225E">
        <w:rPr>
          <w:color w:val="000000" w:themeColor="text1"/>
        </w:rPr>
        <w:t xml:space="preserve">skutečných </w:t>
      </w:r>
      <w:r w:rsidRPr="001C3EC8">
        <w:rPr>
          <w:color w:val="000000" w:themeColor="text1"/>
        </w:rPr>
        <w:t xml:space="preserve">úvazků), kteří se zabývají prvostupňovou občanskoprávní </w:t>
      </w:r>
      <w:r w:rsidR="0014150C" w:rsidRPr="001C3EC8">
        <w:rPr>
          <w:color w:val="000000" w:themeColor="text1"/>
        </w:rPr>
        <w:t>a</w:t>
      </w:r>
      <w:r w:rsidR="0014150C">
        <w:rPr>
          <w:color w:val="000000" w:themeColor="text1"/>
        </w:rPr>
        <w:t> </w:t>
      </w:r>
      <w:r w:rsidRPr="001C3EC8">
        <w:rPr>
          <w:color w:val="000000" w:themeColor="text1"/>
        </w:rPr>
        <w:t xml:space="preserve">obchodněprávní agendou. Soudci, kteří se zabývají insolvencemi, incidenčními spory </w:t>
      </w:r>
      <w:r w:rsidR="0014150C" w:rsidRPr="001C3EC8">
        <w:rPr>
          <w:color w:val="000000" w:themeColor="text1"/>
        </w:rPr>
        <w:t>a</w:t>
      </w:r>
      <w:r w:rsidR="0014150C">
        <w:rPr>
          <w:color w:val="000000" w:themeColor="text1"/>
        </w:rPr>
        <w:t> </w:t>
      </w:r>
      <w:r w:rsidRPr="001C3EC8">
        <w:rPr>
          <w:color w:val="000000" w:themeColor="text1"/>
        </w:rPr>
        <w:t>obchodním rejstříkem zde započtení nejsou. Přepočet na soudce je uveden v tabulce níže.</w:t>
      </w:r>
    </w:p>
    <w:p w14:paraId="6A1A9FB3" w14:textId="77777777" w:rsidR="008430BD" w:rsidRPr="001C3EC8" w:rsidRDefault="008430BD" w:rsidP="008430BD">
      <w:pPr>
        <w:pStyle w:val="OdstavecASR"/>
        <w:rPr>
          <w:color w:val="000000" w:themeColor="text1"/>
        </w:rPr>
      </w:pPr>
      <w:r w:rsidRPr="001C3EC8">
        <w:rPr>
          <w:color w:val="000000" w:themeColor="text1"/>
        </w:rPr>
        <w:t>Z tabulky vyplývá několik zajímavých údajů, například:</w:t>
      </w:r>
    </w:p>
    <w:p w14:paraId="1A6D8440" w14:textId="77777777" w:rsidR="008430BD" w:rsidRPr="001C3EC8" w:rsidRDefault="008430BD" w:rsidP="008430BD">
      <w:pPr>
        <w:pStyle w:val="OdstavecASR"/>
        <w:numPr>
          <w:ilvl w:val="0"/>
          <w:numId w:val="23"/>
        </w:numPr>
        <w:rPr>
          <w:color w:val="000000" w:themeColor="text1"/>
        </w:rPr>
      </w:pPr>
      <w:proofErr w:type="gramStart"/>
      <w:r w:rsidRPr="001C3EC8">
        <w:rPr>
          <w:color w:val="000000" w:themeColor="text1"/>
        </w:rPr>
        <w:t>Méně</w:t>
      </w:r>
      <w:proofErr w:type="gramEnd"/>
      <w:r w:rsidRPr="001C3EC8">
        <w:rPr>
          <w:color w:val="000000" w:themeColor="text1"/>
        </w:rPr>
        <w:t xml:space="preserve"> než jedna šestina soudců na civilním úseku se zabývá prvostupňovou agendou. Prvostupňový úsek je tedy poměrně malý.</w:t>
      </w:r>
    </w:p>
    <w:p w14:paraId="76774624" w14:textId="361CDADC" w:rsidR="008430BD" w:rsidRPr="001C3EC8" w:rsidRDefault="008430BD" w:rsidP="008430BD">
      <w:pPr>
        <w:pStyle w:val="OdstavecASR"/>
        <w:numPr>
          <w:ilvl w:val="0"/>
          <w:numId w:val="23"/>
        </w:numPr>
        <w:rPr>
          <w:color w:val="000000" w:themeColor="text1"/>
        </w:rPr>
      </w:pPr>
      <w:r w:rsidRPr="001C3EC8">
        <w:rPr>
          <w:color w:val="000000" w:themeColor="text1"/>
        </w:rPr>
        <w:t xml:space="preserve">Mezi soudy jsou velké rozdíly v přepočtu věcí na soudce. </w:t>
      </w:r>
      <w:r w:rsidR="0014150C" w:rsidRPr="001C3EC8">
        <w:rPr>
          <w:color w:val="000000" w:themeColor="text1"/>
        </w:rPr>
        <w:t>U</w:t>
      </w:r>
      <w:r w:rsidR="0014150C">
        <w:rPr>
          <w:color w:val="000000" w:themeColor="text1"/>
        </w:rPr>
        <w:t> </w:t>
      </w:r>
      <w:r w:rsidRPr="001C3EC8">
        <w:rPr>
          <w:color w:val="000000" w:themeColor="text1"/>
        </w:rPr>
        <w:t xml:space="preserve">počtu nevyřízených věcí to plyne z celkové zatíženosti soudu </w:t>
      </w:r>
      <w:r w:rsidR="0014150C" w:rsidRPr="001C3EC8">
        <w:rPr>
          <w:color w:val="000000" w:themeColor="text1"/>
        </w:rPr>
        <w:t>i</w:t>
      </w:r>
      <w:r w:rsidR="0014150C">
        <w:rPr>
          <w:color w:val="000000" w:themeColor="text1"/>
        </w:rPr>
        <w:t> </w:t>
      </w:r>
      <w:r w:rsidRPr="001C3EC8">
        <w:rPr>
          <w:color w:val="000000" w:themeColor="text1"/>
        </w:rPr>
        <w:t>počtu soudců, kteří se danou agendou zabývají. Nicméně počet příchozích věcí (</w:t>
      </w:r>
      <w:r w:rsidR="0014150C" w:rsidRPr="001C3EC8">
        <w:rPr>
          <w:color w:val="000000" w:themeColor="text1"/>
        </w:rPr>
        <w:t>a</w:t>
      </w:r>
      <w:r w:rsidR="0014150C">
        <w:rPr>
          <w:color w:val="000000" w:themeColor="text1"/>
        </w:rPr>
        <w:t> </w:t>
      </w:r>
      <w:r w:rsidRPr="001C3EC8">
        <w:rPr>
          <w:color w:val="000000" w:themeColor="text1"/>
        </w:rPr>
        <w:t xml:space="preserve">tím v zásadě </w:t>
      </w:r>
      <w:r w:rsidR="0014150C" w:rsidRPr="001C3EC8">
        <w:rPr>
          <w:color w:val="000000" w:themeColor="text1"/>
        </w:rPr>
        <w:t>i</w:t>
      </w:r>
      <w:r w:rsidR="0014150C">
        <w:rPr>
          <w:color w:val="000000" w:themeColor="text1"/>
        </w:rPr>
        <w:t> </w:t>
      </w:r>
      <w:r w:rsidRPr="001C3EC8">
        <w:rPr>
          <w:color w:val="000000" w:themeColor="text1"/>
        </w:rPr>
        <w:t>vyřízených věcí) je zohledněn v systemizaci, takže by mezi soudy měly být menší rozdíly. Pro rozdíly může být několik vysvětlení:</w:t>
      </w:r>
    </w:p>
    <w:p w14:paraId="58CACA70" w14:textId="42097579" w:rsidR="008430BD" w:rsidRPr="001C3EC8" w:rsidRDefault="008430BD" w:rsidP="008430BD">
      <w:pPr>
        <w:pStyle w:val="OdstavecASR"/>
        <w:numPr>
          <w:ilvl w:val="1"/>
          <w:numId w:val="23"/>
        </w:numPr>
        <w:rPr>
          <w:color w:val="000000" w:themeColor="text1"/>
        </w:rPr>
      </w:pPr>
      <w:r w:rsidRPr="001C3EC8">
        <w:rPr>
          <w:color w:val="000000" w:themeColor="text1"/>
        </w:rPr>
        <w:t xml:space="preserve">Počet soudců je </w:t>
      </w:r>
      <w:r w:rsidR="0014150C" w:rsidRPr="001C3EC8">
        <w:rPr>
          <w:color w:val="000000" w:themeColor="text1"/>
        </w:rPr>
        <w:t>u</w:t>
      </w:r>
      <w:r w:rsidR="0014150C">
        <w:rPr>
          <w:color w:val="000000" w:themeColor="text1"/>
        </w:rPr>
        <w:t> </w:t>
      </w:r>
      <w:r w:rsidRPr="001C3EC8">
        <w:rPr>
          <w:color w:val="000000" w:themeColor="text1"/>
        </w:rPr>
        <w:t xml:space="preserve">některých soudů malý, dočasný výpadek </w:t>
      </w:r>
      <w:r w:rsidR="0014150C" w:rsidRPr="001C3EC8">
        <w:rPr>
          <w:color w:val="000000" w:themeColor="text1"/>
        </w:rPr>
        <w:t>i</w:t>
      </w:r>
      <w:r w:rsidR="0014150C">
        <w:rPr>
          <w:color w:val="000000" w:themeColor="text1"/>
        </w:rPr>
        <w:t> </w:t>
      </w:r>
      <w:r w:rsidRPr="001C3EC8">
        <w:rPr>
          <w:color w:val="000000" w:themeColor="text1"/>
        </w:rPr>
        <w:t>jednoho soudce proto může hrát velkou roli v datech.</w:t>
      </w:r>
    </w:p>
    <w:p w14:paraId="76C51229" w14:textId="77777777" w:rsidR="008430BD" w:rsidRPr="001C3EC8" w:rsidRDefault="008430BD" w:rsidP="008430BD">
      <w:pPr>
        <w:pStyle w:val="OdstavecASR"/>
        <w:numPr>
          <w:ilvl w:val="1"/>
          <w:numId w:val="23"/>
        </w:numPr>
        <w:rPr>
          <w:color w:val="000000" w:themeColor="text1"/>
        </w:rPr>
      </w:pPr>
      <w:r w:rsidRPr="001C3EC8">
        <w:rPr>
          <w:color w:val="000000" w:themeColor="text1"/>
        </w:rPr>
        <w:t>Některé KS tuto agendu mohly posílit kvůli vysokému počtu nedodělků, případně z jiných důvodů.</w:t>
      </w:r>
    </w:p>
    <w:p w14:paraId="0156A92F" w14:textId="1825BB8E" w:rsidR="008430BD" w:rsidRPr="001C3EC8" w:rsidRDefault="008430BD" w:rsidP="008430BD">
      <w:pPr>
        <w:pStyle w:val="OdstavecASR"/>
        <w:numPr>
          <w:ilvl w:val="1"/>
          <w:numId w:val="23"/>
        </w:numPr>
        <w:rPr>
          <w:color w:val="000000" w:themeColor="text1"/>
        </w:rPr>
      </w:pPr>
      <w:r w:rsidRPr="001C3EC8">
        <w:rPr>
          <w:color w:val="000000" w:themeColor="text1"/>
        </w:rPr>
        <w:t xml:space="preserve">Přestože se Ministerstvo spravedlnosti snaží přesně definovat metodiku sběru dat, nelze </w:t>
      </w:r>
      <w:r w:rsidR="00311CE3" w:rsidRPr="001C3EC8">
        <w:rPr>
          <w:color w:val="000000" w:themeColor="text1"/>
        </w:rPr>
        <w:t xml:space="preserve">garantovat jejich přesnost </w:t>
      </w:r>
      <w:r w:rsidRPr="001C3EC8">
        <w:rPr>
          <w:color w:val="000000" w:themeColor="text1"/>
        </w:rPr>
        <w:t xml:space="preserve">na 100 %. </w:t>
      </w:r>
      <w:r w:rsidR="00311CE3" w:rsidRPr="001C3EC8">
        <w:rPr>
          <w:color w:val="000000" w:themeColor="text1"/>
        </w:rPr>
        <w:t>Jednotlivé s</w:t>
      </w:r>
      <w:r w:rsidRPr="001C3EC8">
        <w:rPr>
          <w:color w:val="000000" w:themeColor="text1"/>
        </w:rPr>
        <w:t xml:space="preserve">oudy </w:t>
      </w:r>
      <w:r w:rsidR="00311CE3" w:rsidRPr="001C3EC8">
        <w:rPr>
          <w:color w:val="000000" w:themeColor="text1"/>
        </w:rPr>
        <w:t xml:space="preserve">totiž </w:t>
      </w:r>
      <w:r w:rsidRPr="001C3EC8">
        <w:rPr>
          <w:color w:val="000000" w:themeColor="text1"/>
        </w:rPr>
        <w:t xml:space="preserve">mohou zvolit </w:t>
      </w:r>
      <w:r w:rsidRPr="001C3EC8">
        <w:rPr>
          <w:color w:val="000000" w:themeColor="text1"/>
        </w:rPr>
        <w:lastRenderedPageBreak/>
        <w:t xml:space="preserve">k vyplňování datových tabulek </w:t>
      </w:r>
      <w:r w:rsidR="00311CE3" w:rsidRPr="001C3EC8">
        <w:rPr>
          <w:color w:val="000000" w:themeColor="text1"/>
        </w:rPr>
        <w:t>poněkud odlišný</w:t>
      </w:r>
      <w:r w:rsidRPr="001C3EC8">
        <w:rPr>
          <w:color w:val="000000" w:themeColor="text1"/>
        </w:rPr>
        <w:t xml:space="preserve"> přístup. To může také vysvětlit rozdíly mezi letošním </w:t>
      </w:r>
      <w:r w:rsidR="0014150C" w:rsidRPr="001C3EC8">
        <w:rPr>
          <w:color w:val="000000" w:themeColor="text1"/>
        </w:rPr>
        <w:t>a</w:t>
      </w:r>
      <w:r w:rsidR="0014150C">
        <w:rPr>
          <w:color w:val="000000" w:themeColor="text1"/>
        </w:rPr>
        <w:t> </w:t>
      </w:r>
      <w:r w:rsidRPr="001C3EC8">
        <w:rPr>
          <w:color w:val="000000" w:themeColor="text1"/>
        </w:rPr>
        <w:t>loňským rokem.</w:t>
      </w:r>
    </w:p>
    <w:p w14:paraId="5A68FB57" w14:textId="15AA5E69" w:rsidR="00B07E76" w:rsidRDefault="008430BD" w:rsidP="008430BD">
      <w:pPr>
        <w:pStyle w:val="OdstavecASR"/>
        <w:numPr>
          <w:ilvl w:val="0"/>
          <w:numId w:val="23"/>
        </w:numPr>
        <w:rPr>
          <w:color w:val="000000" w:themeColor="text1"/>
        </w:rPr>
      </w:pPr>
      <w:r w:rsidRPr="001C3EC8">
        <w:rPr>
          <w:color w:val="000000" w:themeColor="text1"/>
        </w:rPr>
        <w:t xml:space="preserve">Jak je již výše zmíněno, rozdíly jsou vidět </w:t>
      </w:r>
      <w:r w:rsidR="0014150C" w:rsidRPr="001C3EC8">
        <w:rPr>
          <w:color w:val="000000" w:themeColor="text1"/>
        </w:rPr>
        <w:t>i</w:t>
      </w:r>
      <w:r w:rsidR="0014150C">
        <w:rPr>
          <w:color w:val="000000" w:themeColor="text1"/>
        </w:rPr>
        <w:t> </w:t>
      </w:r>
      <w:r w:rsidR="0014150C" w:rsidRPr="001C3EC8">
        <w:rPr>
          <w:color w:val="000000" w:themeColor="text1"/>
        </w:rPr>
        <w:t>u</w:t>
      </w:r>
      <w:r w:rsidR="0014150C">
        <w:rPr>
          <w:color w:val="000000" w:themeColor="text1"/>
        </w:rPr>
        <w:t> </w:t>
      </w:r>
      <w:r w:rsidRPr="001C3EC8">
        <w:rPr>
          <w:color w:val="000000" w:themeColor="text1"/>
        </w:rPr>
        <w:t xml:space="preserve">stejného soudu mezi jednotlivými roky. Celkově došlo ke značnému poklesu v počtu soudců, především </w:t>
      </w:r>
      <w:r w:rsidR="0014150C" w:rsidRPr="001C3EC8">
        <w:rPr>
          <w:color w:val="000000" w:themeColor="text1"/>
        </w:rPr>
        <w:t>u</w:t>
      </w:r>
      <w:r w:rsidR="0014150C">
        <w:rPr>
          <w:color w:val="000000" w:themeColor="text1"/>
        </w:rPr>
        <w:t> </w:t>
      </w:r>
      <w:r w:rsidRPr="001C3EC8">
        <w:rPr>
          <w:color w:val="000000" w:themeColor="text1"/>
        </w:rPr>
        <w:t xml:space="preserve">KS Brno </w:t>
      </w:r>
      <w:r w:rsidR="0014150C" w:rsidRPr="001C3EC8">
        <w:rPr>
          <w:color w:val="000000" w:themeColor="text1"/>
        </w:rPr>
        <w:t>a</w:t>
      </w:r>
      <w:r w:rsidR="0014150C">
        <w:rPr>
          <w:color w:val="000000" w:themeColor="text1"/>
        </w:rPr>
        <w:t> </w:t>
      </w:r>
      <w:r w:rsidRPr="001C3EC8">
        <w:rPr>
          <w:color w:val="000000" w:themeColor="text1"/>
        </w:rPr>
        <w:t xml:space="preserve">KS České Budějovice. </w:t>
      </w:r>
      <w:r w:rsidR="00311CE3" w:rsidRPr="001C3EC8">
        <w:rPr>
          <w:color w:val="000000" w:themeColor="text1"/>
        </w:rPr>
        <w:t>Zřejmě</w:t>
      </w:r>
      <w:r w:rsidRPr="001C3EC8">
        <w:rPr>
          <w:color w:val="000000" w:themeColor="text1"/>
        </w:rPr>
        <w:t xml:space="preserve"> dochází k přesunům mezi úseky v rámci soudu, roli ale určitě bude hrát </w:t>
      </w:r>
      <w:r w:rsidR="0014150C" w:rsidRPr="001C3EC8">
        <w:rPr>
          <w:color w:val="000000" w:themeColor="text1"/>
        </w:rPr>
        <w:t>i</w:t>
      </w:r>
      <w:r w:rsidR="0014150C">
        <w:rPr>
          <w:color w:val="000000" w:themeColor="text1"/>
        </w:rPr>
        <w:t> </w:t>
      </w:r>
      <w:r w:rsidRPr="001C3EC8">
        <w:rPr>
          <w:color w:val="000000" w:themeColor="text1"/>
        </w:rPr>
        <w:t>to, jak soudy ke sběru dat přistoupily.</w:t>
      </w:r>
    </w:p>
    <w:p w14:paraId="7B15CF23" w14:textId="6C0D6F05" w:rsidR="008430BD" w:rsidRPr="001C3EC8" w:rsidRDefault="008430BD" w:rsidP="008430BD">
      <w:pPr>
        <w:pStyle w:val="OdstavecASR"/>
        <w:rPr>
          <w:color w:val="000000" w:themeColor="text1"/>
        </w:rPr>
      </w:pPr>
    </w:p>
    <w:p w14:paraId="0EB87A9D" w14:textId="70D8C676" w:rsidR="008430BD" w:rsidRPr="001C3EC8" w:rsidRDefault="008430BD" w:rsidP="00F66F3C">
      <w:pPr>
        <w:pStyle w:val="Podnadpis"/>
        <w:rPr>
          <w:color w:val="000000" w:themeColor="text1"/>
        </w:rPr>
      </w:pPr>
      <w:bookmarkStart w:id="435" w:name="_Toc75952348"/>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45</w:t>
      </w:r>
      <w:r w:rsidRPr="001C3EC8">
        <w:rPr>
          <w:color w:val="000000" w:themeColor="text1"/>
        </w:rPr>
        <w:fldChar w:fldCharType="end"/>
      </w:r>
      <w:r w:rsidRPr="001C3EC8">
        <w:rPr>
          <w:color w:val="000000" w:themeColor="text1"/>
        </w:rPr>
        <w:t>: KS – vyřizování prvostupňových civil. věcí na s</w:t>
      </w:r>
      <w:r w:rsidR="00213A42" w:rsidRPr="001C3EC8">
        <w:rPr>
          <w:color w:val="000000" w:themeColor="text1"/>
        </w:rPr>
        <w:t>kutečný úvazek</w:t>
      </w:r>
      <w:r w:rsidRPr="001C3EC8">
        <w:rPr>
          <w:color w:val="000000" w:themeColor="text1"/>
        </w:rPr>
        <w:t xml:space="preserve"> dle soudů</w:t>
      </w:r>
      <w:bookmarkEnd w:id="435"/>
    </w:p>
    <w:tbl>
      <w:tblPr>
        <w:tblW w:w="9000" w:type="dxa"/>
        <w:tblCellMar>
          <w:left w:w="70" w:type="dxa"/>
          <w:right w:w="70" w:type="dxa"/>
        </w:tblCellMar>
        <w:tblLook w:val="04A0" w:firstRow="1" w:lastRow="0" w:firstColumn="1" w:lastColumn="0" w:noHBand="0" w:noVBand="1"/>
      </w:tblPr>
      <w:tblGrid>
        <w:gridCol w:w="1820"/>
        <w:gridCol w:w="1060"/>
        <w:gridCol w:w="1060"/>
        <w:gridCol w:w="1084"/>
        <w:gridCol w:w="1059"/>
        <w:gridCol w:w="929"/>
        <w:gridCol w:w="1059"/>
        <w:gridCol w:w="929"/>
      </w:tblGrid>
      <w:tr w:rsidR="009F6F12" w:rsidRPr="001C3EC8" w14:paraId="34A3B51F" w14:textId="77777777" w:rsidTr="009F6F12">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B077F16"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39A31A3A"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6120" w:type="dxa"/>
            <w:gridSpan w:val="6"/>
            <w:tcBorders>
              <w:top w:val="double" w:sz="6" w:space="0" w:color="auto"/>
              <w:left w:val="nil"/>
              <w:bottom w:val="nil"/>
              <w:right w:val="nil"/>
            </w:tcBorders>
            <w:shd w:val="clear" w:color="auto" w:fill="auto"/>
            <w:noWrap/>
            <w:vAlign w:val="center"/>
            <w:hideMark/>
          </w:tcPr>
          <w:p w14:paraId="4131F57E"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 na úvazek</w:t>
            </w:r>
          </w:p>
        </w:tc>
      </w:tr>
      <w:tr w:rsidR="009F6F12" w:rsidRPr="001C3EC8" w14:paraId="5E85F448" w14:textId="77777777" w:rsidTr="009F6F12">
        <w:trPr>
          <w:trHeight w:val="330"/>
        </w:trPr>
        <w:tc>
          <w:tcPr>
            <w:tcW w:w="1820" w:type="dxa"/>
            <w:vMerge/>
            <w:tcBorders>
              <w:top w:val="double" w:sz="6" w:space="0" w:color="auto"/>
              <w:left w:val="nil"/>
              <w:bottom w:val="double" w:sz="6" w:space="0" w:color="000000"/>
              <w:right w:val="nil"/>
            </w:tcBorders>
            <w:vAlign w:val="center"/>
            <w:hideMark/>
          </w:tcPr>
          <w:p w14:paraId="076831A5" w14:textId="77777777" w:rsidR="009F6F12" w:rsidRPr="001C3EC8" w:rsidRDefault="009F6F12" w:rsidP="009F6F12">
            <w:pPr>
              <w:spacing w:line="240" w:lineRule="auto"/>
              <w:jc w:val="left"/>
              <w:rPr>
                <w:rFonts w:eastAsia="Times New Roman"/>
                <w:b/>
                <w:bCs/>
                <w:color w:val="000000" w:themeColor="text1"/>
                <w:szCs w:val="24"/>
                <w:lang w:eastAsia="cs-CZ"/>
              </w:rPr>
            </w:pPr>
          </w:p>
        </w:tc>
        <w:tc>
          <w:tcPr>
            <w:tcW w:w="1060" w:type="dxa"/>
            <w:vMerge/>
            <w:tcBorders>
              <w:top w:val="double" w:sz="6" w:space="0" w:color="auto"/>
              <w:left w:val="nil"/>
              <w:bottom w:val="double" w:sz="6" w:space="0" w:color="000000"/>
              <w:right w:val="nil"/>
            </w:tcBorders>
            <w:vAlign w:val="center"/>
            <w:hideMark/>
          </w:tcPr>
          <w:p w14:paraId="43453014" w14:textId="77777777" w:rsidR="009F6F12" w:rsidRPr="001C3EC8" w:rsidRDefault="009F6F12" w:rsidP="009F6F12">
            <w:pPr>
              <w:spacing w:line="240" w:lineRule="auto"/>
              <w:jc w:val="left"/>
              <w:rPr>
                <w:rFonts w:eastAsia="Times New Roman"/>
                <w:b/>
                <w:bCs/>
                <w:color w:val="000000" w:themeColor="text1"/>
                <w:szCs w:val="24"/>
                <w:lang w:eastAsia="cs-CZ"/>
              </w:rPr>
            </w:pPr>
          </w:p>
        </w:tc>
        <w:tc>
          <w:tcPr>
            <w:tcW w:w="2144" w:type="dxa"/>
            <w:gridSpan w:val="2"/>
            <w:tcBorders>
              <w:top w:val="nil"/>
              <w:left w:val="nil"/>
              <w:bottom w:val="double" w:sz="6" w:space="0" w:color="auto"/>
              <w:right w:val="nil"/>
            </w:tcBorders>
            <w:shd w:val="clear" w:color="auto" w:fill="auto"/>
            <w:noWrap/>
            <w:vAlign w:val="center"/>
            <w:hideMark/>
          </w:tcPr>
          <w:p w14:paraId="50523E64"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8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E3054F8"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88" w:type="dxa"/>
            <w:gridSpan w:val="2"/>
            <w:tcBorders>
              <w:top w:val="nil"/>
              <w:left w:val="nil"/>
              <w:bottom w:val="double" w:sz="6" w:space="0" w:color="auto"/>
              <w:right w:val="nil"/>
            </w:tcBorders>
            <w:shd w:val="clear" w:color="auto" w:fill="auto"/>
            <w:noWrap/>
            <w:vAlign w:val="center"/>
            <w:hideMark/>
          </w:tcPr>
          <w:p w14:paraId="1F38BBB6"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9F6F12" w:rsidRPr="001C3EC8" w14:paraId="7A13C10E" w14:textId="77777777" w:rsidTr="009F6F12">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53F94CB7"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bottom"/>
            <w:hideMark/>
          </w:tcPr>
          <w:p w14:paraId="1E00EB2A" w14:textId="4F681ABB"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24,25</w:t>
            </w:r>
          </w:p>
        </w:tc>
        <w:tc>
          <w:tcPr>
            <w:tcW w:w="1060" w:type="dxa"/>
            <w:tcBorders>
              <w:top w:val="single" w:sz="4" w:space="0" w:color="auto"/>
              <w:left w:val="nil"/>
              <w:bottom w:val="single" w:sz="4" w:space="0" w:color="auto"/>
              <w:right w:val="nil"/>
            </w:tcBorders>
            <w:shd w:val="clear" w:color="auto" w:fill="auto"/>
            <w:noWrap/>
            <w:vAlign w:val="bottom"/>
            <w:hideMark/>
          </w:tcPr>
          <w:p w14:paraId="244A6634" w14:textId="274D851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416,82</w:t>
            </w:r>
          </w:p>
        </w:tc>
        <w:tc>
          <w:tcPr>
            <w:tcW w:w="1084" w:type="dxa"/>
            <w:tcBorders>
              <w:top w:val="single" w:sz="4" w:space="0" w:color="auto"/>
              <w:left w:val="nil"/>
              <w:bottom w:val="single" w:sz="4" w:space="0" w:color="auto"/>
              <w:right w:val="nil"/>
            </w:tcBorders>
            <w:shd w:val="clear" w:color="auto" w:fill="auto"/>
            <w:noWrap/>
            <w:vAlign w:val="center"/>
            <w:hideMark/>
          </w:tcPr>
          <w:p w14:paraId="553F985B" w14:textId="639BABB8"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03C4AF22" w14:textId="37E45F4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434,23</w:t>
            </w:r>
          </w:p>
        </w:tc>
        <w:tc>
          <w:tcPr>
            <w:tcW w:w="929" w:type="dxa"/>
            <w:tcBorders>
              <w:top w:val="nil"/>
              <w:left w:val="nil"/>
              <w:bottom w:val="single" w:sz="4" w:space="0" w:color="auto"/>
              <w:right w:val="single" w:sz="4" w:space="0" w:color="auto"/>
            </w:tcBorders>
            <w:shd w:val="clear" w:color="auto" w:fill="auto"/>
            <w:noWrap/>
            <w:vAlign w:val="center"/>
            <w:hideMark/>
          </w:tcPr>
          <w:p w14:paraId="2B7F5730" w14:textId="34671B6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059" w:type="dxa"/>
            <w:tcBorders>
              <w:top w:val="single" w:sz="4" w:space="0" w:color="auto"/>
              <w:left w:val="nil"/>
              <w:bottom w:val="single" w:sz="4" w:space="0" w:color="auto"/>
              <w:right w:val="nil"/>
            </w:tcBorders>
            <w:shd w:val="clear" w:color="auto" w:fill="auto"/>
            <w:noWrap/>
            <w:vAlign w:val="bottom"/>
            <w:hideMark/>
          </w:tcPr>
          <w:p w14:paraId="4F4089E1" w14:textId="413EDC2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173,61</w:t>
            </w:r>
          </w:p>
        </w:tc>
        <w:tc>
          <w:tcPr>
            <w:tcW w:w="929" w:type="dxa"/>
            <w:tcBorders>
              <w:top w:val="single" w:sz="4" w:space="0" w:color="auto"/>
              <w:left w:val="nil"/>
              <w:bottom w:val="single" w:sz="4" w:space="0" w:color="auto"/>
              <w:right w:val="nil"/>
            </w:tcBorders>
            <w:shd w:val="clear" w:color="auto" w:fill="auto"/>
            <w:noWrap/>
            <w:vAlign w:val="center"/>
            <w:hideMark/>
          </w:tcPr>
          <w:p w14:paraId="79F6547A" w14:textId="38EA176C"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9F6F12" w:rsidRPr="001C3EC8" w14:paraId="2387DD43"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62E23649"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60" w:type="dxa"/>
            <w:tcBorders>
              <w:top w:val="nil"/>
              <w:left w:val="nil"/>
              <w:bottom w:val="single" w:sz="4" w:space="0" w:color="auto"/>
              <w:right w:val="nil"/>
            </w:tcBorders>
            <w:shd w:val="clear" w:color="auto" w:fill="auto"/>
            <w:noWrap/>
            <w:vAlign w:val="bottom"/>
            <w:hideMark/>
          </w:tcPr>
          <w:p w14:paraId="1B4986A2" w14:textId="7777777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1060" w:type="dxa"/>
            <w:tcBorders>
              <w:top w:val="nil"/>
              <w:left w:val="nil"/>
              <w:bottom w:val="single" w:sz="4" w:space="0" w:color="auto"/>
              <w:right w:val="nil"/>
            </w:tcBorders>
            <w:shd w:val="clear" w:color="auto" w:fill="auto"/>
            <w:noWrap/>
            <w:vAlign w:val="bottom"/>
            <w:hideMark/>
          </w:tcPr>
          <w:p w14:paraId="6EBEAED8" w14:textId="2282E05A"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243,00</w:t>
            </w:r>
          </w:p>
        </w:tc>
        <w:tc>
          <w:tcPr>
            <w:tcW w:w="1084" w:type="dxa"/>
            <w:tcBorders>
              <w:top w:val="nil"/>
              <w:left w:val="nil"/>
              <w:bottom w:val="single" w:sz="4" w:space="0" w:color="auto"/>
              <w:right w:val="nil"/>
            </w:tcBorders>
            <w:shd w:val="clear" w:color="auto" w:fill="auto"/>
            <w:noWrap/>
            <w:vAlign w:val="center"/>
            <w:hideMark/>
          </w:tcPr>
          <w:p w14:paraId="244684F0" w14:textId="6C4F25E3"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-37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4066B764" w14:textId="2F51743A"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281,00</w:t>
            </w:r>
          </w:p>
        </w:tc>
        <w:tc>
          <w:tcPr>
            <w:tcW w:w="929" w:type="dxa"/>
            <w:tcBorders>
              <w:top w:val="nil"/>
              <w:left w:val="nil"/>
              <w:bottom w:val="single" w:sz="4" w:space="0" w:color="auto"/>
              <w:right w:val="single" w:sz="4" w:space="0" w:color="auto"/>
            </w:tcBorders>
            <w:shd w:val="clear" w:color="auto" w:fill="auto"/>
            <w:noWrap/>
            <w:vAlign w:val="center"/>
            <w:hideMark/>
          </w:tcPr>
          <w:p w14:paraId="3F9646C1" w14:textId="073CCA69"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-33 </w:t>
            </w:r>
            <w:r w:rsidR="00B07E76">
              <w:rPr>
                <w:rFonts w:eastAsia="Times New Roman"/>
                <w:color w:val="000000" w:themeColor="text1"/>
                <w:sz w:val="20"/>
                <w:szCs w:val="20"/>
                <w:lang w:eastAsia="cs-CZ"/>
              </w:rPr>
              <w:t>%</w:t>
            </w:r>
          </w:p>
        </w:tc>
        <w:tc>
          <w:tcPr>
            <w:tcW w:w="1059" w:type="dxa"/>
            <w:tcBorders>
              <w:top w:val="nil"/>
              <w:left w:val="nil"/>
              <w:bottom w:val="single" w:sz="4" w:space="0" w:color="auto"/>
              <w:right w:val="nil"/>
            </w:tcBorders>
            <w:shd w:val="clear" w:color="auto" w:fill="auto"/>
            <w:noWrap/>
            <w:vAlign w:val="bottom"/>
            <w:hideMark/>
          </w:tcPr>
          <w:p w14:paraId="03252246" w14:textId="771494F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163,33</w:t>
            </w:r>
          </w:p>
        </w:tc>
        <w:tc>
          <w:tcPr>
            <w:tcW w:w="929" w:type="dxa"/>
            <w:tcBorders>
              <w:top w:val="nil"/>
              <w:left w:val="nil"/>
              <w:bottom w:val="single" w:sz="4" w:space="0" w:color="auto"/>
              <w:right w:val="nil"/>
            </w:tcBorders>
            <w:shd w:val="clear" w:color="auto" w:fill="auto"/>
            <w:noWrap/>
            <w:vAlign w:val="center"/>
            <w:hideMark/>
          </w:tcPr>
          <w:p w14:paraId="42A087D5" w14:textId="713484ED"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-46 </w:t>
            </w:r>
            <w:r w:rsidR="00B07E76">
              <w:rPr>
                <w:rFonts w:eastAsia="Times New Roman"/>
                <w:color w:val="000000" w:themeColor="text1"/>
                <w:sz w:val="20"/>
                <w:szCs w:val="20"/>
                <w:lang w:eastAsia="cs-CZ"/>
              </w:rPr>
              <w:t>%</w:t>
            </w:r>
          </w:p>
        </w:tc>
      </w:tr>
      <w:tr w:rsidR="009F6F12" w:rsidRPr="001C3EC8" w14:paraId="5644CEAC"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2E400684"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60" w:type="dxa"/>
            <w:tcBorders>
              <w:top w:val="nil"/>
              <w:left w:val="nil"/>
              <w:bottom w:val="single" w:sz="4" w:space="0" w:color="auto"/>
              <w:right w:val="nil"/>
            </w:tcBorders>
            <w:shd w:val="clear" w:color="auto" w:fill="auto"/>
            <w:noWrap/>
            <w:vAlign w:val="bottom"/>
            <w:hideMark/>
          </w:tcPr>
          <w:p w14:paraId="6946D21D" w14:textId="0F71B7E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w:t>
            </w:r>
          </w:p>
        </w:tc>
        <w:tc>
          <w:tcPr>
            <w:tcW w:w="1060" w:type="dxa"/>
            <w:tcBorders>
              <w:top w:val="nil"/>
              <w:left w:val="nil"/>
              <w:bottom w:val="single" w:sz="4" w:space="0" w:color="auto"/>
              <w:right w:val="nil"/>
            </w:tcBorders>
            <w:shd w:val="clear" w:color="auto" w:fill="auto"/>
            <w:noWrap/>
            <w:vAlign w:val="bottom"/>
            <w:hideMark/>
          </w:tcPr>
          <w:p w14:paraId="5CF78C68" w14:textId="0A1E3D8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118,61</w:t>
            </w:r>
          </w:p>
        </w:tc>
        <w:tc>
          <w:tcPr>
            <w:tcW w:w="1084" w:type="dxa"/>
            <w:tcBorders>
              <w:top w:val="nil"/>
              <w:left w:val="nil"/>
              <w:bottom w:val="single" w:sz="4" w:space="0" w:color="auto"/>
              <w:right w:val="nil"/>
            </w:tcBorders>
            <w:shd w:val="clear" w:color="auto" w:fill="auto"/>
            <w:noWrap/>
            <w:vAlign w:val="center"/>
            <w:hideMark/>
          </w:tcPr>
          <w:p w14:paraId="1FD264E0" w14:textId="4F42BEDC"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+60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657498D9" w14:textId="43B08DB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145,28</w:t>
            </w:r>
          </w:p>
        </w:tc>
        <w:tc>
          <w:tcPr>
            <w:tcW w:w="929" w:type="dxa"/>
            <w:tcBorders>
              <w:top w:val="nil"/>
              <w:left w:val="nil"/>
              <w:bottom w:val="single" w:sz="4" w:space="0" w:color="auto"/>
              <w:right w:val="single" w:sz="4" w:space="0" w:color="auto"/>
            </w:tcBorders>
            <w:shd w:val="clear" w:color="auto" w:fill="auto"/>
            <w:noWrap/>
            <w:vAlign w:val="center"/>
            <w:hideMark/>
          </w:tcPr>
          <w:p w14:paraId="4518B4DE" w14:textId="0C373D5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+72 </w:t>
            </w:r>
            <w:r w:rsidR="00B07E76">
              <w:rPr>
                <w:rFonts w:eastAsia="Times New Roman"/>
                <w:color w:val="000000" w:themeColor="text1"/>
                <w:sz w:val="20"/>
                <w:szCs w:val="20"/>
                <w:lang w:eastAsia="cs-CZ"/>
              </w:rPr>
              <w:t>%</w:t>
            </w:r>
          </w:p>
        </w:tc>
        <w:tc>
          <w:tcPr>
            <w:tcW w:w="1059" w:type="dxa"/>
            <w:tcBorders>
              <w:top w:val="nil"/>
              <w:left w:val="nil"/>
              <w:bottom w:val="single" w:sz="4" w:space="0" w:color="auto"/>
              <w:right w:val="nil"/>
            </w:tcBorders>
            <w:shd w:val="clear" w:color="auto" w:fill="auto"/>
            <w:noWrap/>
            <w:vAlign w:val="bottom"/>
            <w:hideMark/>
          </w:tcPr>
          <w:p w14:paraId="5FDF8209" w14:textId="0CC6081A"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99,72</w:t>
            </w:r>
          </w:p>
        </w:tc>
        <w:tc>
          <w:tcPr>
            <w:tcW w:w="929" w:type="dxa"/>
            <w:tcBorders>
              <w:top w:val="nil"/>
              <w:left w:val="nil"/>
              <w:bottom w:val="single" w:sz="4" w:space="0" w:color="auto"/>
              <w:right w:val="nil"/>
            </w:tcBorders>
            <w:shd w:val="clear" w:color="auto" w:fill="auto"/>
            <w:noWrap/>
            <w:vAlign w:val="center"/>
            <w:hideMark/>
          </w:tcPr>
          <w:p w14:paraId="1C8C87DC" w14:textId="5162872F"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+98 </w:t>
            </w:r>
            <w:r w:rsidR="00B07E76">
              <w:rPr>
                <w:rFonts w:eastAsia="Times New Roman"/>
                <w:color w:val="000000" w:themeColor="text1"/>
                <w:sz w:val="20"/>
                <w:szCs w:val="20"/>
                <w:lang w:eastAsia="cs-CZ"/>
              </w:rPr>
              <w:t>%</w:t>
            </w:r>
          </w:p>
        </w:tc>
      </w:tr>
      <w:tr w:rsidR="009F6F12" w:rsidRPr="001C3EC8" w14:paraId="5BA995E2"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28B98ED4"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60" w:type="dxa"/>
            <w:tcBorders>
              <w:top w:val="nil"/>
              <w:left w:val="nil"/>
              <w:bottom w:val="single" w:sz="4" w:space="0" w:color="auto"/>
              <w:right w:val="nil"/>
            </w:tcBorders>
            <w:shd w:val="clear" w:color="auto" w:fill="auto"/>
            <w:noWrap/>
            <w:vAlign w:val="bottom"/>
            <w:hideMark/>
          </w:tcPr>
          <w:p w14:paraId="71A91588" w14:textId="7777777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1060" w:type="dxa"/>
            <w:tcBorders>
              <w:top w:val="nil"/>
              <w:left w:val="nil"/>
              <w:bottom w:val="single" w:sz="4" w:space="0" w:color="auto"/>
              <w:right w:val="nil"/>
            </w:tcBorders>
            <w:shd w:val="clear" w:color="auto" w:fill="auto"/>
            <w:noWrap/>
            <w:vAlign w:val="bottom"/>
            <w:hideMark/>
          </w:tcPr>
          <w:p w14:paraId="7EABFD49" w14:textId="180F47B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190,60</w:t>
            </w:r>
          </w:p>
        </w:tc>
        <w:tc>
          <w:tcPr>
            <w:tcW w:w="1084" w:type="dxa"/>
            <w:tcBorders>
              <w:top w:val="nil"/>
              <w:left w:val="nil"/>
              <w:bottom w:val="single" w:sz="4" w:space="0" w:color="auto"/>
              <w:right w:val="nil"/>
            </w:tcBorders>
            <w:shd w:val="clear" w:color="auto" w:fill="auto"/>
            <w:noWrap/>
            <w:vAlign w:val="center"/>
            <w:hideMark/>
          </w:tcPr>
          <w:p w14:paraId="2720D587" w14:textId="416B5FA3"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-56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31AC6732" w14:textId="1E563A18"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315,20</w:t>
            </w:r>
          </w:p>
        </w:tc>
        <w:tc>
          <w:tcPr>
            <w:tcW w:w="929" w:type="dxa"/>
            <w:tcBorders>
              <w:top w:val="nil"/>
              <w:left w:val="nil"/>
              <w:bottom w:val="single" w:sz="4" w:space="0" w:color="auto"/>
              <w:right w:val="single" w:sz="4" w:space="0" w:color="auto"/>
            </w:tcBorders>
            <w:shd w:val="clear" w:color="auto" w:fill="auto"/>
            <w:noWrap/>
            <w:vAlign w:val="center"/>
            <w:hideMark/>
          </w:tcPr>
          <w:p w14:paraId="3DFFCA1F" w14:textId="05129B90"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c>
          <w:tcPr>
            <w:tcW w:w="1059" w:type="dxa"/>
            <w:tcBorders>
              <w:top w:val="nil"/>
              <w:left w:val="nil"/>
              <w:bottom w:val="single" w:sz="4" w:space="0" w:color="auto"/>
              <w:right w:val="nil"/>
            </w:tcBorders>
            <w:shd w:val="clear" w:color="auto" w:fill="auto"/>
            <w:noWrap/>
            <w:vAlign w:val="bottom"/>
            <w:hideMark/>
          </w:tcPr>
          <w:p w14:paraId="18F9E2C0" w14:textId="1B2C7D1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127,20</w:t>
            </w:r>
          </w:p>
        </w:tc>
        <w:tc>
          <w:tcPr>
            <w:tcW w:w="929" w:type="dxa"/>
            <w:tcBorders>
              <w:top w:val="nil"/>
              <w:left w:val="nil"/>
              <w:bottom w:val="single" w:sz="4" w:space="0" w:color="auto"/>
              <w:right w:val="nil"/>
            </w:tcBorders>
            <w:shd w:val="clear" w:color="auto" w:fill="auto"/>
            <w:noWrap/>
            <w:vAlign w:val="center"/>
            <w:hideMark/>
          </w:tcPr>
          <w:p w14:paraId="457CB146" w14:textId="687BC8D7"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-60 </w:t>
            </w:r>
            <w:r w:rsidR="00B07E76">
              <w:rPr>
                <w:rFonts w:eastAsia="Times New Roman"/>
                <w:color w:val="000000" w:themeColor="text1"/>
                <w:sz w:val="20"/>
                <w:szCs w:val="20"/>
                <w:lang w:eastAsia="cs-CZ"/>
              </w:rPr>
              <w:t>%</w:t>
            </w:r>
          </w:p>
        </w:tc>
      </w:tr>
      <w:tr w:rsidR="009F6F12" w:rsidRPr="001C3EC8" w14:paraId="645A2716"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13E7D592"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60" w:type="dxa"/>
            <w:tcBorders>
              <w:top w:val="nil"/>
              <w:left w:val="nil"/>
              <w:bottom w:val="single" w:sz="4" w:space="0" w:color="auto"/>
              <w:right w:val="nil"/>
            </w:tcBorders>
            <w:shd w:val="clear" w:color="auto" w:fill="auto"/>
            <w:noWrap/>
            <w:vAlign w:val="bottom"/>
            <w:hideMark/>
          </w:tcPr>
          <w:p w14:paraId="3FF90D0B" w14:textId="3B4B56F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6,99</w:t>
            </w:r>
          </w:p>
        </w:tc>
        <w:tc>
          <w:tcPr>
            <w:tcW w:w="1060" w:type="dxa"/>
            <w:tcBorders>
              <w:top w:val="nil"/>
              <w:left w:val="nil"/>
              <w:bottom w:val="single" w:sz="4" w:space="0" w:color="auto"/>
              <w:right w:val="nil"/>
            </w:tcBorders>
            <w:shd w:val="clear" w:color="auto" w:fill="auto"/>
            <w:noWrap/>
            <w:vAlign w:val="bottom"/>
            <w:hideMark/>
          </w:tcPr>
          <w:p w14:paraId="50763204" w14:textId="3728DEF0"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150,79</w:t>
            </w:r>
          </w:p>
        </w:tc>
        <w:tc>
          <w:tcPr>
            <w:tcW w:w="1084" w:type="dxa"/>
            <w:tcBorders>
              <w:top w:val="nil"/>
              <w:left w:val="nil"/>
              <w:bottom w:val="single" w:sz="4" w:space="0" w:color="auto"/>
              <w:right w:val="nil"/>
            </w:tcBorders>
            <w:shd w:val="clear" w:color="auto" w:fill="auto"/>
            <w:noWrap/>
            <w:vAlign w:val="center"/>
            <w:hideMark/>
          </w:tcPr>
          <w:p w14:paraId="6169A72E" w14:textId="515E0E85"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2D3F86D9" w14:textId="595307A0"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284,55</w:t>
            </w:r>
          </w:p>
        </w:tc>
        <w:tc>
          <w:tcPr>
            <w:tcW w:w="929" w:type="dxa"/>
            <w:tcBorders>
              <w:top w:val="nil"/>
              <w:left w:val="nil"/>
              <w:bottom w:val="single" w:sz="4" w:space="0" w:color="auto"/>
              <w:right w:val="single" w:sz="4" w:space="0" w:color="auto"/>
            </w:tcBorders>
            <w:shd w:val="clear" w:color="auto" w:fill="auto"/>
            <w:noWrap/>
            <w:vAlign w:val="center"/>
            <w:hideMark/>
          </w:tcPr>
          <w:p w14:paraId="79250553" w14:textId="1CC2C933"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+54 </w:t>
            </w:r>
            <w:r w:rsidR="00B07E76">
              <w:rPr>
                <w:rFonts w:eastAsia="Times New Roman"/>
                <w:color w:val="000000" w:themeColor="text1"/>
                <w:sz w:val="20"/>
                <w:szCs w:val="20"/>
                <w:lang w:eastAsia="cs-CZ"/>
              </w:rPr>
              <w:t>%</w:t>
            </w:r>
          </w:p>
        </w:tc>
        <w:tc>
          <w:tcPr>
            <w:tcW w:w="1059" w:type="dxa"/>
            <w:tcBorders>
              <w:top w:val="nil"/>
              <w:left w:val="nil"/>
              <w:bottom w:val="single" w:sz="4" w:space="0" w:color="auto"/>
              <w:right w:val="nil"/>
            </w:tcBorders>
            <w:shd w:val="clear" w:color="auto" w:fill="auto"/>
            <w:noWrap/>
            <w:vAlign w:val="bottom"/>
            <w:hideMark/>
          </w:tcPr>
          <w:p w14:paraId="1C4A40D5" w14:textId="186DA251"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252,22</w:t>
            </w:r>
          </w:p>
        </w:tc>
        <w:tc>
          <w:tcPr>
            <w:tcW w:w="929" w:type="dxa"/>
            <w:tcBorders>
              <w:top w:val="nil"/>
              <w:left w:val="nil"/>
              <w:bottom w:val="single" w:sz="4" w:space="0" w:color="auto"/>
              <w:right w:val="nil"/>
            </w:tcBorders>
            <w:shd w:val="clear" w:color="auto" w:fill="auto"/>
            <w:noWrap/>
            <w:vAlign w:val="center"/>
            <w:hideMark/>
          </w:tcPr>
          <w:p w14:paraId="67A5F2A2" w14:textId="5450D8F1"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9F6F12" w:rsidRPr="001C3EC8" w14:paraId="1E343D28"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719A68F5"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60" w:type="dxa"/>
            <w:tcBorders>
              <w:top w:val="nil"/>
              <w:left w:val="nil"/>
              <w:bottom w:val="single" w:sz="4" w:space="0" w:color="auto"/>
              <w:right w:val="nil"/>
            </w:tcBorders>
            <w:shd w:val="clear" w:color="auto" w:fill="auto"/>
            <w:noWrap/>
            <w:vAlign w:val="bottom"/>
            <w:hideMark/>
          </w:tcPr>
          <w:p w14:paraId="4BB96368" w14:textId="2081D5C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w:t>
            </w:r>
          </w:p>
        </w:tc>
        <w:tc>
          <w:tcPr>
            <w:tcW w:w="1060" w:type="dxa"/>
            <w:tcBorders>
              <w:top w:val="nil"/>
              <w:left w:val="nil"/>
              <w:bottom w:val="single" w:sz="4" w:space="0" w:color="auto"/>
              <w:right w:val="nil"/>
            </w:tcBorders>
            <w:shd w:val="clear" w:color="auto" w:fill="auto"/>
            <w:noWrap/>
            <w:vAlign w:val="bottom"/>
            <w:hideMark/>
          </w:tcPr>
          <w:p w14:paraId="222775E8" w14:textId="0249F78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220,76</w:t>
            </w:r>
          </w:p>
        </w:tc>
        <w:tc>
          <w:tcPr>
            <w:tcW w:w="1084" w:type="dxa"/>
            <w:tcBorders>
              <w:top w:val="nil"/>
              <w:left w:val="nil"/>
              <w:bottom w:val="single" w:sz="4" w:space="0" w:color="auto"/>
              <w:right w:val="nil"/>
            </w:tcBorders>
            <w:shd w:val="clear" w:color="auto" w:fill="auto"/>
            <w:noWrap/>
            <w:vAlign w:val="center"/>
            <w:hideMark/>
          </w:tcPr>
          <w:p w14:paraId="5EE3190D" w14:textId="4F74F37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-26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4944E469" w14:textId="07DF3BC1"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204,35</w:t>
            </w:r>
          </w:p>
        </w:tc>
        <w:tc>
          <w:tcPr>
            <w:tcW w:w="929" w:type="dxa"/>
            <w:tcBorders>
              <w:top w:val="nil"/>
              <w:left w:val="nil"/>
              <w:bottom w:val="single" w:sz="4" w:space="0" w:color="auto"/>
              <w:right w:val="single" w:sz="4" w:space="0" w:color="auto"/>
            </w:tcBorders>
            <w:shd w:val="clear" w:color="auto" w:fill="auto"/>
            <w:noWrap/>
            <w:vAlign w:val="center"/>
            <w:hideMark/>
          </w:tcPr>
          <w:p w14:paraId="72FB5E11" w14:textId="1CAACFE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-34 </w:t>
            </w:r>
            <w:r w:rsidR="00B07E76">
              <w:rPr>
                <w:rFonts w:eastAsia="Times New Roman"/>
                <w:color w:val="000000" w:themeColor="text1"/>
                <w:sz w:val="20"/>
                <w:szCs w:val="20"/>
                <w:lang w:eastAsia="cs-CZ"/>
              </w:rPr>
              <w:t>%</w:t>
            </w:r>
          </w:p>
        </w:tc>
        <w:tc>
          <w:tcPr>
            <w:tcW w:w="1059" w:type="dxa"/>
            <w:tcBorders>
              <w:top w:val="nil"/>
              <w:left w:val="nil"/>
              <w:bottom w:val="single" w:sz="4" w:space="0" w:color="auto"/>
              <w:right w:val="nil"/>
            </w:tcBorders>
            <w:shd w:val="clear" w:color="auto" w:fill="auto"/>
            <w:noWrap/>
            <w:vAlign w:val="bottom"/>
            <w:hideMark/>
          </w:tcPr>
          <w:p w14:paraId="3054AEC8" w14:textId="2B87C7C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113,15</w:t>
            </w:r>
          </w:p>
        </w:tc>
        <w:tc>
          <w:tcPr>
            <w:tcW w:w="929" w:type="dxa"/>
            <w:tcBorders>
              <w:top w:val="nil"/>
              <w:left w:val="nil"/>
              <w:bottom w:val="single" w:sz="4" w:space="0" w:color="auto"/>
              <w:right w:val="nil"/>
            </w:tcBorders>
            <w:shd w:val="clear" w:color="auto" w:fill="auto"/>
            <w:noWrap/>
            <w:vAlign w:val="center"/>
            <w:hideMark/>
          </w:tcPr>
          <w:p w14:paraId="3BC20B31" w14:textId="395783A7"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9F6F12" w:rsidRPr="001C3EC8" w14:paraId="57CC1E6E"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551ADFA7"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60" w:type="dxa"/>
            <w:tcBorders>
              <w:top w:val="nil"/>
              <w:left w:val="nil"/>
              <w:bottom w:val="single" w:sz="4" w:space="0" w:color="auto"/>
              <w:right w:val="nil"/>
            </w:tcBorders>
            <w:shd w:val="clear" w:color="auto" w:fill="auto"/>
            <w:noWrap/>
            <w:vAlign w:val="bottom"/>
            <w:hideMark/>
          </w:tcPr>
          <w:p w14:paraId="0302E562" w14:textId="7777777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w:t>
            </w:r>
          </w:p>
        </w:tc>
        <w:tc>
          <w:tcPr>
            <w:tcW w:w="1060" w:type="dxa"/>
            <w:tcBorders>
              <w:top w:val="nil"/>
              <w:left w:val="nil"/>
              <w:bottom w:val="single" w:sz="4" w:space="0" w:color="auto"/>
              <w:right w:val="nil"/>
            </w:tcBorders>
            <w:shd w:val="clear" w:color="auto" w:fill="auto"/>
            <w:noWrap/>
            <w:vAlign w:val="bottom"/>
            <w:hideMark/>
          </w:tcPr>
          <w:p w14:paraId="2126A0AB" w14:textId="6087BFD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242,92</w:t>
            </w:r>
          </w:p>
        </w:tc>
        <w:tc>
          <w:tcPr>
            <w:tcW w:w="1084" w:type="dxa"/>
            <w:tcBorders>
              <w:top w:val="nil"/>
              <w:left w:val="nil"/>
              <w:bottom w:val="single" w:sz="4" w:space="0" w:color="auto"/>
              <w:right w:val="nil"/>
            </w:tcBorders>
            <w:shd w:val="clear" w:color="auto" w:fill="auto"/>
            <w:noWrap/>
            <w:vAlign w:val="center"/>
            <w:hideMark/>
          </w:tcPr>
          <w:p w14:paraId="61EE7F36" w14:textId="71F1F18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+103 </w:t>
            </w:r>
            <w:r w:rsidR="00B07E76">
              <w:rPr>
                <w:rFonts w:eastAsia="Times New Roman"/>
                <w:color w:val="000000" w:themeColor="text1"/>
                <w:sz w:val="20"/>
                <w:szCs w:val="20"/>
                <w:lang w:eastAsia="cs-CZ"/>
              </w:rPr>
              <w:t>%</w:t>
            </w:r>
          </w:p>
        </w:tc>
        <w:tc>
          <w:tcPr>
            <w:tcW w:w="1059" w:type="dxa"/>
            <w:tcBorders>
              <w:top w:val="nil"/>
              <w:left w:val="single" w:sz="4" w:space="0" w:color="auto"/>
              <w:bottom w:val="single" w:sz="4" w:space="0" w:color="auto"/>
              <w:right w:val="nil"/>
            </w:tcBorders>
            <w:shd w:val="clear" w:color="auto" w:fill="auto"/>
            <w:noWrap/>
            <w:vAlign w:val="bottom"/>
            <w:hideMark/>
          </w:tcPr>
          <w:p w14:paraId="15932937" w14:textId="3C867A21"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245,31</w:t>
            </w:r>
          </w:p>
        </w:tc>
        <w:tc>
          <w:tcPr>
            <w:tcW w:w="929" w:type="dxa"/>
            <w:tcBorders>
              <w:top w:val="nil"/>
              <w:left w:val="nil"/>
              <w:bottom w:val="single" w:sz="4" w:space="0" w:color="auto"/>
              <w:right w:val="single" w:sz="4" w:space="0" w:color="auto"/>
            </w:tcBorders>
            <w:shd w:val="clear" w:color="auto" w:fill="auto"/>
            <w:noWrap/>
            <w:vAlign w:val="center"/>
            <w:hideMark/>
          </w:tcPr>
          <w:p w14:paraId="49A0DA5A" w14:textId="58A03FEC"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+82 </w:t>
            </w:r>
            <w:r w:rsidR="00B07E76">
              <w:rPr>
                <w:rFonts w:eastAsia="Times New Roman"/>
                <w:color w:val="000000" w:themeColor="text1"/>
                <w:sz w:val="20"/>
                <w:szCs w:val="20"/>
                <w:lang w:eastAsia="cs-CZ"/>
              </w:rPr>
              <w:t>%</w:t>
            </w:r>
          </w:p>
        </w:tc>
        <w:tc>
          <w:tcPr>
            <w:tcW w:w="1059" w:type="dxa"/>
            <w:tcBorders>
              <w:top w:val="nil"/>
              <w:left w:val="nil"/>
              <w:bottom w:val="single" w:sz="4" w:space="0" w:color="auto"/>
              <w:right w:val="nil"/>
            </w:tcBorders>
            <w:shd w:val="clear" w:color="auto" w:fill="auto"/>
            <w:noWrap/>
            <w:vAlign w:val="bottom"/>
            <w:hideMark/>
          </w:tcPr>
          <w:p w14:paraId="3AE59174" w14:textId="65C3DE56"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241,38</w:t>
            </w:r>
          </w:p>
        </w:tc>
        <w:tc>
          <w:tcPr>
            <w:tcW w:w="929" w:type="dxa"/>
            <w:tcBorders>
              <w:top w:val="nil"/>
              <w:left w:val="nil"/>
              <w:bottom w:val="single" w:sz="4" w:space="0" w:color="auto"/>
              <w:right w:val="nil"/>
            </w:tcBorders>
            <w:shd w:val="clear" w:color="auto" w:fill="auto"/>
            <w:noWrap/>
            <w:vAlign w:val="center"/>
            <w:hideMark/>
          </w:tcPr>
          <w:p w14:paraId="1409D20E" w14:textId="0B4A5260"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+83 </w:t>
            </w:r>
            <w:r w:rsidR="00B07E76">
              <w:rPr>
                <w:rFonts w:eastAsia="Times New Roman"/>
                <w:color w:val="000000" w:themeColor="text1"/>
                <w:sz w:val="20"/>
                <w:szCs w:val="20"/>
                <w:lang w:eastAsia="cs-CZ"/>
              </w:rPr>
              <w:t>%</w:t>
            </w:r>
          </w:p>
        </w:tc>
      </w:tr>
      <w:tr w:rsidR="009F6F12" w:rsidRPr="001C3EC8" w14:paraId="6381B6E8" w14:textId="77777777" w:rsidTr="009F6F12">
        <w:trPr>
          <w:trHeight w:val="330"/>
        </w:trPr>
        <w:tc>
          <w:tcPr>
            <w:tcW w:w="1820" w:type="dxa"/>
            <w:tcBorders>
              <w:top w:val="nil"/>
              <w:left w:val="nil"/>
              <w:bottom w:val="double" w:sz="6" w:space="0" w:color="auto"/>
              <w:right w:val="nil"/>
            </w:tcBorders>
            <w:shd w:val="clear" w:color="auto" w:fill="auto"/>
            <w:noWrap/>
            <w:vAlign w:val="bottom"/>
            <w:hideMark/>
          </w:tcPr>
          <w:p w14:paraId="4CB83668"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60" w:type="dxa"/>
            <w:tcBorders>
              <w:top w:val="nil"/>
              <w:left w:val="nil"/>
              <w:bottom w:val="double" w:sz="6" w:space="0" w:color="auto"/>
              <w:right w:val="nil"/>
            </w:tcBorders>
            <w:shd w:val="clear" w:color="auto" w:fill="auto"/>
            <w:noWrap/>
            <w:vAlign w:val="bottom"/>
            <w:hideMark/>
          </w:tcPr>
          <w:p w14:paraId="520C0275" w14:textId="6BB930A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w:t>
            </w:r>
          </w:p>
        </w:tc>
        <w:tc>
          <w:tcPr>
            <w:tcW w:w="1060" w:type="dxa"/>
            <w:tcBorders>
              <w:top w:val="nil"/>
              <w:left w:val="nil"/>
              <w:bottom w:val="double" w:sz="6" w:space="0" w:color="auto"/>
              <w:right w:val="nil"/>
            </w:tcBorders>
            <w:shd w:val="clear" w:color="auto" w:fill="auto"/>
            <w:noWrap/>
            <w:vAlign w:val="bottom"/>
            <w:hideMark/>
          </w:tcPr>
          <w:p w14:paraId="31C711B4" w14:textId="6433519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285,54</w:t>
            </w:r>
          </w:p>
        </w:tc>
        <w:tc>
          <w:tcPr>
            <w:tcW w:w="1084" w:type="dxa"/>
            <w:tcBorders>
              <w:top w:val="nil"/>
              <w:left w:val="nil"/>
              <w:bottom w:val="double" w:sz="6" w:space="0" w:color="auto"/>
              <w:right w:val="nil"/>
            </w:tcBorders>
            <w:shd w:val="clear" w:color="auto" w:fill="auto"/>
            <w:noWrap/>
            <w:vAlign w:val="center"/>
            <w:hideMark/>
          </w:tcPr>
          <w:p w14:paraId="3CFF0001" w14:textId="65CE6F33"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1059" w:type="dxa"/>
            <w:tcBorders>
              <w:top w:val="nil"/>
              <w:left w:val="single" w:sz="4" w:space="0" w:color="auto"/>
              <w:bottom w:val="double" w:sz="6" w:space="0" w:color="auto"/>
              <w:right w:val="nil"/>
            </w:tcBorders>
            <w:shd w:val="clear" w:color="auto" w:fill="auto"/>
            <w:noWrap/>
            <w:vAlign w:val="bottom"/>
            <w:hideMark/>
          </w:tcPr>
          <w:p w14:paraId="1DB0097F" w14:textId="3ED8C8C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280,81</w:t>
            </w:r>
          </w:p>
        </w:tc>
        <w:tc>
          <w:tcPr>
            <w:tcW w:w="929" w:type="dxa"/>
            <w:tcBorders>
              <w:top w:val="nil"/>
              <w:left w:val="nil"/>
              <w:bottom w:val="double" w:sz="6" w:space="0" w:color="auto"/>
              <w:right w:val="single" w:sz="4" w:space="0" w:color="auto"/>
            </w:tcBorders>
            <w:shd w:val="clear" w:color="auto" w:fill="auto"/>
            <w:noWrap/>
            <w:vAlign w:val="center"/>
            <w:hideMark/>
          </w:tcPr>
          <w:p w14:paraId="05690C88" w14:textId="24DB6E3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1059" w:type="dxa"/>
            <w:tcBorders>
              <w:top w:val="nil"/>
              <w:left w:val="nil"/>
              <w:bottom w:val="double" w:sz="6" w:space="0" w:color="auto"/>
              <w:right w:val="nil"/>
            </w:tcBorders>
            <w:shd w:val="clear" w:color="auto" w:fill="auto"/>
            <w:noWrap/>
            <w:vAlign w:val="bottom"/>
            <w:hideMark/>
          </w:tcPr>
          <w:p w14:paraId="2A126425" w14:textId="0FAC274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149,32</w:t>
            </w:r>
          </w:p>
        </w:tc>
        <w:tc>
          <w:tcPr>
            <w:tcW w:w="929" w:type="dxa"/>
            <w:tcBorders>
              <w:top w:val="nil"/>
              <w:left w:val="nil"/>
              <w:bottom w:val="double" w:sz="6" w:space="0" w:color="auto"/>
              <w:right w:val="nil"/>
            </w:tcBorders>
            <w:shd w:val="clear" w:color="auto" w:fill="auto"/>
            <w:noWrap/>
            <w:vAlign w:val="center"/>
            <w:hideMark/>
          </w:tcPr>
          <w:p w14:paraId="1E98B5C3" w14:textId="242CBCC7"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9F6F12" w:rsidRPr="001C3EC8" w14:paraId="7C1B865A" w14:textId="77777777" w:rsidTr="009F6F12">
        <w:trPr>
          <w:trHeight w:val="345"/>
        </w:trPr>
        <w:tc>
          <w:tcPr>
            <w:tcW w:w="1820" w:type="dxa"/>
            <w:tcBorders>
              <w:top w:val="nil"/>
              <w:left w:val="nil"/>
              <w:bottom w:val="double" w:sz="6" w:space="0" w:color="auto"/>
              <w:right w:val="nil"/>
            </w:tcBorders>
            <w:shd w:val="clear" w:color="auto" w:fill="auto"/>
            <w:noWrap/>
            <w:vAlign w:val="bottom"/>
            <w:hideMark/>
          </w:tcPr>
          <w:p w14:paraId="0252BD8C" w14:textId="77777777" w:rsidR="009F6F12" w:rsidRPr="001C3EC8" w:rsidRDefault="009F6F12" w:rsidP="009F6F12">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60" w:type="dxa"/>
            <w:tcBorders>
              <w:top w:val="nil"/>
              <w:left w:val="nil"/>
              <w:bottom w:val="double" w:sz="6" w:space="0" w:color="auto"/>
              <w:right w:val="nil"/>
            </w:tcBorders>
            <w:shd w:val="clear" w:color="auto" w:fill="auto"/>
            <w:noWrap/>
            <w:vAlign w:val="bottom"/>
            <w:hideMark/>
          </w:tcPr>
          <w:p w14:paraId="3B3E607A" w14:textId="5172971B"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79,84</w:t>
            </w:r>
          </w:p>
        </w:tc>
        <w:tc>
          <w:tcPr>
            <w:tcW w:w="1060" w:type="dxa"/>
            <w:tcBorders>
              <w:top w:val="nil"/>
              <w:left w:val="nil"/>
              <w:bottom w:val="double" w:sz="6" w:space="0" w:color="auto"/>
              <w:right w:val="nil"/>
            </w:tcBorders>
            <w:shd w:val="clear" w:color="auto" w:fill="auto"/>
            <w:noWrap/>
            <w:vAlign w:val="bottom"/>
            <w:hideMark/>
          </w:tcPr>
          <w:p w14:paraId="63080023" w14:textId="2AE22DA3"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284,14</w:t>
            </w:r>
          </w:p>
        </w:tc>
        <w:tc>
          <w:tcPr>
            <w:tcW w:w="1084" w:type="dxa"/>
            <w:tcBorders>
              <w:top w:val="nil"/>
              <w:left w:val="nil"/>
              <w:bottom w:val="double" w:sz="6" w:space="0" w:color="auto"/>
              <w:right w:val="nil"/>
            </w:tcBorders>
            <w:shd w:val="clear" w:color="auto" w:fill="auto"/>
            <w:noWrap/>
            <w:vAlign w:val="center"/>
            <w:hideMark/>
          </w:tcPr>
          <w:p w14:paraId="44FA2B10" w14:textId="00BE2543"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+17 </w:t>
            </w:r>
            <w:r w:rsidR="00B07E76">
              <w:rPr>
                <w:rFonts w:eastAsia="Times New Roman"/>
                <w:b/>
                <w:bCs/>
                <w:color w:val="000000" w:themeColor="text1"/>
                <w:sz w:val="20"/>
                <w:szCs w:val="20"/>
                <w:lang w:eastAsia="cs-CZ"/>
              </w:rPr>
              <w:t>%</w:t>
            </w:r>
          </w:p>
        </w:tc>
        <w:tc>
          <w:tcPr>
            <w:tcW w:w="1059" w:type="dxa"/>
            <w:tcBorders>
              <w:top w:val="nil"/>
              <w:left w:val="single" w:sz="4" w:space="0" w:color="auto"/>
              <w:bottom w:val="double" w:sz="6" w:space="0" w:color="auto"/>
              <w:right w:val="nil"/>
            </w:tcBorders>
            <w:shd w:val="clear" w:color="auto" w:fill="auto"/>
            <w:noWrap/>
            <w:vAlign w:val="bottom"/>
            <w:hideMark/>
          </w:tcPr>
          <w:p w14:paraId="4C52D150" w14:textId="38CFB7D2"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309,19</w:t>
            </w:r>
          </w:p>
        </w:tc>
        <w:tc>
          <w:tcPr>
            <w:tcW w:w="929" w:type="dxa"/>
            <w:tcBorders>
              <w:top w:val="nil"/>
              <w:left w:val="nil"/>
              <w:bottom w:val="double" w:sz="6" w:space="0" w:color="auto"/>
              <w:right w:val="single" w:sz="4" w:space="0" w:color="auto"/>
            </w:tcBorders>
            <w:shd w:val="clear" w:color="auto" w:fill="auto"/>
            <w:noWrap/>
            <w:vAlign w:val="center"/>
            <w:hideMark/>
          </w:tcPr>
          <w:p w14:paraId="2034D55D" w14:textId="6238CF32"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+17 </w:t>
            </w:r>
            <w:r w:rsidR="00B07E76">
              <w:rPr>
                <w:rFonts w:eastAsia="Times New Roman"/>
                <w:b/>
                <w:bCs/>
                <w:color w:val="000000" w:themeColor="text1"/>
                <w:sz w:val="20"/>
                <w:szCs w:val="20"/>
                <w:lang w:eastAsia="cs-CZ"/>
              </w:rPr>
              <w:t>%</w:t>
            </w:r>
          </w:p>
        </w:tc>
        <w:tc>
          <w:tcPr>
            <w:tcW w:w="1059" w:type="dxa"/>
            <w:tcBorders>
              <w:top w:val="nil"/>
              <w:left w:val="nil"/>
              <w:bottom w:val="double" w:sz="6" w:space="0" w:color="auto"/>
              <w:right w:val="nil"/>
            </w:tcBorders>
            <w:shd w:val="clear" w:color="auto" w:fill="auto"/>
            <w:noWrap/>
            <w:vAlign w:val="bottom"/>
            <w:hideMark/>
          </w:tcPr>
          <w:p w14:paraId="25EA0875" w14:textId="0B9AA766"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173,43</w:t>
            </w:r>
          </w:p>
        </w:tc>
        <w:tc>
          <w:tcPr>
            <w:tcW w:w="929" w:type="dxa"/>
            <w:tcBorders>
              <w:top w:val="nil"/>
              <w:left w:val="nil"/>
              <w:bottom w:val="double" w:sz="6" w:space="0" w:color="auto"/>
              <w:right w:val="nil"/>
            </w:tcBorders>
            <w:shd w:val="clear" w:color="auto" w:fill="auto"/>
            <w:noWrap/>
            <w:vAlign w:val="center"/>
            <w:hideMark/>
          </w:tcPr>
          <w:p w14:paraId="1E5348C6" w14:textId="783D57EE"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r>
    </w:tbl>
    <w:p w14:paraId="4A3E8409" w14:textId="77777777" w:rsidR="008430BD" w:rsidRPr="001C3EC8" w:rsidRDefault="008430BD" w:rsidP="00F66F3C">
      <w:pPr>
        <w:pStyle w:val="OdstavecASR"/>
        <w:rPr>
          <w:color w:val="000000" w:themeColor="text1"/>
        </w:rPr>
      </w:pPr>
    </w:p>
    <w:p w14:paraId="5B5C2E27" w14:textId="77777777" w:rsidR="008430BD" w:rsidRPr="001C3EC8" w:rsidRDefault="008430BD" w:rsidP="008430BD">
      <w:pPr>
        <w:pStyle w:val="Nadpis3"/>
        <w:keepNext w:val="0"/>
        <w:numPr>
          <w:ilvl w:val="2"/>
          <w:numId w:val="1"/>
        </w:numPr>
        <w:rPr>
          <w:color w:val="000000" w:themeColor="text1"/>
        </w:rPr>
      </w:pPr>
      <w:bookmarkStart w:id="436" w:name="_Toc515871251"/>
      <w:bookmarkStart w:id="437" w:name="_Toc75952090"/>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436"/>
      <w:proofErr w:type="spellEnd"/>
      <w:r w:rsidRPr="001C3EC8">
        <w:rPr>
          <w:color w:val="000000" w:themeColor="text1"/>
        </w:rPr>
        <w:t xml:space="preserve"> (dispoziční čas)</w:t>
      </w:r>
      <w:bookmarkEnd w:id="437"/>
    </w:p>
    <w:p w14:paraId="10325739" w14:textId="3602A41A" w:rsidR="00B07E76" w:rsidRDefault="008430BD" w:rsidP="008430BD">
      <w:pPr>
        <w:pStyle w:val="OdstavecASR"/>
        <w:rPr>
          <w:color w:val="000000" w:themeColor="text1"/>
        </w:rPr>
      </w:pPr>
      <w:r w:rsidRPr="001C3EC8">
        <w:rPr>
          <w:color w:val="000000" w:themeColor="text1"/>
        </w:rPr>
        <w:t xml:space="preserve">Od roku 2010 do roku 2019 je vývoj DT celkem stabilizovaný okolo hodnoty 240 kalendářních dnů </w:t>
      </w:r>
      <w:r w:rsidR="0014150C" w:rsidRPr="001C3EC8">
        <w:rPr>
          <w:color w:val="000000" w:themeColor="text1"/>
        </w:rPr>
        <w:t>a</w:t>
      </w:r>
      <w:r w:rsidR="0014150C">
        <w:rPr>
          <w:color w:val="000000" w:themeColor="text1"/>
        </w:rPr>
        <w:t> </w:t>
      </w:r>
      <w:r w:rsidRPr="001C3EC8">
        <w:rPr>
          <w:color w:val="000000" w:themeColor="text1"/>
        </w:rPr>
        <w:t xml:space="preserve">konkrétní hodnota v daném roce vždy závisí na vzájemném poměru a vývoji mezi počtem nevyřízených </w:t>
      </w:r>
      <w:r w:rsidR="0014150C" w:rsidRPr="001C3EC8">
        <w:rPr>
          <w:color w:val="000000" w:themeColor="text1"/>
        </w:rPr>
        <w:t>a</w:t>
      </w:r>
      <w:r w:rsidR="0014150C">
        <w:rPr>
          <w:color w:val="000000" w:themeColor="text1"/>
        </w:rPr>
        <w:t> </w:t>
      </w:r>
      <w:r w:rsidRPr="001C3EC8">
        <w:rPr>
          <w:color w:val="000000" w:themeColor="text1"/>
        </w:rPr>
        <w:t>vyřízených věcí.</w:t>
      </w:r>
      <w:r w:rsidR="00E10CA4">
        <w:rPr>
          <w:color w:val="000000" w:themeColor="text1"/>
        </w:rPr>
        <w:t xml:space="preserve"> </w:t>
      </w:r>
      <w:r w:rsidRPr="001C3EC8">
        <w:rPr>
          <w:color w:val="000000" w:themeColor="text1"/>
        </w:rPr>
        <w:t>V roce 2020 došlo k dalšímu poklesu, což je dáno poklesem v počtu nevyřízených věcí. DT je tak nejmenší za sledované období.</w:t>
      </w:r>
    </w:p>
    <w:p w14:paraId="5FA15248" w14:textId="300E8384" w:rsidR="008430BD" w:rsidRPr="001C3EC8" w:rsidRDefault="008430BD" w:rsidP="008430BD">
      <w:pPr>
        <w:pStyle w:val="OdstavecASR"/>
        <w:rPr>
          <w:color w:val="000000" w:themeColor="text1"/>
        </w:rPr>
      </w:pPr>
      <w:r w:rsidRPr="001C3EC8">
        <w:rPr>
          <w:color w:val="000000" w:themeColor="text1"/>
        </w:rPr>
        <w:t xml:space="preserve">Připomínáme, že DT je doba, za kterou by soud vyřídil všechny nevyřízené věci, které </w:t>
      </w:r>
      <w:r w:rsidR="0014150C" w:rsidRPr="001C3EC8">
        <w:rPr>
          <w:color w:val="000000" w:themeColor="text1"/>
        </w:rPr>
        <w:t>u</w:t>
      </w:r>
      <w:r w:rsidR="0014150C">
        <w:rPr>
          <w:color w:val="000000" w:themeColor="text1"/>
        </w:rPr>
        <w:t> </w:t>
      </w:r>
      <w:r w:rsidRPr="001C3EC8">
        <w:rPr>
          <w:color w:val="000000" w:themeColor="text1"/>
        </w:rPr>
        <w:t xml:space="preserve">něj v daném roce leží, pokud by pracoval stejným tempem </w:t>
      </w:r>
      <w:r w:rsidR="0014150C" w:rsidRPr="001C3EC8">
        <w:rPr>
          <w:color w:val="000000" w:themeColor="text1"/>
        </w:rPr>
        <w:t>a</w:t>
      </w:r>
      <w:r w:rsidR="0014150C">
        <w:rPr>
          <w:color w:val="000000" w:themeColor="text1"/>
        </w:rPr>
        <w:t> </w:t>
      </w:r>
      <w:r w:rsidRPr="001C3EC8">
        <w:rPr>
          <w:color w:val="000000" w:themeColor="text1"/>
        </w:rPr>
        <w:t xml:space="preserve">neměl žádný nový nápad ani obživu věcí. Nejde tedy </w:t>
      </w:r>
      <w:r w:rsidR="0014150C" w:rsidRPr="001C3EC8">
        <w:rPr>
          <w:color w:val="000000" w:themeColor="text1"/>
        </w:rPr>
        <w:t>o</w:t>
      </w:r>
      <w:r w:rsidR="0014150C">
        <w:rPr>
          <w:color w:val="000000" w:themeColor="text1"/>
        </w:rPr>
        <w:t> </w:t>
      </w:r>
      <w:r w:rsidRPr="001C3EC8">
        <w:rPr>
          <w:color w:val="000000" w:themeColor="text1"/>
        </w:rPr>
        <w:t xml:space="preserve">průměrnou délka řízení </w:t>
      </w:r>
      <w:r w:rsidR="0014150C" w:rsidRPr="001C3EC8">
        <w:rPr>
          <w:color w:val="000000" w:themeColor="text1"/>
        </w:rPr>
        <w:t>a</w:t>
      </w:r>
      <w:r w:rsidR="0014150C">
        <w:rPr>
          <w:color w:val="000000" w:themeColor="text1"/>
        </w:rPr>
        <w:t> </w:t>
      </w:r>
      <w:r w:rsidRPr="001C3EC8">
        <w:rPr>
          <w:color w:val="000000" w:themeColor="text1"/>
        </w:rPr>
        <w:t>DT není závislý na velikosti soudu; proto se hodí k vzájemnému srovnávání během let nebo mezi soudy.</w:t>
      </w:r>
    </w:p>
    <w:p w14:paraId="4ADE751D" w14:textId="5A0F75BC" w:rsidR="008430BD" w:rsidRPr="001C3EC8" w:rsidRDefault="008430BD" w:rsidP="008430BD">
      <w:pPr>
        <w:pStyle w:val="Podnadpis"/>
        <w:rPr>
          <w:color w:val="000000" w:themeColor="text1"/>
        </w:rPr>
      </w:pPr>
      <w:bookmarkStart w:id="438" w:name="_Toc515871384"/>
      <w:bookmarkStart w:id="439" w:name="_Toc11135115"/>
      <w:bookmarkStart w:id="440" w:name="_Toc43841434"/>
      <w:bookmarkStart w:id="441" w:name="_Toc75952237"/>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57</w:t>
      </w:r>
      <w:r w:rsidRPr="001C3EC8">
        <w:rPr>
          <w:color w:val="000000" w:themeColor="text1"/>
        </w:rPr>
        <w:fldChar w:fldCharType="end"/>
      </w:r>
      <w:r w:rsidRPr="001C3EC8">
        <w:rPr>
          <w:color w:val="000000" w:themeColor="text1"/>
        </w:rPr>
        <w:t>: KS – DT prvostupňového civilního řízení v letech 2008–</w:t>
      </w:r>
      <w:bookmarkEnd w:id="438"/>
      <w:bookmarkEnd w:id="439"/>
      <w:r w:rsidRPr="001C3EC8">
        <w:rPr>
          <w:color w:val="000000" w:themeColor="text1"/>
        </w:rPr>
        <w:t>20</w:t>
      </w:r>
      <w:bookmarkEnd w:id="440"/>
      <w:r w:rsidRPr="001C3EC8">
        <w:rPr>
          <w:color w:val="000000" w:themeColor="text1"/>
        </w:rPr>
        <w:t>20</w:t>
      </w:r>
      <w:bookmarkEnd w:id="441"/>
    </w:p>
    <w:p w14:paraId="533FB506"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D8E1B30" wp14:editId="0FB5CC58">
            <wp:extent cx="5114925" cy="3743325"/>
            <wp:effectExtent l="0" t="0" r="0" b="9525"/>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E1078B3" w14:textId="77777777" w:rsidR="008430BD" w:rsidRPr="001C3EC8" w:rsidRDefault="008430BD" w:rsidP="008430BD">
      <w:pPr>
        <w:spacing w:line="240" w:lineRule="auto"/>
        <w:jc w:val="left"/>
        <w:rPr>
          <w:color w:val="000000" w:themeColor="text1"/>
        </w:rPr>
      </w:pPr>
    </w:p>
    <w:p w14:paraId="66A65061" w14:textId="58A72811" w:rsidR="00B07E76" w:rsidRDefault="008430BD" w:rsidP="008430BD">
      <w:pPr>
        <w:pStyle w:val="OdstavecASR"/>
        <w:rPr>
          <w:color w:val="000000" w:themeColor="text1"/>
        </w:rPr>
      </w:pPr>
      <w:r w:rsidRPr="001C3EC8">
        <w:rPr>
          <w:color w:val="000000" w:themeColor="text1"/>
        </w:rPr>
        <w:t xml:space="preserve">V tabulce níže vidíme, že DT se snížil především </w:t>
      </w:r>
      <w:r w:rsidR="0014150C" w:rsidRPr="001C3EC8">
        <w:rPr>
          <w:color w:val="000000" w:themeColor="text1"/>
        </w:rPr>
        <w:t>u</w:t>
      </w:r>
      <w:r w:rsidR="0014150C">
        <w:rPr>
          <w:color w:val="000000" w:themeColor="text1"/>
        </w:rPr>
        <w:t> </w:t>
      </w:r>
      <w:r w:rsidRPr="001C3EC8">
        <w:rPr>
          <w:color w:val="000000" w:themeColor="text1"/>
        </w:rPr>
        <w:t xml:space="preserve">KS Plzeň </w:t>
      </w:r>
      <w:r w:rsidR="0014150C" w:rsidRPr="001C3EC8">
        <w:rPr>
          <w:color w:val="000000" w:themeColor="text1"/>
        </w:rPr>
        <w:t>a</w:t>
      </w:r>
      <w:r w:rsidR="0014150C">
        <w:rPr>
          <w:color w:val="000000" w:themeColor="text1"/>
        </w:rPr>
        <w:t> </w:t>
      </w:r>
      <w:r w:rsidRPr="001C3EC8">
        <w:rPr>
          <w:color w:val="000000" w:themeColor="text1"/>
        </w:rPr>
        <w:t xml:space="preserve">KS Ústí nad Labem, což plyne z velmi vysoké míry vyřizování </w:t>
      </w:r>
      <w:r w:rsidR="0014150C" w:rsidRPr="001C3EC8">
        <w:rPr>
          <w:color w:val="000000" w:themeColor="text1"/>
        </w:rPr>
        <w:t>u</w:t>
      </w:r>
      <w:r w:rsidR="0014150C">
        <w:rPr>
          <w:color w:val="000000" w:themeColor="text1"/>
        </w:rPr>
        <w:t> </w:t>
      </w:r>
      <w:r w:rsidRPr="001C3EC8">
        <w:rPr>
          <w:color w:val="000000" w:themeColor="text1"/>
        </w:rPr>
        <w:t xml:space="preserve">obou soudů. DT naopak nejvíce narostl </w:t>
      </w:r>
      <w:r w:rsidR="0014150C" w:rsidRPr="001C3EC8">
        <w:rPr>
          <w:color w:val="000000" w:themeColor="text1"/>
        </w:rPr>
        <w:t>u</w:t>
      </w:r>
      <w:r w:rsidR="0014150C">
        <w:rPr>
          <w:color w:val="000000" w:themeColor="text1"/>
        </w:rPr>
        <w:t> </w:t>
      </w:r>
      <w:r w:rsidRPr="001C3EC8">
        <w:rPr>
          <w:color w:val="000000" w:themeColor="text1"/>
        </w:rPr>
        <w:t>KS v Hradci Králové, což plyne z růstu nevyřízeného po</w:t>
      </w:r>
      <w:r w:rsidR="00FB5CF5" w:rsidRPr="001C3EC8">
        <w:rPr>
          <w:color w:val="000000" w:themeColor="text1"/>
        </w:rPr>
        <w:t>č</w:t>
      </w:r>
      <w:r w:rsidRPr="001C3EC8">
        <w:rPr>
          <w:color w:val="000000" w:themeColor="text1"/>
        </w:rPr>
        <w:t>tu věcí.</w:t>
      </w:r>
    </w:p>
    <w:p w14:paraId="5B3DA0EF" w14:textId="7648EC83" w:rsidR="008430BD" w:rsidRPr="001C3EC8" w:rsidRDefault="008430BD" w:rsidP="008430BD">
      <w:pPr>
        <w:pStyle w:val="OdstavecASR"/>
        <w:rPr>
          <w:color w:val="000000" w:themeColor="text1"/>
        </w:rPr>
      </w:pPr>
    </w:p>
    <w:p w14:paraId="6653E230" w14:textId="5E762CF2" w:rsidR="008430BD" w:rsidRPr="001C3EC8" w:rsidRDefault="008430BD" w:rsidP="008430BD">
      <w:pPr>
        <w:pStyle w:val="Podnadpis"/>
        <w:rPr>
          <w:color w:val="000000" w:themeColor="text1"/>
        </w:rPr>
      </w:pPr>
      <w:bookmarkStart w:id="442" w:name="_Toc515871470"/>
      <w:bookmarkStart w:id="443" w:name="_Toc11133237"/>
      <w:bookmarkStart w:id="444" w:name="_Toc43931216"/>
      <w:bookmarkStart w:id="445" w:name="_Toc7595234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46</w:t>
      </w:r>
      <w:r w:rsidRPr="001C3EC8">
        <w:rPr>
          <w:color w:val="000000" w:themeColor="text1"/>
        </w:rPr>
        <w:fldChar w:fldCharType="end"/>
      </w:r>
      <w:r w:rsidRPr="001C3EC8">
        <w:rPr>
          <w:color w:val="000000" w:themeColor="text1"/>
        </w:rPr>
        <w:t>: KS – DT prvostupňového civilního řízení dle soudů</w:t>
      </w:r>
      <w:bookmarkEnd w:id="442"/>
      <w:bookmarkEnd w:id="443"/>
      <w:bookmarkEnd w:id="444"/>
      <w:bookmarkEnd w:id="445"/>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59DD6096"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B1944D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53721005"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3A945D35"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1CCF535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8BD7D0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146</w:t>
            </w:r>
          </w:p>
        </w:tc>
        <w:tc>
          <w:tcPr>
            <w:tcW w:w="1927" w:type="dxa"/>
            <w:tcBorders>
              <w:top w:val="nil"/>
              <w:left w:val="nil"/>
              <w:bottom w:val="single" w:sz="4" w:space="0" w:color="auto"/>
              <w:right w:val="nil"/>
            </w:tcBorders>
            <w:shd w:val="clear" w:color="auto" w:fill="auto"/>
            <w:noWrap/>
            <w:vAlign w:val="center"/>
            <w:hideMark/>
          </w:tcPr>
          <w:p w14:paraId="7871A358" w14:textId="4BE8055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5987FA06"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8C8860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6FC9C6B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212</w:t>
            </w:r>
          </w:p>
        </w:tc>
        <w:tc>
          <w:tcPr>
            <w:tcW w:w="1927" w:type="dxa"/>
            <w:tcBorders>
              <w:top w:val="nil"/>
              <w:left w:val="nil"/>
              <w:bottom w:val="single" w:sz="4" w:space="0" w:color="auto"/>
              <w:right w:val="nil"/>
            </w:tcBorders>
            <w:shd w:val="clear" w:color="auto" w:fill="auto"/>
            <w:noWrap/>
            <w:vAlign w:val="center"/>
            <w:hideMark/>
          </w:tcPr>
          <w:p w14:paraId="2AD8C846" w14:textId="19BBD1B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r>
      <w:tr w:rsidR="008430BD" w:rsidRPr="001C3EC8" w14:paraId="2335953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08F94C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2F4BF6B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251</w:t>
            </w:r>
          </w:p>
        </w:tc>
        <w:tc>
          <w:tcPr>
            <w:tcW w:w="1927" w:type="dxa"/>
            <w:tcBorders>
              <w:top w:val="nil"/>
              <w:left w:val="nil"/>
              <w:bottom w:val="single" w:sz="4" w:space="0" w:color="auto"/>
              <w:right w:val="nil"/>
            </w:tcBorders>
            <w:shd w:val="clear" w:color="auto" w:fill="auto"/>
            <w:noWrap/>
            <w:vAlign w:val="center"/>
            <w:hideMark/>
          </w:tcPr>
          <w:p w14:paraId="104431C2" w14:textId="605E8C5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r>
      <w:tr w:rsidR="008430BD" w:rsidRPr="001C3EC8" w14:paraId="6C8AB0F8"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9A9A8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5CAF7B2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c>
          <w:tcPr>
            <w:tcW w:w="1927" w:type="dxa"/>
            <w:tcBorders>
              <w:top w:val="nil"/>
              <w:left w:val="nil"/>
              <w:bottom w:val="single" w:sz="4" w:space="0" w:color="auto"/>
              <w:right w:val="nil"/>
            </w:tcBorders>
            <w:shd w:val="clear" w:color="auto" w:fill="auto"/>
            <w:noWrap/>
            <w:vAlign w:val="center"/>
            <w:hideMark/>
          </w:tcPr>
          <w:p w14:paraId="53152073" w14:textId="1B4FA6C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-43 </w:t>
            </w:r>
            <w:r w:rsidR="00B07E76">
              <w:rPr>
                <w:rFonts w:eastAsia="Times New Roman"/>
                <w:color w:val="000000" w:themeColor="text1"/>
                <w:sz w:val="20"/>
                <w:szCs w:val="20"/>
                <w:lang w:eastAsia="cs-CZ"/>
              </w:rPr>
              <w:t>%</w:t>
            </w:r>
          </w:p>
        </w:tc>
      </w:tr>
      <w:tr w:rsidR="008430BD" w:rsidRPr="001C3EC8" w14:paraId="4470FDD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FB4081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58A726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324</w:t>
            </w:r>
          </w:p>
        </w:tc>
        <w:tc>
          <w:tcPr>
            <w:tcW w:w="1927" w:type="dxa"/>
            <w:tcBorders>
              <w:top w:val="nil"/>
              <w:left w:val="nil"/>
              <w:bottom w:val="single" w:sz="4" w:space="0" w:color="auto"/>
              <w:right w:val="nil"/>
            </w:tcBorders>
            <w:shd w:val="clear" w:color="auto" w:fill="auto"/>
            <w:noWrap/>
            <w:vAlign w:val="center"/>
            <w:hideMark/>
          </w:tcPr>
          <w:p w14:paraId="1F84CB1E" w14:textId="10CEC84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-43 </w:t>
            </w:r>
            <w:r w:rsidR="00B07E76">
              <w:rPr>
                <w:rFonts w:eastAsia="Times New Roman"/>
                <w:color w:val="000000" w:themeColor="text1"/>
                <w:sz w:val="20"/>
                <w:szCs w:val="20"/>
                <w:lang w:eastAsia="cs-CZ"/>
              </w:rPr>
              <w:t>%</w:t>
            </w:r>
          </w:p>
        </w:tc>
      </w:tr>
      <w:tr w:rsidR="008430BD" w:rsidRPr="001C3EC8" w14:paraId="19F2A57B"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DC5EC1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6CFE9B1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202</w:t>
            </w:r>
          </w:p>
        </w:tc>
        <w:tc>
          <w:tcPr>
            <w:tcW w:w="1927" w:type="dxa"/>
            <w:tcBorders>
              <w:top w:val="nil"/>
              <w:left w:val="nil"/>
              <w:bottom w:val="single" w:sz="4" w:space="0" w:color="auto"/>
              <w:right w:val="nil"/>
            </w:tcBorders>
            <w:shd w:val="clear" w:color="auto" w:fill="auto"/>
            <w:noWrap/>
            <w:vAlign w:val="center"/>
            <w:hideMark/>
          </w:tcPr>
          <w:p w14:paraId="7E90F422" w14:textId="5D8CDBA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+30 </w:t>
            </w:r>
            <w:r w:rsidR="00B07E76">
              <w:rPr>
                <w:rFonts w:eastAsia="Times New Roman"/>
                <w:color w:val="000000" w:themeColor="text1"/>
                <w:sz w:val="20"/>
                <w:szCs w:val="20"/>
                <w:lang w:eastAsia="cs-CZ"/>
              </w:rPr>
              <w:t>%</w:t>
            </w:r>
          </w:p>
        </w:tc>
      </w:tr>
      <w:tr w:rsidR="008430BD" w:rsidRPr="001C3EC8" w14:paraId="2BE6932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CC30D2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31DCE7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359</w:t>
            </w:r>
          </w:p>
        </w:tc>
        <w:tc>
          <w:tcPr>
            <w:tcW w:w="1927" w:type="dxa"/>
            <w:tcBorders>
              <w:top w:val="nil"/>
              <w:left w:val="nil"/>
              <w:bottom w:val="single" w:sz="4" w:space="0" w:color="auto"/>
              <w:right w:val="nil"/>
            </w:tcBorders>
            <w:shd w:val="clear" w:color="auto" w:fill="auto"/>
            <w:noWrap/>
            <w:vAlign w:val="center"/>
            <w:hideMark/>
          </w:tcPr>
          <w:p w14:paraId="02B9C5D1" w14:textId="07E0CF1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07E5595C"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47A924A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3EEFFC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194</w:t>
            </w:r>
          </w:p>
        </w:tc>
        <w:tc>
          <w:tcPr>
            <w:tcW w:w="1927" w:type="dxa"/>
            <w:tcBorders>
              <w:top w:val="nil"/>
              <w:left w:val="nil"/>
              <w:bottom w:val="double" w:sz="6" w:space="0" w:color="auto"/>
              <w:right w:val="nil"/>
            </w:tcBorders>
            <w:shd w:val="clear" w:color="auto" w:fill="auto"/>
            <w:noWrap/>
            <w:vAlign w:val="center"/>
            <w:hideMark/>
          </w:tcPr>
          <w:p w14:paraId="17B4A331" w14:textId="623346E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r>
      <w:tr w:rsidR="008430BD" w:rsidRPr="001C3EC8" w14:paraId="5E0D1950"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04A1C7A3"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4D7467F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205</w:t>
            </w:r>
          </w:p>
        </w:tc>
        <w:tc>
          <w:tcPr>
            <w:tcW w:w="1927" w:type="dxa"/>
            <w:tcBorders>
              <w:top w:val="nil"/>
              <w:left w:val="nil"/>
              <w:bottom w:val="double" w:sz="6" w:space="0" w:color="auto"/>
              <w:right w:val="nil"/>
            </w:tcBorders>
            <w:shd w:val="clear" w:color="auto" w:fill="auto"/>
            <w:noWrap/>
            <w:vAlign w:val="center"/>
            <w:hideMark/>
          </w:tcPr>
          <w:p w14:paraId="05C47D71" w14:textId="5F2BFB0A"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r>
    </w:tbl>
    <w:p w14:paraId="3790F3EB" w14:textId="77777777" w:rsidR="008430BD" w:rsidRPr="001C3EC8" w:rsidRDefault="008430BD" w:rsidP="008430BD">
      <w:pPr>
        <w:rPr>
          <w:color w:val="000000" w:themeColor="text1"/>
        </w:rPr>
      </w:pPr>
    </w:p>
    <w:p w14:paraId="4EEA60C0" w14:textId="77777777" w:rsidR="008430BD" w:rsidRPr="001C3EC8" w:rsidRDefault="008430BD" w:rsidP="008430BD">
      <w:pPr>
        <w:spacing w:after="160" w:line="259" w:lineRule="auto"/>
        <w:jc w:val="left"/>
        <w:rPr>
          <w:rFonts w:eastAsia="Times New Roman"/>
          <w:b/>
          <w:bCs/>
          <w:color w:val="000000" w:themeColor="text1"/>
        </w:rPr>
      </w:pPr>
      <w:r w:rsidRPr="001C3EC8">
        <w:rPr>
          <w:color w:val="000000" w:themeColor="text1"/>
        </w:rPr>
        <w:br w:type="page"/>
      </w:r>
    </w:p>
    <w:p w14:paraId="108E928D" w14:textId="77777777" w:rsidR="008430BD" w:rsidRPr="001C3EC8" w:rsidRDefault="008430BD" w:rsidP="008430BD">
      <w:pPr>
        <w:pStyle w:val="Nadpis3"/>
        <w:numPr>
          <w:ilvl w:val="2"/>
          <w:numId w:val="1"/>
        </w:numPr>
        <w:rPr>
          <w:color w:val="000000" w:themeColor="text1"/>
        </w:rPr>
      </w:pPr>
      <w:bookmarkStart w:id="446" w:name="_Toc75952091"/>
      <w:r w:rsidRPr="001C3EC8">
        <w:rPr>
          <w:color w:val="000000" w:themeColor="text1"/>
        </w:rPr>
        <w:lastRenderedPageBreak/>
        <w:t>Další statistiky</w:t>
      </w:r>
      <w:bookmarkEnd w:id="446"/>
    </w:p>
    <w:p w14:paraId="4898D4CF" w14:textId="76F0754A" w:rsidR="008430BD" w:rsidRPr="001C3EC8" w:rsidRDefault="0014150C" w:rsidP="008430BD">
      <w:pPr>
        <w:pStyle w:val="OdstavecASR"/>
        <w:rPr>
          <w:color w:val="000000" w:themeColor="text1"/>
        </w:rPr>
      </w:pPr>
      <w:r w:rsidRPr="001C3EC8">
        <w:rPr>
          <w:color w:val="000000" w:themeColor="text1"/>
        </w:rPr>
        <w:t>U</w:t>
      </w:r>
      <w:r>
        <w:rPr>
          <w:color w:val="000000" w:themeColor="text1"/>
        </w:rPr>
        <w:t> </w:t>
      </w:r>
      <w:r w:rsidR="008430BD" w:rsidRPr="001C3EC8">
        <w:rPr>
          <w:color w:val="000000" w:themeColor="text1"/>
        </w:rPr>
        <w:t xml:space="preserve">krajských soudů uvádíme </w:t>
      </w:r>
      <w:r w:rsidR="00311CE3" w:rsidRPr="001C3EC8">
        <w:rPr>
          <w:color w:val="000000" w:themeColor="text1"/>
        </w:rPr>
        <w:t xml:space="preserve">stejné </w:t>
      </w:r>
      <w:r w:rsidR="008430BD" w:rsidRPr="001C3EC8">
        <w:rPr>
          <w:color w:val="000000" w:themeColor="text1"/>
        </w:rPr>
        <w:t xml:space="preserve">dvě </w:t>
      </w:r>
      <w:r w:rsidR="008430BD" w:rsidRPr="001C3EC8">
        <w:rPr>
          <w:i/>
          <w:color w:val="000000" w:themeColor="text1"/>
        </w:rPr>
        <w:t>další statistiky</w:t>
      </w:r>
      <w:r w:rsidR="008430BD" w:rsidRPr="001C3EC8">
        <w:rPr>
          <w:color w:val="000000" w:themeColor="text1"/>
        </w:rPr>
        <w:t xml:space="preserve"> jako u soudů okresních, tj. míru odvolání a míru změny rozsudku. Díky tomu je tyto statistiky možné porovnat mezi okresními a krajskými soudy. Dále je uvedena výše přiznaných nároků.</w:t>
      </w:r>
    </w:p>
    <w:p w14:paraId="1FEB6FA0" w14:textId="09E17CE4" w:rsidR="00AA1D5D" w:rsidRPr="001C3EC8" w:rsidRDefault="00AA1D5D" w:rsidP="008430BD">
      <w:pPr>
        <w:pStyle w:val="OdstavecASR"/>
        <w:rPr>
          <w:b/>
          <w:color w:val="000000" w:themeColor="text1"/>
        </w:rPr>
      </w:pPr>
      <w:r w:rsidRPr="001C3EC8">
        <w:rPr>
          <w:b/>
          <w:color w:val="000000" w:themeColor="text1"/>
        </w:rPr>
        <w:t>Míra odvolání</w:t>
      </w:r>
    </w:p>
    <w:p w14:paraId="2A28DBC6" w14:textId="03A7F1E2" w:rsidR="008430BD" w:rsidRPr="001C3EC8" w:rsidRDefault="008430BD" w:rsidP="008430BD">
      <w:pPr>
        <w:pStyle w:val="OdstavecASR"/>
        <w:rPr>
          <w:color w:val="000000" w:themeColor="text1"/>
        </w:rPr>
      </w:pPr>
      <w:r w:rsidRPr="001C3EC8">
        <w:rPr>
          <w:color w:val="000000" w:themeColor="text1"/>
        </w:rPr>
        <w:t xml:space="preserve">Ve srovnání se statistickou výroční zprávou za rok 2016 byla vypočtená míra odvolání v letech 2017 až 2019 ovlivněna především očištěním dat o věci s předmětem sporu </w:t>
      </w:r>
      <w:r w:rsidRPr="001C3EC8">
        <w:rPr>
          <w:i/>
          <w:color w:val="000000" w:themeColor="text1"/>
        </w:rPr>
        <w:t>právní vztahy související se zrušením a likvidací obchodních korporací</w:t>
      </w:r>
      <w:r w:rsidRPr="001C3EC8">
        <w:rPr>
          <w:color w:val="000000" w:themeColor="text1"/>
        </w:rPr>
        <w:t xml:space="preserve"> (viz podkapitola </w:t>
      </w:r>
      <w:r w:rsidRPr="001C3EC8">
        <w:rPr>
          <w:color w:val="000000" w:themeColor="text1"/>
        </w:rPr>
        <w:fldChar w:fldCharType="begin"/>
      </w:r>
      <w:r w:rsidRPr="001C3EC8">
        <w:rPr>
          <w:color w:val="000000" w:themeColor="text1"/>
        </w:rPr>
        <w:instrText xml:space="preserve"> REF _Ref511302440 \r \h  \* MERGEFORMAT </w:instrText>
      </w:r>
      <w:r w:rsidRPr="001C3EC8">
        <w:rPr>
          <w:color w:val="000000" w:themeColor="text1"/>
        </w:rPr>
      </w:r>
      <w:r w:rsidRPr="001C3EC8">
        <w:rPr>
          <w:color w:val="000000" w:themeColor="text1"/>
        </w:rPr>
        <w:fldChar w:fldCharType="separate"/>
      </w:r>
      <w:r w:rsidR="009C575D">
        <w:rPr>
          <w:color w:val="000000" w:themeColor="text1"/>
        </w:rPr>
        <w:t>3.2.1</w:t>
      </w:r>
      <w:r w:rsidRPr="001C3EC8">
        <w:rPr>
          <w:color w:val="000000" w:themeColor="text1"/>
        </w:rPr>
        <w:fldChar w:fldCharType="end"/>
      </w:r>
      <w:r w:rsidRPr="001C3EC8">
        <w:rPr>
          <w:color w:val="000000" w:themeColor="text1"/>
        </w:rPr>
        <w:t>).</w:t>
      </w:r>
    </w:p>
    <w:p w14:paraId="7C83F4D9" w14:textId="6D3EAD3A" w:rsidR="008430BD" w:rsidRPr="001C3EC8" w:rsidRDefault="008430BD" w:rsidP="008430BD">
      <w:pPr>
        <w:pStyle w:val="Podnadpis"/>
        <w:rPr>
          <w:color w:val="000000" w:themeColor="text1"/>
        </w:rPr>
      </w:pPr>
      <w:bookmarkStart w:id="447" w:name="_Toc515871471"/>
      <w:bookmarkStart w:id="448" w:name="_Toc11133238"/>
      <w:bookmarkStart w:id="449" w:name="_Toc43931217"/>
      <w:bookmarkStart w:id="450" w:name="_Toc75952350"/>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47</w:t>
      </w:r>
      <w:r w:rsidRPr="001C3EC8">
        <w:rPr>
          <w:color w:val="000000" w:themeColor="text1"/>
        </w:rPr>
        <w:fldChar w:fldCharType="end"/>
      </w:r>
      <w:r w:rsidRPr="001C3EC8">
        <w:rPr>
          <w:color w:val="000000" w:themeColor="text1"/>
        </w:rPr>
        <w:t>: KS – míra odvolání dle soudů v civilním řízení</w:t>
      </w:r>
      <w:bookmarkEnd w:id="447"/>
      <w:bookmarkEnd w:id="448"/>
      <w:bookmarkEnd w:id="449"/>
      <w:bookmarkEnd w:id="450"/>
    </w:p>
    <w:tbl>
      <w:tblPr>
        <w:tblW w:w="6300" w:type="dxa"/>
        <w:tblCellMar>
          <w:left w:w="70" w:type="dxa"/>
          <w:right w:w="70" w:type="dxa"/>
        </w:tblCellMar>
        <w:tblLook w:val="04A0" w:firstRow="1" w:lastRow="0" w:firstColumn="1" w:lastColumn="0" w:noHBand="0" w:noVBand="1"/>
      </w:tblPr>
      <w:tblGrid>
        <w:gridCol w:w="2780"/>
        <w:gridCol w:w="1493"/>
        <w:gridCol w:w="2027"/>
      </w:tblGrid>
      <w:tr w:rsidR="008430BD" w:rsidRPr="001C3EC8" w14:paraId="525D1525"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D55125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73AD172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odvolání</w:t>
            </w:r>
          </w:p>
        </w:tc>
      </w:tr>
      <w:tr w:rsidR="008430BD" w:rsidRPr="001C3EC8" w14:paraId="648612E5"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5801034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493" w:type="dxa"/>
            <w:tcBorders>
              <w:top w:val="nil"/>
              <w:left w:val="nil"/>
              <w:bottom w:val="single" w:sz="4" w:space="0" w:color="auto"/>
              <w:right w:val="nil"/>
            </w:tcBorders>
            <w:shd w:val="clear" w:color="auto" w:fill="auto"/>
            <w:noWrap/>
            <w:vAlign w:val="bottom"/>
            <w:hideMark/>
          </w:tcPr>
          <w:p w14:paraId="39E7CF0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31,75 %</w:t>
            </w:r>
          </w:p>
        </w:tc>
        <w:tc>
          <w:tcPr>
            <w:tcW w:w="2027" w:type="dxa"/>
            <w:tcBorders>
              <w:top w:val="nil"/>
              <w:left w:val="nil"/>
              <w:bottom w:val="single" w:sz="4" w:space="0" w:color="auto"/>
              <w:right w:val="nil"/>
            </w:tcBorders>
            <w:shd w:val="clear" w:color="auto" w:fill="auto"/>
            <w:noWrap/>
            <w:vAlign w:val="center"/>
            <w:hideMark/>
          </w:tcPr>
          <w:p w14:paraId="0CFD17C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-5,7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482E46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68FC0B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493" w:type="dxa"/>
            <w:tcBorders>
              <w:top w:val="nil"/>
              <w:left w:val="nil"/>
              <w:bottom w:val="single" w:sz="4" w:space="0" w:color="auto"/>
              <w:right w:val="nil"/>
            </w:tcBorders>
            <w:shd w:val="clear" w:color="auto" w:fill="auto"/>
            <w:noWrap/>
            <w:vAlign w:val="bottom"/>
            <w:hideMark/>
          </w:tcPr>
          <w:p w14:paraId="53E131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22,64 %</w:t>
            </w:r>
          </w:p>
        </w:tc>
        <w:tc>
          <w:tcPr>
            <w:tcW w:w="2027" w:type="dxa"/>
            <w:tcBorders>
              <w:top w:val="nil"/>
              <w:left w:val="nil"/>
              <w:bottom w:val="single" w:sz="4" w:space="0" w:color="auto"/>
              <w:right w:val="nil"/>
            </w:tcBorders>
            <w:shd w:val="clear" w:color="auto" w:fill="auto"/>
            <w:noWrap/>
            <w:vAlign w:val="center"/>
            <w:hideMark/>
          </w:tcPr>
          <w:p w14:paraId="01311F1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+4,7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2E3A2857"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C808FC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493" w:type="dxa"/>
            <w:tcBorders>
              <w:top w:val="nil"/>
              <w:left w:val="nil"/>
              <w:bottom w:val="single" w:sz="4" w:space="0" w:color="auto"/>
              <w:right w:val="nil"/>
            </w:tcBorders>
            <w:shd w:val="clear" w:color="auto" w:fill="auto"/>
            <w:noWrap/>
            <w:vAlign w:val="bottom"/>
            <w:hideMark/>
          </w:tcPr>
          <w:p w14:paraId="2B193E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33,19 %</w:t>
            </w:r>
          </w:p>
        </w:tc>
        <w:tc>
          <w:tcPr>
            <w:tcW w:w="2027" w:type="dxa"/>
            <w:tcBorders>
              <w:top w:val="nil"/>
              <w:left w:val="nil"/>
              <w:bottom w:val="single" w:sz="4" w:space="0" w:color="auto"/>
              <w:right w:val="nil"/>
            </w:tcBorders>
            <w:shd w:val="clear" w:color="auto" w:fill="auto"/>
            <w:noWrap/>
            <w:vAlign w:val="center"/>
            <w:hideMark/>
          </w:tcPr>
          <w:p w14:paraId="02771A57"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+7,8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5CB771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82A55F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493" w:type="dxa"/>
            <w:tcBorders>
              <w:top w:val="nil"/>
              <w:left w:val="nil"/>
              <w:bottom w:val="single" w:sz="4" w:space="0" w:color="auto"/>
              <w:right w:val="nil"/>
            </w:tcBorders>
            <w:shd w:val="clear" w:color="auto" w:fill="auto"/>
            <w:noWrap/>
            <w:vAlign w:val="bottom"/>
            <w:hideMark/>
          </w:tcPr>
          <w:p w14:paraId="5B2FE2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20,10 %</w:t>
            </w:r>
          </w:p>
        </w:tc>
        <w:tc>
          <w:tcPr>
            <w:tcW w:w="2027" w:type="dxa"/>
            <w:tcBorders>
              <w:top w:val="nil"/>
              <w:left w:val="nil"/>
              <w:bottom w:val="single" w:sz="4" w:space="0" w:color="auto"/>
              <w:right w:val="nil"/>
            </w:tcBorders>
            <w:shd w:val="clear" w:color="auto" w:fill="auto"/>
            <w:noWrap/>
            <w:vAlign w:val="center"/>
            <w:hideMark/>
          </w:tcPr>
          <w:p w14:paraId="5705D50F"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+0,5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0AE2BE4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9A3A01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493" w:type="dxa"/>
            <w:tcBorders>
              <w:top w:val="nil"/>
              <w:left w:val="nil"/>
              <w:bottom w:val="single" w:sz="4" w:space="0" w:color="auto"/>
              <w:right w:val="nil"/>
            </w:tcBorders>
            <w:shd w:val="clear" w:color="auto" w:fill="auto"/>
            <w:noWrap/>
            <w:vAlign w:val="bottom"/>
            <w:hideMark/>
          </w:tcPr>
          <w:p w14:paraId="554269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16,19 %</w:t>
            </w:r>
          </w:p>
        </w:tc>
        <w:tc>
          <w:tcPr>
            <w:tcW w:w="2027" w:type="dxa"/>
            <w:tcBorders>
              <w:top w:val="nil"/>
              <w:left w:val="nil"/>
              <w:bottom w:val="single" w:sz="4" w:space="0" w:color="auto"/>
              <w:right w:val="nil"/>
            </w:tcBorders>
            <w:shd w:val="clear" w:color="auto" w:fill="auto"/>
            <w:noWrap/>
            <w:vAlign w:val="center"/>
            <w:hideMark/>
          </w:tcPr>
          <w:p w14:paraId="6FDCF653"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+0,6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345083B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7A9468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493" w:type="dxa"/>
            <w:tcBorders>
              <w:top w:val="nil"/>
              <w:left w:val="nil"/>
              <w:bottom w:val="single" w:sz="4" w:space="0" w:color="auto"/>
              <w:right w:val="nil"/>
            </w:tcBorders>
            <w:shd w:val="clear" w:color="auto" w:fill="auto"/>
            <w:noWrap/>
            <w:vAlign w:val="bottom"/>
            <w:hideMark/>
          </w:tcPr>
          <w:p w14:paraId="7403D2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12,45 %</w:t>
            </w:r>
          </w:p>
        </w:tc>
        <w:tc>
          <w:tcPr>
            <w:tcW w:w="2027" w:type="dxa"/>
            <w:tcBorders>
              <w:top w:val="nil"/>
              <w:left w:val="nil"/>
              <w:bottom w:val="single" w:sz="4" w:space="0" w:color="auto"/>
              <w:right w:val="nil"/>
            </w:tcBorders>
            <w:shd w:val="clear" w:color="auto" w:fill="auto"/>
            <w:noWrap/>
            <w:vAlign w:val="center"/>
            <w:hideMark/>
          </w:tcPr>
          <w:p w14:paraId="51BBFFC8"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-4,4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80A2C7D"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FDA823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493" w:type="dxa"/>
            <w:tcBorders>
              <w:top w:val="nil"/>
              <w:left w:val="nil"/>
              <w:bottom w:val="single" w:sz="4" w:space="0" w:color="auto"/>
              <w:right w:val="nil"/>
            </w:tcBorders>
            <w:shd w:val="clear" w:color="auto" w:fill="auto"/>
            <w:noWrap/>
            <w:vAlign w:val="bottom"/>
            <w:hideMark/>
          </w:tcPr>
          <w:p w14:paraId="4CC327D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12,69 %</w:t>
            </w:r>
          </w:p>
        </w:tc>
        <w:tc>
          <w:tcPr>
            <w:tcW w:w="2027" w:type="dxa"/>
            <w:tcBorders>
              <w:top w:val="nil"/>
              <w:left w:val="nil"/>
              <w:bottom w:val="single" w:sz="4" w:space="0" w:color="auto"/>
              <w:right w:val="nil"/>
            </w:tcBorders>
            <w:shd w:val="clear" w:color="auto" w:fill="auto"/>
            <w:noWrap/>
            <w:vAlign w:val="center"/>
            <w:hideMark/>
          </w:tcPr>
          <w:p w14:paraId="75DB459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-4,9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87418F9"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3959A7E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493" w:type="dxa"/>
            <w:tcBorders>
              <w:top w:val="nil"/>
              <w:left w:val="nil"/>
              <w:bottom w:val="double" w:sz="6" w:space="0" w:color="auto"/>
              <w:right w:val="nil"/>
            </w:tcBorders>
            <w:shd w:val="clear" w:color="auto" w:fill="auto"/>
            <w:noWrap/>
            <w:vAlign w:val="bottom"/>
            <w:hideMark/>
          </w:tcPr>
          <w:p w14:paraId="3F8A2E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16,81 %</w:t>
            </w:r>
          </w:p>
        </w:tc>
        <w:tc>
          <w:tcPr>
            <w:tcW w:w="2027" w:type="dxa"/>
            <w:tcBorders>
              <w:top w:val="nil"/>
              <w:left w:val="nil"/>
              <w:bottom w:val="nil"/>
              <w:right w:val="nil"/>
            </w:tcBorders>
            <w:shd w:val="clear" w:color="auto" w:fill="auto"/>
            <w:noWrap/>
            <w:vAlign w:val="center"/>
            <w:hideMark/>
          </w:tcPr>
          <w:p w14:paraId="3337A2FA"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+5,9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63B6A5E"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18EF0597"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493" w:type="dxa"/>
            <w:tcBorders>
              <w:top w:val="nil"/>
              <w:left w:val="nil"/>
              <w:bottom w:val="double" w:sz="6" w:space="0" w:color="auto"/>
              <w:right w:val="nil"/>
            </w:tcBorders>
            <w:shd w:val="clear" w:color="auto" w:fill="auto"/>
            <w:noWrap/>
            <w:vAlign w:val="bottom"/>
            <w:hideMark/>
          </w:tcPr>
          <w:p w14:paraId="24B6328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22,06</w:t>
            </w:r>
            <w:r w:rsidRPr="001C3EC8">
              <w:rPr>
                <w:rFonts w:eastAsia="Times New Roman"/>
                <w:color w:val="000000" w:themeColor="text1"/>
                <w:szCs w:val="24"/>
                <w:lang w:eastAsia="cs-CZ"/>
              </w:rPr>
              <w:t xml:space="preserve"> %</w:t>
            </w:r>
          </w:p>
        </w:tc>
        <w:tc>
          <w:tcPr>
            <w:tcW w:w="2027" w:type="dxa"/>
            <w:tcBorders>
              <w:top w:val="double" w:sz="6" w:space="0" w:color="auto"/>
              <w:left w:val="nil"/>
              <w:bottom w:val="double" w:sz="6" w:space="0" w:color="auto"/>
              <w:right w:val="nil"/>
            </w:tcBorders>
            <w:shd w:val="clear" w:color="auto" w:fill="auto"/>
            <w:noWrap/>
            <w:vAlign w:val="center"/>
            <w:hideMark/>
          </w:tcPr>
          <w:p w14:paraId="7CBCE8C9"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-0,7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606C8205" w14:textId="77777777" w:rsidR="008430BD" w:rsidRPr="001C3EC8" w:rsidRDefault="008430BD" w:rsidP="008430BD">
      <w:pPr>
        <w:spacing w:line="240" w:lineRule="auto"/>
        <w:jc w:val="left"/>
        <w:rPr>
          <w:color w:val="000000" w:themeColor="text1"/>
          <w:highlight w:val="yellow"/>
        </w:rPr>
      </w:pPr>
    </w:p>
    <w:p w14:paraId="3DC4ECFB" w14:textId="77777777" w:rsidR="008430BD" w:rsidRPr="001C3EC8" w:rsidRDefault="008430BD" w:rsidP="008430BD">
      <w:pPr>
        <w:spacing w:line="240" w:lineRule="auto"/>
        <w:jc w:val="left"/>
        <w:rPr>
          <w:color w:val="000000" w:themeColor="text1"/>
          <w:highlight w:val="yellow"/>
        </w:rPr>
      </w:pPr>
    </w:p>
    <w:p w14:paraId="46C439FE" w14:textId="09AF8A33" w:rsidR="008430BD" w:rsidRPr="001C3EC8" w:rsidRDefault="008430BD" w:rsidP="008430BD">
      <w:pPr>
        <w:pStyle w:val="OdstavecASR"/>
        <w:rPr>
          <w:color w:val="000000" w:themeColor="text1"/>
        </w:rPr>
      </w:pPr>
      <w:r w:rsidRPr="001C3EC8">
        <w:rPr>
          <w:color w:val="000000" w:themeColor="text1"/>
        </w:rPr>
        <w:t xml:space="preserve">V tabulce výše vidíme značné rozdíly mezi jednotlivými soudy. Míra odvolání se skokově zvýšila (po loňském snížení) u KS České Budějovice. </w:t>
      </w:r>
      <w:r w:rsidR="0014150C" w:rsidRPr="001C3EC8">
        <w:rPr>
          <w:color w:val="000000" w:themeColor="text1"/>
        </w:rPr>
        <w:t>I</w:t>
      </w:r>
      <w:r w:rsidR="0014150C">
        <w:rPr>
          <w:color w:val="000000" w:themeColor="text1"/>
        </w:rPr>
        <w:t> </w:t>
      </w:r>
      <w:r w:rsidR="0014150C" w:rsidRPr="001C3EC8">
        <w:rPr>
          <w:color w:val="000000" w:themeColor="text1"/>
        </w:rPr>
        <w:t>u</w:t>
      </w:r>
      <w:r w:rsidR="0014150C">
        <w:rPr>
          <w:color w:val="000000" w:themeColor="text1"/>
        </w:rPr>
        <w:t> </w:t>
      </w:r>
      <w:r w:rsidRPr="001C3EC8">
        <w:rPr>
          <w:color w:val="000000" w:themeColor="text1"/>
        </w:rPr>
        <w:t>ostatních soudů došlo k nemalým změnám. Na úrovni soudů není míra odvolání zcela stabilní.</w:t>
      </w:r>
    </w:p>
    <w:p w14:paraId="70F192D2" w14:textId="7863EEBC" w:rsidR="008430BD" w:rsidRPr="001C3EC8" w:rsidRDefault="008430BD" w:rsidP="008430BD">
      <w:pPr>
        <w:pStyle w:val="OdstavecASR"/>
        <w:rPr>
          <w:color w:val="000000" w:themeColor="text1"/>
        </w:rPr>
      </w:pPr>
      <w:r w:rsidRPr="001C3EC8">
        <w:rPr>
          <w:color w:val="000000" w:themeColor="text1"/>
        </w:rPr>
        <w:t>Při srovnání s tabulkou 1</w:t>
      </w:r>
      <w:r w:rsidR="00213A42" w:rsidRPr="001C3EC8">
        <w:rPr>
          <w:color w:val="000000" w:themeColor="text1"/>
        </w:rPr>
        <w:t>4</w:t>
      </w:r>
      <w:r w:rsidRPr="001C3EC8">
        <w:rPr>
          <w:color w:val="000000" w:themeColor="text1"/>
        </w:rPr>
        <w:t xml:space="preserve"> vidíme, že u krajských soudů zůstává míra odvolání asi třikrát vyšší než </w:t>
      </w:r>
      <w:r w:rsidR="0014150C" w:rsidRPr="001C3EC8">
        <w:rPr>
          <w:color w:val="000000" w:themeColor="text1"/>
        </w:rPr>
        <w:t>u</w:t>
      </w:r>
      <w:r w:rsidR="0014150C">
        <w:rPr>
          <w:color w:val="000000" w:themeColor="text1"/>
        </w:rPr>
        <w:t> </w:t>
      </w:r>
      <w:r w:rsidRPr="001C3EC8">
        <w:rPr>
          <w:color w:val="000000" w:themeColor="text1"/>
        </w:rPr>
        <w:t xml:space="preserve">soudů okresních. To souvisí s náročností </w:t>
      </w:r>
      <w:r w:rsidR="0014150C" w:rsidRPr="001C3EC8">
        <w:rPr>
          <w:color w:val="000000" w:themeColor="text1"/>
        </w:rPr>
        <w:t>a</w:t>
      </w:r>
      <w:r w:rsidR="0014150C">
        <w:rPr>
          <w:color w:val="000000" w:themeColor="text1"/>
        </w:rPr>
        <w:t> </w:t>
      </w:r>
      <w:r w:rsidRPr="001C3EC8">
        <w:rPr>
          <w:color w:val="000000" w:themeColor="text1"/>
        </w:rPr>
        <w:t>závažností vyřizované agendy.</w:t>
      </w:r>
    </w:p>
    <w:p w14:paraId="7E9A826A"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293EBABD" w14:textId="05CC61AE" w:rsidR="00AA1D5D" w:rsidRPr="001C3EC8" w:rsidRDefault="00AA1D5D" w:rsidP="008430BD">
      <w:pPr>
        <w:pStyle w:val="Podnadpis"/>
        <w:rPr>
          <w:color w:val="000000" w:themeColor="text1"/>
        </w:rPr>
      </w:pPr>
      <w:bookmarkStart w:id="451" w:name="_Toc515871472"/>
      <w:bookmarkStart w:id="452" w:name="_Toc11133239"/>
      <w:bookmarkStart w:id="453" w:name="_Toc43931218"/>
      <w:r w:rsidRPr="001C3EC8">
        <w:rPr>
          <w:color w:val="000000" w:themeColor="text1"/>
        </w:rPr>
        <w:lastRenderedPageBreak/>
        <w:t>Míra změny rozsudku</w:t>
      </w:r>
    </w:p>
    <w:p w14:paraId="088A0DBA" w14:textId="6E642E0E" w:rsidR="008430BD" w:rsidRPr="001C3EC8" w:rsidRDefault="008430BD" w:rsidP="008430BD">
      <w:pPr>
        <w:pStyle w:val="Podnadpis"/>
        <w:rPr>
          <w:color w:val="000000" w:themeColor="text1"/>
        </w:rPr>
      </w:pPr>
      <w:bookmarkStart w:id="454" w:name="_Toc75952351"/>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48</w:t>
      </w:r>
      <w:r w:rsidRPr="001C3EC8">
        <w:rPr>
          <w:color w:val="000000" w:themeColor="text1"/>
        </w:rPr>
        <w:fldChar w:fldCharType="end"/>
      </w:r>
      <w:r w:rsidRPr="001C3EC8">
        <w:rPr>
          <w:color w:val="000000" w:themeColor="text1"/>
        </w:rPr>
        <w:t>: KS – míra změny rozsudku dle soudů v civilním řízení</w:t>
      </w:r>
      <w:bookmarkEnd w:id="451"/>
      <w:bookmarkEnd w:id="452"/>
      <w:bookmarkEnd w:id="453"/>
      <w:bookmarkEnd w:id="454"/>
    </w:p>
    <w:tbl>
      <w:tblPr>
        <w:tblW w:w="6980" w:type="dxa"/>
        <w:tblCellMar>
          <w:left w:w="70" w:type="dxa"/>
          <w:right w:w="70" w:type="dxa"/>
        </w:tblCellMar>
        <w:tblLook w:val="04A0" w:firstRow="1" w:lastRow="0" w:firstColumn="1" w:lastColumn="0" w:noHBand="0" w:noVBand="1"/>
      </w:tblPr>
      <w:tblGrid>
        <w:gridCol w:w="2780"/>
        <w:gridCol w:w="1642"/>
        <w:gridCol w:w="2558"/>
      </w:tblGrid>
      <w:tr w:rsidR="008430BD" w:rsidRPr="001C3EC8" w14:paraId="73F7BC7D"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33D5DB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54419B8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Míra změny rozsudku </w:t>
            </w:r>
          </w:p>
        </w:tc>
      </w:tr>
      <w:tr w:rsidR="008430BD" w:rsidRPr="001C3EC8" w14:paraId="03F670E0"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020707B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642" w:type="dxa"/>
            <w:tcBorders>
              <w:top w:val="nil"/>
              <w:left w:val="nil"/>
              <w:bottom w:val="single" w:sz="4" w:space="0" w:color="auto"/>
              <w:right w:val="nil"/>
            </w:tcBorders>
            <w:shd w:val="clear" w:color="auto" w:fill="auto"/>
            <w:noWrap/>
            <w:vAlign w:val="bottom"/>
            <w:hideMark/>
          </w:tcPr>
          <w:p w14:paraId="62BEC39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52,39 %</w:t>
            </w:r>
          </w:p>
        </w:tc>
        <w:tc>
          <w:tcPr>
            <w:tcW w:w="2558" w:type="dxa"/>
            <w:tcBorders>
              <w:top w:val="nil"/>
              <w:left w:val="nil"/>
              <w:bottom w:val="single" w:sz="4" w:space="0" w:color="auto"/>
              <w:right w:val="nil"/>
            </w:tcBorders>
            <w:shd w:val="clear" w:color="auto" w:fill="auto"/>
            <w:noWrap/>
            <w:vAlign w:val="center"/>
            <w:hideMark/>
          </w:tcPr>
          <w:p w14:paraId="4B61DA09"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-0,4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14F339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055008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642" w:type="dxa"/>
            <w:tcBorders>
              <w:top w:val="nil"/>
              <w:left w:val="nil"/>
              <w:bottom w:val="single" w:sz="4" w:space="0" w:color="auto"/>
              <w:right w:val="nil"/>
            </w:tcBorders>
            <w:shd w:val="clear" w:color="auto" w:fill="auto"/>
            <w:noWrap/>
            <w:vAlign w:val="bottom"/>
            <w:hideMark/>
          </w:tcPr>
          <w:p w14:paraId="78028CB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63,53 %</w:t>
            </w:r>
          </w:p>
        </w:tc>
        <w:tc>
          <w:tcPr>
            <w:tcW w:w="2558" w:type="dxa"/>
            <w:tcBorders>
              <w:top w:val="nil"/>
              <w:left w:val="nil"/>
              <w:bottom w:val="single" w:sz="4" w:space="0" w:color="auto"/>
              <w:right w:val="nil"/>
            </w:tcBorders>
            <w:shd w:val="clear" w:color="auto" w:fill="auto"/>
            <w:noWrap/>
            <w:vAlign w:val="center"/>
            <w:hideMark/>
          </w:tcPr>
          <w:p w14:paraId="14DC44FC"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+9,4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3A5C0A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67A081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642" w:type="dxa"/>
            <w:tcBorders>
              <w:top w:val="nil"/>
              <w:left w:val="nil"/>
              <w:bottom w:val="single" w:sz="4" w:space="0" w:color="auto"/>
              <w:right w:val="nil"/>
            </w:tcBorders>
            <w:shd w:val="clear" w:color="auto" w:fill="auto"/>
            <w:noWrap/>
            <w:vAlign w:val="bottom"/>
            <w:hideMark/>
          </w:tcPr>
          <w:p w14:paraId="0295EA2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63,16 %</w:t>
            </w:r>
          </w:p>
        </w:tc>
        <w:tc>
          <w:tcPr>
            <w:tcW w:w="2558" w:type="dxa"/>
            <w:tcBorders>
              <w:top w:val="nil"/>
              <w:left w:val="nil"/>
              <w:bottom w:val="single" w:sz="4" w:space="0" w:color="auto"/>
              <w:right w:val="nil"/>
            </w:tcBorders>
            <w:shd w:val="clear" w:color="auto" w:fill="auto"/>
            <w:noWrap/>
            <w:vAlign w:val="center"/>
            <w:hideMark/>
          </w:tcPr>
          <w:p w14:paraId="4C4379D5"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+20,3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A1A6679"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8DD13E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642" w:type="dxa"/>
            <w:tcBorders>
              <w:top w:val="nil"/>
              <w:left w:val="nil"/>
              <w:bottom w:val="single" w:sz="4" w:space="0" w:color="auto"/>
              <w:right w:val="nil"/>
            </w:tcBorders>
            <w:shd w:val="clear" w:color="auto" w:fill="auto"/>
            <w:noWrap/>
            <w:vAlign w:val="bottom"/>
            <w:hideMark/>
          </w:tcPr>
          <w:p w14:paraId="745125B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56,72 %</w:t>
            </w:r>
          </w:p>
        </w:tc>
        <w:tc>
          <w:tcPr>
            <w:tcW w:w="2558" w:type="dxa"/>
            <w:tcBorders>
              <w:top w:val="nil"/>
              <w:left w:val="nil"/>
              <w:bottom w:val="single" w:sz="4" w:space="0" w:color="auto"/>
              <w:right w:val="nil"/>
            </w:tcBorders>
            <w:shd w:val="clear" w:color="auto" w:fill="auto"/>
            <w:noWrap/>
            <w:vAlign w:val="center"/>
            <w:hideMark/>
          </w:tcPr>
          <w:p w14:paraId="68218C90"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-5,6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D7E8B2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1DA1AF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642" w:type="dxa"/>
            <w:tcBorders>
              <w:top w:val="nil"/>
              <w:left w:val="nil"/>
              <w:bottom w:val="single" w:sz="4" w:space="0" w:color="auto"/>
              <w:right w:val="nil"/>
            </w:tcBorders>
            <w:shd w:val="clear" w:color="auto" w:fill="auto"/>
            <w:noWrap/>
            <w:vAlign w:val="bottom"/>
            <w:hideMark/>
          </w:tcPr>
          <w:p w14:paraId="7748EB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49,21 %</w:t>
            </w:r>
          </w:p>
        </w:tc>
        <w:tc>
          <w:tcPr>
            <w:tcW w:w="2558" w:type="dxa"/>
            <w:tcBorders>
              <w:top w:val="nil"/>
              <w:left w:val="nil"/>
              <w:bottom w:val="single" w:sz="4" w:space="0" w:color="auto"/>
              <w:right w:val="nil"/>
            </w:tcBorders>
            <w:shd w:val="clear" w:color="auto" w:fill="auto"/>
            <w:noWrap/>
            <w:vAlign w:val="center"/>
            <w:hideMark/>
          </w:tcPr>
          <w:p w14:paraId="43729302"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-3,8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E204D4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AADC97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642" w:type="dxa"/>
            <w:tcBorders>
              <w:top w:val="nil"/>
              <w:left w:val="nil"/>
              <w:bottom w:val="single" w:sz="4" w:space="0" w:color="auto"/>
              <w:right w:val="nil"/>
            </w:tcBorders>
            <w:shd w:val="clear" w:color="auto" w:fill="auto"/>
            <w:noWrap/>
            <w:vAlign w:val="bottom"/>
            <w:hideMark/>
          </w:tcPr>
          <w:p w14:paraId="181784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43,84 %</w:t>
            </w:r>
          </w:p>
        </w:tc>
        <w:tc>
          <w:tcPr>
            <w:tcW w:w="2558" w:type="dxa"/>
            <w:tcBorders>
              <w:top w:val="nil"/>
              <w:left w:val="nil"/>
              <w:bottom w:val="single" w:sz="4" w:space="0" w:color="auto"/>
              <w:right w:val="nil"/>
            </w:tcBorders>
            <w:shd w:val="clear" w:color="auto" w:fill="auto"/>
            <w:noWrap/>
            <w:vAlign w:val="center"/>
            <w:hideMark/>
          </w:tcPr>
          <w:p w14:paraId="593840F1"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-14,7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CE06B1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841233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642" w:type="dxa"/>
            <w:tcBorders>
              <w:top w:val="nil"/>
              <w:left w:val="nil"/>
              <w:bottom w:val="single" w:sz="4" w:space="0" w:color="auto"/>
              <w:right w:val="nil"/>
            </w:tcBorders>
            <w:shd w:val="clear" w:color="auto" w:fill="auto"/>
            <w:noWrap/>
            <w:vAlign w:val="bottom"/>
            <w:hideMark/>
          </w:tcPr>
          <w:p w14:paraId="15F1A6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45,12 %</w:t>
            </w:r>
          </w:p>
        </w:tc>
        <w:tc>
          <w:tcPr>
            <w:tcW w:w="2558" w:type="dxa"/>
            <w:tcBorders>
              <w:top w:val="nil"/>
              <w:left w:val="nil"/>
              <w:bottom w:val="single" w:sz="4" w:space="0" w:color="auto"/>
              <w:right w:val="nil"/>
            </w:tcBorders>
            <w:shd w:val="clear" w:color="auto" w:fill="auto"/>
            <w:noWrap/>
            <w:vAlign w:val="center"/>
            <w:hideMark/>
          </w:tcPr>
          <w:p w14:paraId="728BEBC2"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-4,0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856D15F"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4878FD5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642" w:type="dxa"/>
            <w:tcBorders>
              <w:top w:val="nil"/>
              <w:left w:val="nil"/>
              <w:bottom w:val="double" w:sz="6" w:space="0" w:color="auto"/>
              <w:right w:val="nil"/>
            </w:tcBorders>
            <w:shd w:val="clear" w:color="auto" w:fill="auto"/>
            <w:noWrap/>
            <w:vAlign w:val="bottom"/>
            <w:hideMark/>
          </w:tcPr>
          <w:p w14:paraId="649BBE0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54,25 %</w:t>
            </w:r>
          </w:p>
        </w:tc>
        <w:tc>
          <w:tcPr>
            <w:tcW w:w="2558" w:type="dxa"/>
            <w:tcBorders>
              <w:top w:val="nil"/>
              <w:left w:val="nil"/>
              <w:bottom w:val="nil"/>
              <w:right w:val="nil"/>
            </w:tcBorders>
            <w:shd w:val="clear" w:color="auto" w:fill="auto"/>
            <w:noWrap/>
            <w:vAlign w:val="center"/>
            <w:hideMark/>
          </w:tcPr>
          <w:p w14:paraId="45D71BE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+16,1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4D081DF"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65AB22E5"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642" w:type="dxa"/>
            <w:tcBorders>
              <w:top w:val="nil"/>
              <w:left w:val="nil"/>
              <w:bottom w:val="double" w:sz="6" w:space="0" w:color="auto"/>
              <w:right w:val="nil"/>
            </w:tcBorders>
            <w:shd w:val="clear" w:color="auto" w:fill="auto"/>
            <w:noWrap/>
            <w:vAlign w:val="bottom"/>
            <w:hideMark/>
          </w:tcPr>
          <w:p w14:paraId="71668EE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53,01</w:t>
            </w:r>
            <w:r w:rsidRPr="001C3EC8">
              <w:rPr>
                <w:rFonts w:eastAsia="Times New Roman"/>
                <w:color w:val="000000" w:themeColor="text1"/>
                <w:szCs w:val="24"/>
                <w:lang w:eastAsia="cs-CZ"/>
              </w:rPr>
              <w:t xml:space="preserve"> %</w:t>
            </w:r>
          </w:p>
        </w:tc>
        <w:tc>
          <w:tcPr>
            <w:tcW w:w="2558" w:type="dxa"/>
            <w:tcBorders>
              <w:top w:val="double" w:sz="6" w:space="0" w:color="auto"/>
              <w:left w:val="nil"/>
              <w:bottom w:val="double" w:sz="6" w:space="0" w:color="auto"/>
              <w:right w:val="nil"/>
            </w:tcBorders>
            <w:shd w:val="clear" w:color="auto" w:fill="auto"/>
            <w:noWrap/>
            <w:vAlign w:val="center"/>
            <w:hideMark/>
          </w:tcPr>
          <w:p w14:paraId="0685C483"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+1,2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5E132F43" w14:textId="77777777" w:rsidR="008430BD" w:rsidRPr="001C3EC8" w:rsidRDefault="008430BD" w:rsidP="008430BD">
      <w:pPr>
        <w:pStyle w:val="OdstavecASR"/>
        <w:rPr>
          <w:color w:val="000000" w:themeColor="text1"/>
        </w:rPr>
      </w:pPr>
    </w:p>
    <w:p w14:paraId="210902B8" w14:textId="69211DA6" w:rsidR="008430BD" w:rsidRPr="001C3EC8" w:rsidRDefault="008430BD" w:rsidP="008430BD">
      <w:pPr>
        <w:pStyle w:val="OdstavecASR"/>
        <w:rPr>
          <w:color w:val="000000" w:themeColor="text1"/>
        </w:rPr>
      </w:pPr>
      <w:r w:rsidRPr="001C3EC8">
        <w:rPr>
          <w:color w:val="000000" w:themeColor="text1"/>
        </w:rPr>
        <w:t xml:space="preserve">Rozdíly mezi jednotlivými soudy v míře změny rozsudku jsou rovněž poměrně vysoké. Rozdíly jsou velké </w:t>
      </w:r>
      <w:r w:rsidR="0014150C" w:rsidRPr="001C3EC8">
        <w:rPr>
          <w:color w:val="000000" w:themeColor="text1"/>
        </w:rPr>
        <w:t>i</w:t>
      </w:r>
      <w:r w:rsidR="0014150C">
        <w:rPr>
          <w:color w:val="000000" w:themeColor="text1"/>
        </w:rPr>
        <w:t> </w:t>
      </w:r>
      <w:r w:rsidR="0014150C" w:rsidRPr="001C3EC8">
        <w:rPr>
          <w:color w:val="000000" w:themeColor="text1"/>
        </w:rPr>
        <w:t>u</w:t>
      </w:r>
      <w:r w:rsidR="0014150C">
        <w:rPr>
          <w:color w:val="000000" w:themeColor="text1"/>
        </w:rPr>
        <w:t> </w:t>
      </w:r>
      <w:r w:rsidRPr="001C3EC8">
        <w:rPr>
          <w:color w:val="000000" w:themeColor="text1"/>
        </w:rPr>
        <w:t xml:space="preserve">soudů mezi jednotlivými lety (viz především KS České Budějovice, KS Hradec Králové </w:t>
      </w:r>
      <w:r w:rsidR="0014150C" w:rsidRPr="001C3EC8">
        <w:rPr>
          <w:color w:val="000000" w:themeColor="text1"/>
        </w:rPr>
        <w:t>a</w:t>
      </w:r>
      <w:r w:rsidR="0014150C">
        <w:rPr>
          <w:color w:val="000000" w:themeColor="text1"/>
        </w:rPr>
        <w:t> </w:t>
      </w:r>
      <w:r w:rsidRPr="001C3EC8">
        <w:rPr>
          <w:color w:val="000000" w:themeColor="text1"/>
        </w:rPr>
        <w:t>KS Ostrava). Míra změny rozsudku je také vyšší než u okresních soudů, tentokrát asi o </w:t>
      </w:r>
      <w:proofErr w:type="gramStart"/>
      <w:r w:rsidRPr="001C3EC8">
        <w:rPr>
          <w:color w:val="000000" w:themeColor="text1"/>
        </w:rPr>
        <w:t>7 procentních</w:t>
      </w:r>
      <w:proofErr w:type="gramEnd"/>
      <w:r w:rsidRPr="001C3EC8">
        <w:rPr>
          <w:color w:val="000000" w:themeColor="text1"/>
        </w:rPr>
        <w:t xml:space="preserve"> bodů.</w:t>
      </w:r>
    </w:p>
    <w:p w14:paraId="71BA1D77" w14:textId="079A51C3" w:rsidR="008430BD" w:rsidRPr="001C3EC8" w:rsidRDefault="008430BD" w:rsidP="008430BD">
      <w:pPr>
        <w:pStyle w:val="OdstavecASR"/>
        <w:rPr>
          <w:color w:val="000000" w:themeColor="text1"/>
        </w:rPr>
      </w:pPr>
      <w:r w:rsidRPr="001C3EC8">
        <w:rPr>
          <w:color w:val="000000" w:themeColor="text1"/>
        </w:rPr>
        <w:t xml:space="preserve">Celková míra změny rozsudku je nejvyšší </w:t>
      </w:r>
      <w:r w:rsidR="0014150C" w:rsidRPr="001C3EC8">
        <w:rPr>
          <w:color w:val="000000" w:themeColor="text1"/>
        </w:rPr>
        <w:t>u</w:t>
      </w:r>
      <w:r w:rsidR="0014150C">
        <w:rPr>
          <w:color w:val="000000" w:themeColor="text1"/>
        </w:rPr>
        <w:t> </w:t>
      </w:r>
      <w:r w:rsidRPr="001C3EC8">
        <w:rPr>
          <w:color w:val="000000" w:themeColor="text1"/>
        </w:rPr>
        <w:t xml:space="preserve">KS </w:t>
      </w:r>
      <w:r w:rsidR="0014150C" w:rsidRPr="001C3EC8">
        <w:rPr>
          <w:color w:val="000000" w:themeColor="text1"/>
        </w:rPr>
        <w:t>v</w:t>
      </w:r>
      <w:r w:rsidR="0014150C">
        <w:rPr>
          <w:color w:val="000000" w:themeColor="text1"/>
        </w:rPr>
        <w:t> </w:t>
      </w:r>
      <w:r w:rsidRPr="001C3EC8">
        <w:rPr>
          <w:color w:val="000000" w:themeColor="text1"/>
        </w:rPr>
        <w:t xml:space="preserve">Praze, následuje KS v Českých Budějovicích. Nejnižší je u KS v Hradci Králové a nově </w:t>
      </w:r>
      <w:r w:rsidR="0014150C" w:rsidRPr="001C3EC8">
        <w:rPr>
          <w:color w:val="000000" w:themeColor="text1"/>
        </w:rPr>
        <w:t>u</w:t>
      </w:r>
      <w:r w:rsidR="0014150C">
        <w:rPr>
          <w:color w:val="000000" w:themeColor="text1"/>
        </w:rPr>
        <w:t> </w:t>
      </w:r>
      <w:r w:rsidRPr="001C3EC8">
        <w:rPr>
          <w:color w:val="000000" w:themeColor="text1"/>
        </w:rPr>
        <w:t>KS v Brně.</w:t>
      </w:r>
    </w:p>
    <w:p w14:paraId="0C094928" w14:textId="2CDEDF1C" w:rsidR="008430BD" w:rsidRPr="001C3EC8" w:rsidRDefault="008430BD" w:rsidP="008430BD">
      <w:pPr>
        <w:pStyle w:val="OdstavecASR"/>
        <w:rPr>
          <w:color w:val="000000" w:themeColor="text1"/>
          <w:highlight w:val="yellow"/>
        </w:rPr>
      </w:pPr>
      <w:r w:rsidRPr="001C3EC8">
        <w:rPr>
          <w:color w:val="000000" w:themeColor="text1"/>
        </w:rPr>
        <w:t xml:space="preserve">Nakonec ještě krátce porovnáme poslední </w:t>
      </w:r>
      <w:r w:rsidR="003845F0">
        <w:rPr>
          <w:color w:val="000000" w:themeColor="text1"/>
        </w:rPr>
        <w:t>pět let</w:t>
      </w:r>
      <w:r w:rsidRPr="001C3EC8">
        <w:rPr>
          <w:color w:val="000000" w:themeColor="text1"/>
        </w:rPr>
        <w:t>. V roce 2016 byla míra odvolání (dle současné metodiky) 14,07 % a míra změny rozsudku 50,33 %, zatímco v roce 2017 dosáhla míra odvolání 19,20 % a míra změny rozsudku 50,64 %</w:t>
      </w:r>
      <w:r w:rsidR="0014150C">
        <w:rPr>
          <w:color w:val="000000" w:themeColor="text1"/>
        </w:rPr>
        <w:t xml:space="preserve"> </w:t>
      </w:r>
      <w:r w:rsidR="0014150C" w:rsidRPr="001C3EC8">
        <w:rPr>
          <w:color w:val="000000" w:themeColor="text1"/>
        </w:rPr>
        <w:t>a</w:t>
      </w:r>
      <w:r w:rsidR="0014150C">
        <w:rPr>
          <w:color w:val="000000" w:themeColor="text1"/>
        </w:rPr>
        <w:t> </w:t>
      </w:r>
      <w:r w:rsidR="0014150C" w:rsidRPr="001C3EC8">
        <w:rPr>
          <w:color w:val="000000" w:themeColor="text1"/>
        </w:rPr>
        <w:t>v</w:t>
      </w:r>
      <w:r w:rsidR="0014150C">
        <w:rPr>
          <w:color w:val="000000" w:themeColor="text1"/>
        </w:rPr>
        <w:t> </w:t>
      </w:r>
      <w:r w:rsidRPr="001C3EC8">
        <w:rPr>
          <w:color w:val="000000" w:themeColor="text1"/>
        </w:rPr>
        <w:t>roce 2018 byly hodnoty 23,26 %</w:t>
      </w:r>
      <w:r w:rsidR="0014150C">
        <w:rPr>
          <w:color w:val="000000" w:themeColor="text1"/>
        </w:rPr>
        <w:t xml:space="preserve"> </w:t>
      </w:r>
      <w:r w:rsidR="0014150C" w:rsidRPr="001C3EC8">
        <w:rPr>
          <w:color w:val="000000" w:themeColor="text1"/>
        </w:rPr>
        <w:t>a</w:t>
      </w:r>
      <w:r w:rsidR="0014150C">
        <w:rPr>
          <w:color w:val="000000" w:themeColor="text1"/>
        </w:rPr>
        <w:t> </w:t>
      </w:r>
      <w:r w:rsidRPr="001C3EC8">
        <w:rPr>
          <w:color w:val="000000" w:themeColor="text1"/>
        </w:rPr>
        <w:t>51,06 %. V roce 2019 pak hodnoty byly 22,77 %</w:t>
      </w:r>
      <w:r w:rsidR="0014150C">
        <w:rPr>
          <w:color w:val="000000" w:themeColor="text1"/>
        </w:rPr>
        <w:t xml:space="preserve"> </w:t>
      </w:r>
      <w:r w:rsidR="0014150C" w:rsidRPr="001C3EC8">
        <w:rPr>
          <w:color w:val="000000" w:themeColor="text1"/>
        </w:rPr>
        <w:t>a</w:t>
      </w:r>
      <w:r w:rsidR="0014150C">
        <w:rPr>
          <w:color w:val="000000" w:themeColor="text1"/>
        </w:rPr>
        <w:t> </w:t>
      </w:r>
      <w:r w:rsidRPr="001C3EC8">
        <w:rPr>
          <w:color w:val="000000" w:themeColor="text1"/>
        </w:rPr>
        <w:t xml:space="preserve">51,80 % </w:t>
      </w:r>
      <w:r w:rsidR="0014150C" w:rsidRPr="001C3EC8">
        <w:rPr>
          <w:color w:val="000000" w:themeColor="text1"/>
        </w:rPr>
        <w:t>a</w:t>
      </w:r>
      <w:r w:rsidR="0014150C">
        <w:rPr>
          <w:color w:val="000000" w:themeColor="text1"/>
        </w:rPr>
        <w:t> </w:t>
      </w:r>
      <w:r w:rsidRPr="001C3EC8">
        <w:rPr>
          <w:color w:val="000000" w:themeColor="text1"/>
        </w:rPr>
        <w:t xml:space="preserve">v roce 2020 22,06 % </w:t>
      </w:r>
      <w:r w:rsidR="0014150C" w:rsidRPr="001C3EC8">
        <w:rPr>
          <w:color w:val="000000" w:themeColor="text1"/>
        </w:rPr>
        <w:t>a</w:t>
      </w:r>
      <w:r w:rsidR="0014150C">
        <w:rPr>
          <w:color w:val="000000" w:themeColor="text1"/>
        </w:rPr>
        <w:t> </w:t>
      </w:r>
      <w:r w:rsidRPr="001C3EC8">
        <w:rPr>
          <w:color w:val="000000" w:themeColor="text1"/>
        </w:rPr>
        <w:t>53,01 %.</w:t>
      </w:r>
    </w:p>
    <w:p w14:paraId="5B483ECC" w14:textId="77777777" w:rsidR="008430BD" w:rsidRPr="001C3EC8" w:rsidRDefault="008430BD" w:rsidP="008430BD">
      <w:pPr>
        <w:pStyle w:val="OdstavecASR"/>
        <w:rPr>
          <w:color w:val="000000" w:themeColor="text1"/>
        </w:rPr>
      </w:pPr>
      <w:r w:rsidRPr="001C3EC8">
        <w:rPr>
          <w:color w:val="000000" w:themeColor="text1"/>
        </w:rPr>
        <w:t>Míra celkové změny rozsudku se za celou ČR v posledních čtyřech letech pohybovala následovně:</w:t>
      </w:r>
    </w:p>
    <w:p w14:paraId="7D9E0BF2" w14:textId="77777777" w:rsidR="008430BD" w:rsidRPr="001C3EC8" w:rsidRDefault="008430BD" w:rsidP="008430BD">
      <w:pPr>
        <w:pStyle w:val="OdstavecASR"/>
        <w:rPr>
          <w:color w:val="000000" w:themeColor="text1"/>
        </w:rPr>
      </w:pPr>
      <w:r w:rsidRPr="001C3EC8">
        <w:rPr>
          <w:color w:val="000000" w:themeColor="text1"/>
        </w:rPr>
        <w:t>2016: 14,07 % × 50,33 % = 7,08 %</w:t>
      </w:r>
    </w:p>
    <w:p w14:paraId="333D3C13" w14:textId="77777777" w:rsidR="008430BD" w:rsidRPr="001C3EC8" w:rsidRDefault="008430BD" w:rsidP="008430BD">
      <w:pPr>
        <w:pStyle w:val="OdstavecASR"/>
        <w:rPr>
          <w:color w:val="000000" w:themeColor="text1"/>
        </w:rPr>
      </w:pPr>
      <w:r w:rsidRPr="001C3EC8">
        <w:rPr>
          <w:color w:val="000000" w:themeColor="text1"/>
        </w:rPr>
        <w:t>2017: 19,20 % × 50,64 % = 9,72 %</w:t>
      </w:r>
    </w:p>
    <w:p w14:paraId="4F3673CD" w14:textId="77777777" w:rsidR="008430BD" w:rsidRPr="001C3EC8" w:rsidRDefault="008430BD" w:rsidP="008430BD">
      <w:pPr>
        <w:pStyle w:val="OdstavecASR"/>
        <w:rPr>
          <w:color w:val="000000" w:themeColor="text1"/>
        </w:rPr>
      </w:pPr>
      <w:r w:rsidRPr="001C3EC8">
        <w:rPr>
          <w:color w:val="000000" w:themeColor="text1"/>
        </w:rPr>
        <w:t>2018: 23,26 % × 51,06 % = 11,87 %</w:t>
      </w:r>
    </w:p>
    <w:p w14:paraId="77056393" w14:textId="77777777" w:rsidR="008430BD" w:rsidRPr="001C3EC8" w:rsidRDefault="008430BD" w:rsidP="008430BD">
      <w:pPr>
        <w:pStyle w:val="OdstavecASR"/>
        <w:rPr>
          <w:color w:val="000000" w:themeColor="text1"/>
        </w:rPr>
      </w:pPr>
      <w:r w:rsidRPr="001C3EC8">
        <w:rPr>
          <w:color w:val="000000" w:themeColor="text1"/>
        </w:rPr>
        <w:t>2019: 22,77 % × 51,80 % = 11,79 %</w:t>
      </w:r>
    </w:p>
    <w:p w14:paraId="24C9F205" w14:textId="7761C8E5" w:rsidR="008430BD" w:rsidRPr="001C3EC8" w:rsidRDefault="008430BD" w:rsidP="008430BD">
      <w:pPr>
        <w:pStyle w:val="OdstavecASR"/>
        <w:rPr>
          <w:color w:val="000000" w:themeColor="text1"/>
        </w:rPr>
      </w:pPr>
      <w:r w:rsidRPr="001C3EC8">
        <w:rPr>
          <w:color w:val="000000" w:themeColor="text1"/>
        </w:rPr>
        <w:t>20</w:t>
      </w:r>
      <w:r w:rsidR="00213A42" w:rsidRPr="001C3EC8">
        <w:rPr>
          <w:color w:val="000000" w:themeColor="text1"/>
        </w:rPr>
        <w:t>20:</w:t>
      </w:r>
      <w:r w:rsidRPr="001C3EC8">
        <w:rPr>
          <w:color w:val="000000" w:themeColor="text1"/>
        </w:rPr>
        <w:t xml:space="preserve"> 22,06 % × 5</w:t>
      </w:r>
      <w:r w:rsidR="00213A42" w:rsidRPr="001C3EC8">
        <w:rPr>
          <w:color w:val="000000" w:themeColor="text1"/>
        </w:rPr>
        <w:t>3</w:t>
      </w:r>
      <w:r w:rsidRPr="001C3EC8">
        <w:rPr>
          <w:color w:val="000000" w:themeColor="text1"/>
        </w:rPr>
        <w:t>,</w:t>
      </w:r>
      <w:r w:rsidR="00213A42" w:rsidRPr="001C3EC8">
        <w:rPr>
          <w:color w:val="000000" w:themeColor="text1"/>
        </w:rPr>
        <w:t>01</w:t>
      </w:r>
      <w:r w:rsidRPr="001C3EC8">
        <w:rPr>
          <w:color w:val="000000" w:themeColor="text1"/>
        </w:rPr>
        <w:t> % = 11,69 %</w:t>
      </w:r>
    </w:p>
    <w:p w14:paraId="725667C8" w14:textId="7814B46D" w:rsidR="008430BD" w:rsidRPr="001C3EC8" w:rsidRDefault="008430BD" w:rsidP="008430BD">
      <w:pPr>
        <w:pStyle w:val="OdstavecASR"/>
        <w:rPr>
          <w:color w:val="000000" w:themeColor="text1"/>
        </w:rPr>
      </w:pPr>
      <w:r w:rsidRPr="001C3EC8">
        <w:rPr>
          <w:color w:val="000000" w:themeColor="text1"/>
        </w:rPr>
        <w:t xml:space="preserve">Míra celkové změny rozsudku se v letech 2016 až 2018 zvýšila </w:t>
      </w:r>
      <w:r w:rsidR="00563800" w:rsidRPr="001C3EC8">
        <w:rPr>
          <w:color w:val="000000" w:themeColor="text1"/>
        </w:rPr>
        <w:t xml:space="preserve">více než </w:t>
      </w:r>
      <w:r w:rsidR="0014150C" w:rsidRPr="001C3EC8">
        <w:rPr>
          <w:color w:val="000000" w:themeColor="text1"/>
        </w:rPr>
        <w:t>o</w:t>
      </w:r>
      <w:r w:rsidR="0014150C">
        <w:rPr>
          <w:color w:val="000000" w:themeColor="text1"/>
        </w:rPr>
        <w:t> </w:t>
      </w:r>
      <w:r w:rsidR="00563800" w:rsidRPr="001C3EC8">
        <w:rPr>
          <w:color w:val="000000" w:themeColor="text1"/>
        </w:rPr>
        <w:t>polovinu</w:t>
      </w:r>
      <w:r w:rsidRPr="001C3EC8">
        <w:rPr>
          <w:color w:val="000000" w:themeColor="text1"/>
        </w:rPr>
        <w:t xml:space="preserve">. Mezi roky 2018 a 2020 zůstala téměř konstantní. Pro připomenutí tento ukazatel znamená, že téměř u 12 % pravomocných rozhodnutí krajských soudů </w:t>
      </w:r>
      <w:r w:rsidR="0014150C" w:rsidRPr="001C3EC8">
        <w:rPr>
          <w:color w:val="000000" w:themeColor="text1"/>
        </w:rPr>
        <w:t>v</w:t>
      </w:r>
      <w:r w:rsidR="0014150C">
        <w:rPr>
          <w:color w:val="000000" w:themeColor="text1"/>
        </w:rPr>
        <w:t> </w:t>
      </w:r>
      <w:r w:rsidRPr="001C3EC8">
        <w:rPr>
          <w:color w:val="000000" w:themeColor="text1"/>
        </w:rPr>
        <w:t>civilních věcech došlo ke změně rozsudku.</w:t>
      </w:r>
    </w:p>
    <w:p w14:paraId="33C62D0B" w14:textId="258F2C08" w:rsidR="00AA1D5D" w:rsidRPr="001C3EC8" w:rsidRDefault="00AA1D5D" w:rsidP="008430BD">
      <w:pPr>
        <w:pStyle w:val="OdstavecASR"/>
        <w:rPr>
          <w:b/>
          <w:color w:val="000000" w:themeColor="text1"/>
        </w:rPr>
      </w:pPr>
      <w:r w:rsidRPr="001C3EC8">
        <w:rPr>
          <w:b/>
          <w:color w:val="000000" w:themeColor="text1"/>
        </w:rPr>
        <w:t>Výše přiznaných nároků</w:t>
      </w:r>
    </w:p>
    <w:p w14:paraId="77D845CF" w14:textId="4E5F2974" w:rsidR="008430BD" w:rsidRPr="001C3EC8" w:rsidRDefault="008430BD" w:rsidP="008430BD">
      <w:pPr>
        <w:pStyle w:val="OdstavecASR"/>
        <w:rPr>
          <w:color w:val="000000" w:themeColor="text1"/>
        </w:rPr>
      </w:pPr>
      <w:r w:rsidRPr="001C3EC8">
        <w:rPr>
          <w:color w:val="000000" w:themeColor="text1"/>
        </w:rPr>
        <w:t>Další tabulka zobrazuje data týkající se výše přiznaných nároků, které byly rozděleny do intervalů. Podíly jednotlivých intervalů uvádíme v procentech. Výše přiznaného nároku představuje částku, kterou soud přiznal žalobci vůči žalovanému.</w:t>
      </w:r>
    </w:p>
    <w:p w14:paraId="3EFB149B" w14:textId="77777777" w:rsidR="008430BD" w:rsidRPr="001C3EC8" w:rsidRDefault="008430BD" w:rsidP="008430BD">
      <w:pPr>
        <w:spacing w:line="240" w:lineRule="auto"/>
        <w:jc w:val="left"/>
        <w:rPr>
          <w:rFonts w:eastAsia="Times New Roman"/>
          <w:b/>
          <w:iCs/>
          <w:color w:val="000000" w:themeColor="text1"/>
          <w:spacing w:val="15"/>
          <w:szCs w:val="24"/>
        </w:rPr>
      </w:pPr>
      <w:bookmarkStart w:id="455" w:name="_Toc515871473"/>
      <w:bookmarkStart w:id="456" w:name="_Toc11133240"/>
      <w:bookmarkStart w:id="457" w:name="_Toc43931219"/>
      <w:r w:rsidRPr="001C3EC8">
        <w:rPr>
          <w:color w:val="000000" w:themeColor="text1"/>
        </w:rPr>
        <w:br w:type="page"/>
      </w:r>
    </w:p>
    <w:p w14:paraId="41524245" w14:textId="28AECF63" w:rsidR="008430BD" w:rsidRPr="001C3EC8" w:rsidRDefault="008430BD" w:rsidP="008430BD">
      <w:pPr>
        <w:pStyle w:val="Podnadpis"/>
        <w:rPr>
          <w:color w:val="000000" w:themeColor="text1"/>
        </w:rPr>
      </w:pPr>
      <w:bookmarkStart w:id="458" w:name="_Toc75952352"/>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49</w:t>
      </w:r>
      <w:r w:rsidRPr="001C3EC8">
        <w:rPr>
          <w:color w:val="000000" w:themeColor="text1"/>
        </w:rPr>
        <w:fldChar w:fldCharType="end"/>
      </w:r>
      <w:r w:rsidRPr="001C3EC8">
        <w:rPr>
          <w:color w:val="000000" w:themeColor="text1"/>
        </w:rPr>
        <w:t>: KS – výše přiznaných nároků</w:t>
      </w:r>
      <w:bookmarkEnd w:id="455"/>
      <w:bookmarkEnd w:id="456"/>
      <w:bookmarkEnd w:id="457"/>
      <w:bookmarkEnd w:id="458"/>
    </w:p>
    <w:tbl>
      <w:tblPr>
        <w:tblW w:w="9080" w:type="dxa"/>
        <w:tblCellMar>
          <w:left w:w="70" w:type="dxa"/>
          <w:right w:w="70" w:type="dxa"/>
        </w:tblCellMar>
        <w:tblLook w:val="04A0" w:firstRow="1" w:lastRow="0" w:firstColumn="1" w:lastColumn="0" w:noHBand="0" w:noVBand="1"/>
      </w:tblPr>
      <w:tblGrid>
        <w:gridCol w:w="1960"/>
        <w:gridCol w:w="1278"/>
        <w:gridCol w:w="1883"/>
        <w:gridCol w:w="2092"/>
        <w:gridCol w:w="1867"/>
      </w:tblGrid>
      <w:tr w:rsidR="008430BD" w:rsidRPr="001C3EC8" w14:paraId="1DED2923" w14:textId="77777777" w:rsidTr="00E077F3">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14:paraId="0BC5213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7120" w:type="dxa"/>
            <w:gridSpan w:val="4"/>
            <w:tcBorders>
              <w:top w:val="double" w:sz="6" w:space="0" w:color="auto"/>
              <w:left w:val="nil"/>
              <w:bottom w:val="nil"/>
              <w:right w:val="nil"/>
            </w:tcBorders>
            <w:shd w:val="clear" w:color="auto" w:fill="auto"/>
            <w:noWrap/>
            <w:vAlign w:val="center"/>
            <w:hideMark/>
          </w:tcPr>
          <w:p w14:paraId="249908A3" w14:textId="38A4BD8F"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Výše přiznaného nároku </w:t>
            </w:r>
            <w:r w:rsidR="0014150C" w:rsidRPr="001C3EC8">
              <w:rPr>
                <w:rFonts w:eastAsia="Times New Roman"/>
                <w:b/>
                <w:bCs/>
                <w:color w:val="000000" w:themeColor="text1"/>
                <w:szCs w:val="24"/>
                <w:lang w:eastAsia="cs-CZ"/>
              </w:rPr>
              <w:t>v</w:t>
            </w:r>
            <w:r w:rsidR="0014150C">
              <w:rPr>
                <w:rFonts w:eastAsia="Times New Roman"/>
                <w:b/>
                <w:bCs/>
                <w:color w:val="000000" w:themeColor="text1"/>
                <w:szCs w:val="24"/>
                <w:lang w:eastAsia="cs-CZ"/>
              </w:rPr>
              <w:t> </w:t>
            </w:r>
            <w:r w:rsidRPr="001C3EC8">
              <w:rPr>
                <w:rFonts w:eastAsia="Times New Roman"/>
                <w:b/>
                <w:bCs/>
                <w:color w:val="000000" w:themeColor="text1"/>
                <w:szCs w:val="24"/>
                <w:lang w:eastAsia="cs-CZ"/>
              </w:rPr>
              <w:t>Kč</w:t>
            </w:r>
          </w:p>
        </w:tc>
      </w:tr>
      <w:tr w:rsidR="008430BD" w:rsidRPr="001C3EC8" w14:paraId="6D16B469" w14:textId="77777777" w:rsidTr="00E077F3">
        <w:trPr>
          <w:trHeight w:val="330"/>
        </w:trPr>
        <w:tc>
          <w:tcPr>
            <w:tcW w:w="1960" w:type="dxa"/>
            <w:vMerge/>
            <w:tcBorders>
              <w:top w:val="double" w:sz="6" w:space="0" w:color="auto"/>
              <w:left w:val="nil"/>
              <w:bottom w:val="double" w:sz="6" w:space="0" w:color="000000"/>
              <w:right w:val="nil"/>
            </w:tcBorders>
            <w:vAlign w:val="center"/>
            <w:hideMark/>
          </w:tcPr>
          <w:p w14:paraId="2E4FE7F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278" w:type="dxa"/>
            <w:tcBorders>
              <w:top w:val="nil"/>
              <w:left w:val="nil"/>
              <w:bottom w:val="double" w:sz="6" w:space="0" w:color="auto"/>
              <w:right w:val="nil"/>
            </w:tcBorders>
            <w:shd w:val="clear" w:color="auto" w:fill="auto"/>
            <w:noWrap/>
            <w:vAlign w:val="center"/>
            <w:hideMark/>
          </w:tcPr>
          <w:p w14:paraId="4A83278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1 - 20 000</w:t>
            </w:r>
          </w:p>
        </w:tc>
        <w:tc>
          <w:tcPr>
            <w:tcW w:w="1883" w:type="dxa"/>
            <w:tcBorders>
              <w:top w:val="nil"/>
              <w:left w:val="nil"/>
              <w:bottom w:val="double" w:sz="6" w:space="0" w:color="auto"/>
              <w:right w:val="nil"/>
            </w:tcBorders>
            <w:shd w:val="clear" w:color="auto" w:fill="auto"/>
            <w:noWrap/>
            <w:vAlign w:val="center"/>
            <w:hideMark/>
          </w:tcPr>
          <w:p w14:paraId="248F56D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20001 - 50 000</w:t>
            </w:r>
          </w:p>
        </w:tc>
        <w:tc>
          <w:tcPr>
            <w:tcW w:w="2092" w:type="dxa"/>
            <w:tcBorders>
              <w:top w:val="nil"/>
              <w:left w:val="nil"/>
              <w:bottom w:val="double" w:sz="6" w:space="0" w:color="auto"/>
              <w:right w:val="nil"/>
            </w:tcBorders>
            <w:shd w:val="clear" w:color="auto" w:fill="auto"/>
            <w:noWrap/>
            <w:vAlign w:val="center"/>
            <w:hideMark/>
          </w:tcPr>
          <w:p w14:paraId="2A03E4F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50 001 - 100 000</w:t>
            </w:r>
          </w:p>
        </w:tc>
        <w:tc>
          <w:tcPr>
            <w:tcW w:w="1867" w:type="dxa"/>
            <w:tcBorders>
              <w:top w:val="nil"/>
              <w:left w:val="nil"/>
              <w:bottom w:val="double" w:sz="6" w:space="0" w:color="auto"/>
              <w:right w:val="nil"/>
            </w:tcBorders>
            <w:shd w:val="clear" w:color="auto" w:fill="auto"/>
            <w:noWrap/>
            <w:vAlign w:val="center"/>
            <w:hideMark/>
          </w:tcPr>
          <w:p w14:paraId="7274275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100 000 a více</w:t>
            </w:r>
          </w:p>
        </w:tc>
      </w:tr>
      <w:tr w:rsidR="008430BD" w:rsidRPr="001C3EC8" w14:paraId="1FE904AF" w14:textId="77777777" w:rsidTr="00E077F3">
        <w:trPr>
          <w:trHeight w:val="330"/>
        </w:trPr>
        <w:tc>
          <w:tcPr>
            <w:tcW w:w="1960" w:type="dxa"/>
            <w:tcBorders>
              <w:top w:val="single" w:sz="4" w:space="0" w:color="auto"/>
              <w:left w:val="nil"/>
              <w:bottom w:val="single" w:sz="4" w:space="0" w:color="auto"/>
              <w:right w:val="nil"/>
            </w:tcBorders>
            <w:shd w:val="clear" w:color="auto" w:fill="auto"/>
            <w:noWrap/>
            <w:vAlign w:val="bottom"/>
            <w:hideMark/>
          </w:tcPr>
          <w:p w14:paraId="1B13FEC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78" w:type="dxa"/>
            <w:tcBorders>
              <w:top w:val="single" w:sz="4" w:space="0" w:color="auto"/>
              <w:left w:val="nil"/>
              <w:bottom w:val="single" w:sz="4" w:space="0" w:color="auto"/>
              <w:right w:val="nil"/>
            </w:tcBorders>
            <w:shd w:val="clear" w:color="auto" w:fill="auto"/>
            <w:noWrap/>
            <w:vAlign w:val="bottom"/>
            <w:hideMark/>
          </w:tcPr>
          <w:p w14:paraId="6922020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17,08</w:t>
            </w:r>
          </w:p>
        </w:tc>
        <w:tc>
          <w:tcPr>
            <w:tcW w:w="1883" w:type="dxa"/>
            <w:tcBorders>
              <w:top w:val="single" w:sz="4" w:space="0" w:color="auto"/>
              <w:left w:val="nil"/>
              <w:bottom w:val="single" w:sz="4" w:space="0" w:color="auto"/>
              <w:right w:val="nil"/>
            </w:tcBorders>
            <w:shd w:val="clear" w:color="auto" w:fill="auto"/>
            <w:noWrap/>
            <w:vAlign w:val="bottom"/>
            <w:hideMark/>
          </w:tcPr>
          <w:p w14:paraId="58B438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8,49</w:t>
            </w:r>
          </w:p>
        </w:tc>
        <w:tc>
          <w:tcPr>
            <w:tcW w:w="2092" w:type="dxa"/>
            <w:tcBorders>
              <w:top w:val="single" w:sz="4" w:space="0" w:color="auto"/>
              <w:left w:val="nil"/>
              <w:bottom w:val="single" w:sz="4" w:space="0" w:color="auto"/>
              <w:right w:val="nil"/>
            </w:tcBorders>
            <w:shd w:val="clear" w:color="auto" w:fill="auto"/>
            <w:noWrap/>
            <w:vAlign w:val="bottom"/>
            <w:hideMark/>
          </w:tcPr>
          <w:p w14:paraId="14EC746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8,49</w:t>
            </w:r>
          </w:p>
        </w:tc>
        <w:tc>
          <w:tcPr>
            <w:tcW w:w="1867" w:type="dxa"/>
            <w:tcBorders>
              <w:top w:val="single" w:sz="4" w:space="0" w:color="auto"/>
              <w:left w:val="nil"/>
              <w:bottom w:val="single" w:sz="4" w:space="0" w:color="auto"/>
              <w:right w:val="nil"/>
            </w:tcBorders>
            <w:shd w:val="clear" w:color="auto" w:fill="auto"/>
            <w:noWrap/>
            <w:vAlign w:val="bottom"/>
            <w:hideMark/>
          </w:tcPr>
          <w:p w14:paraId="4E39F1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65,93</w:t>
            </w:r>
          </w:p>
        </w:tc>
      </w:tr>
      <w:tr w:rsidR="008430BD" w:rsidRPr="001C3EC8" w14:paraId="3D1B9616" w14:textId="77777777" w:rsidTr="00E077F3">
        <w:trPr>
          <w:trHeight w:val="315"/>
        </w:trPr>
        <w:tc>
          <w:tcPr>
            <w:tcW w:w="1960" w:type="dxa"/>
            <w:tcBorders>
              <w:top w:val="nil"/>
              <w:left w:val="nil"/>
              <w:bottom w:val="single" w:sz="4" w:space="0" w:color="auto"/>
              <w:right w:val="nil"/>
            </w:tcBorders>
            <w:shd w:val="clear" w:color="auto" w:fill="auto"/>
            <w:noWrap/>
            <w:vAlign w:val="bottom"/>
            <w:hideMark/>
          </w:tcPr>
          <w:p w14:paraId="49657EA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78" w:type="dxa"/>
            <w:tcBorders>
              <w:top w:val="nil"/>
              <w:left w:val="nil"/>
              <w:bottom w:val="single" w:sz="4" w:space="0" w:color="auto"/>
              <w:right w:val="nil"/>
            </w:tcBorders>
            <w:shd w:val="clear" w:color="auto" w:fill="auto"/>
            <w:noWrap/>
            <w:vAlign w:val="bottom"/>
            <w:hideMark/>
          </w:tcPr>
          <w:p w14:paraId="55B86E4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33,64</w:t>
            </w:r>
          </w:p>
        </w:tc>
        <w:tc>
          <w:tcPr>
            <w:tcW w:w="1883" w:type="dxa"/>
            <w:tcBorders>
              <w:top w:val="nil"/>
              <w:left w:val="nil"/>
              <w:bottom w:val="single" w:sz="4" w:space="0" w:color="auto"/>
              <w:right w:val="nil"/>
            </w:tcBorders>
            <w:shd w:val="clear" w:color="auto" w:fill="auto"/>
            <w:noWrap/>
            <w:vAlign w:val="bottom"/>
            <w:hideMark/>
          </w:tcPr>
          <w:p w14:paraId="1F6CBBE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17,05</w:t>
            </w:r>
          </w:p>
        </w:tc>
        <w:tc>
          <w:tcPr>
            <w:tcW w:w="2092" w:type="dxa"/>
            <w:tcBorders>
              <w:top w:val="nil"/>
              <w:left w:val="nil"/>
              <w:bottom w:val="single" w:sz="4" w:space="0" w:color="auto"/>
              <w:right w:val="nil"/>
            </w:tcBorders>
            <w:shd w:val="clear" w:color="auto" w:fill="auto"/>
            <w:noWrap/>
            <w:vAlign w:val="bottom"/>
            <w:hideMark/>
          </w:tcPr>
          <w:p w14:paraId="297108F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15,21</w:t>
            </w:r>
          </w:p>
        </w:tc>
        <w:tc>
          <w:tcPr>
            <w:tcW w:w="1867" w:type="dxa"/>
            <w:tcBorders>
              <w:top w:val="nil"/>
              <w:left w:val="nil"/>
              <w:bottom w:val="single" w:sz="4" w:space="0" w:color="auto"/>
              <w:right w:val="nil"/>
            </w:tcBorders>
            <w:shd w:val="clear" w:color="auto" w:fill="auto"/>
            <w:noWrap/>
            <w:vAlign w:val="bottom"/>
            <w:hideMark/>
          </w:tcPr>
          <w:p w14:paraId="707114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34,10</w:t>
            </w:r>
          </w:p>
        </w:tc>
      </w:tr>
      <w:tr w:rsidR="008430BD" w:rsidRPr="001C3EC8" w14:paraId="069A3C34" w14:textId="77777777" w:rsidTr="00E077F3">
        <w:trPr>
          <w:trHeight w:val="315"/>
        </w:trPr>
        <w:tc>
          <w:tcPr>
            <w:tcW w:w="1960" w:type="dxa"/>
            <w:tcBorders>
              <w:top w:val="nil"/>
              <w:left w:val="nil"/>
              <w:bottom w:val="single" w:sz="4" w:space="0" w:color="auto"/>
              <w:right w:val="nil"/>
            </w:tcBorders>
            <w:shd w:val="clear" w:color="auto" w:fill="auto"/>
            <w:noWrap/>
            <w:vAlign w:val="bottom"/>
            <w:hideMark/>
          </w:tcPr>
          <w:p w14:paraId="66598F9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78" w:type="dxa"/>
            <w:tcBorders>
              <w:top w:val="nil"/>
              <w:left w:val="nil"/>
              <w:bottom w:val="single" w:sz="4" w:space="0" w:color="auto"/>
              <w:right w:val="nil"/>
            </w:tcBorders>
            <w:shd w:val="clear" w:color="auto" w:fill="auto"/>
            <w:noWrap/>
            <w:vAlign w:val="bottom"/>
            <w:hideMark/>
          </w:tcPr>
          <w:p w14:paraId="14E6D6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19,61</w:t>
            </w:r>
          </w:p>
        </w:tc>
        <w:tc>
          <w:tcPr>
            <w:tcW w:w="1883" w:type="dxa"/>
            <w:tcBorders>
              <w:top w:val="nil"/>
              <w:left w:val="nil"/>
              <w:bottom w:val="single" w:sz="4" w:space="0" w:color="auto"/>
              <w:right w:val="nil"/>
            </w:tcBorders>
            <w:shd w:val="clear" w:color="auto" w:fill="auto"/>
            <w:noWrap/>
            <w:vAlign w:val="bottom"/>
            <w:hideMark/>
          </w:tcPr>
          <w:p w14:paraId="76D1C1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12,75</w:t>
            </w:r>
          </w:p>
        </w:tc>
        <w:tc>
          <w:tcPr>
            <w:tcW w:w="2092" w:type="dxa"/>
            <w:tcBorders>
              <w:top w:val="nil"/>
              <w:left w:val="nil"/>
              <w:bottom w:val="single" w:sz="4" w:space="0" w:color="auto"/>
              <w:right w:val="nil"/>
            </w:tcBorders>
            <w:shd w:val="clear" w:color="auto" w:fill="auto"/>
            <w:noWrap/>
            <w:vAlign w:val="bottom"/>
            <w:hideMark/>
          </w:tcPr>
          <w:p w14:paraId="67FE400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17,65</w:t>
            </w:r>
          </w:p>
        </w:tc>
        <w:tc>
          <w:tcPr>
            <w:tcW w:w="1867" w:type="dxa"/>
            <w:tcBorders>
              <w:top w:val="nil"/>
              <w:left w:val="nil"/>
              <w:bottom w:val="single" w:sz="4" w:space="0" w:color="auto"/>
              <w:right w:val="nil"/>
            </w:tcBorders>
            <w:shd w:val="clear" w:color="auto" w:fill="auto"/>
            <w:noWrap/>
            <w:vAlign w:val="bottom"/>
            <w:hideMark/>
          </w:tcPr>
          <w:p w14:paraId="1FEA9D1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50,00</w:t>
            </w:r>
          </w:p>
        </w:tc>
      </w:tr>
      <w:tr w:rsidR="008430BD" w:rsidRPr="001C3EC8" w14:paraId="43E51665" w14:textId="77777777" w:rsidTr="00E077F3">
        <w:trPr>
          <w:trHeight w:val="315"/>
        </w:trPr>
        <w:tc>
          <w:tcPr>
            <w:tcW w:w="1960" w:type="dxa"/>
            <w:tcBorders>
              <w:top w:val="nil"/>
              <w:left w:val="nil"/>
              <w:bottom w:val="single" w:sz="4" w:space="0" w:color="auto"/>
              <w:right w:val="nil"/>
            </w:tcBorders>
            <w:shd w:val="clear" w:color="auto" w:fill="auto"/>
            <w:noWrap/>
            <w:vAlign w:val="bottom"/>
            <w:hideMark/>
          </w:tcPr>
          <w:p w14:paraId="6604421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78" w:type="dxa"/>
            <w:tcBorders>
              <w:top w:val="nil"/>
              <w:left w:val="nil"/>
              <w:bottom w:val="single" w:sz="4" w:space="0" w:color="auto"/>
              <w:right w:val="nil"/>
            </w:tcBorders>
            <w:shd w:val="clear" w:color="auto" w:fill="auto"/>
            <w:noWrap/>
            <w:vAlign w:val="bottom"/>
            <w:hideMark/>
          </w:tcPr>
          <w:p w14:paraId="4C69980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14,65</w:t>
            </w:r>
          </w:p>
        </w:tc>
        <w:tc>
          <w:tcPr>
            <w:tcW w:w="1883" w:type="dxa"/>
            <w:tcBorders>
              <w:top w:val="nil"/>
              <w:left w:val="nil"/>
              <w:bottom w:val="single" w:sz="4" w:space="0" w:color="auto"/>
              <w:right w:val="nil"/>
            </w:tcBorders>
            <w:shd w:val="clear" w:color="auto" w:fill="auto"/>
            <w:noWrap/>
            <w:vAlign w:val="bottom"/>
            <w:hideMark/>
          </w:tcPr>
          <w:p w14:paraId="09FAD6B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13,64</w:t>
            </w:r>
          </w:p>
        </w:tc>
        <w:tc>
          <w:tcPr>
            <w:tcW w:w="2092" w:type="dxa"/>
            <w:tcBorders>
              <w:top w:val="nil"/>
              <w:left w:val="nil"/>
              <w:bottom w:val="single" w:sz="4" w:space="0" w:color="auto"/>
              <w:right w:val="nil"/>
            </w:tcBorders>
            <w:shd w:val="clear" w:color="auto" w:fill="auto"/>
            <w:noWrap/>
            <w:vAlign w:val="bottom"/>
            <w:hideMark/>
          </w:tcPr>
          <w:p w14:paraId="770BA9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11,62</w:t>
            </w:r>
          </w:p>
        </w:tc>
        <w:tc>
          <w:tcPr>
            <w:tcW w:w="1867" w:type="dxa"/>
            <w:tcBorders>
              <w:top w:val="nil"/>
              <w:left w:val="nil"/>
              <w:bottom w:val="single" w:sz="4" w:space="0" w:color="auto"/>
              <w:right w:val="nil"/>
            </w:tcBorders>
            <w:shd w:val="clear" w:color="auto" w:fill="auto"/>
            <w:noWrap/>
            <w:vAlign w:val="bottom"/>
            <w:hideMark/>
          </w:tcPr>
          <w:p w14:paraId="15644C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60,10</w:t>
            </w:r>
          </w:p>
        </w:tc>
      </w:tr>
      <w:tr w:rsidR="008430BD" w:rsidRPr="001C3EC8" w14:paraId="64C4AFD7" w14:textId="77777777" w:rsidTr="00E077F3">
        <w:trPr>
          <w:trHeight w:val="315"/>
        </w:trPr>
        <w:tc>
          <w:tcPr>
            <w:tcW w:w="1960" w:type="dxa"/>
            <w:tcBorders>
              <w:top w:val="nil"/>
              <w:left w:val="nil"/>
              <w:bottom w:val="single" w:sz="4" w:space="0" w:color="auto"/>
              <w:right w:val="nil"/>
            </w:tcBorders>
            <w:shd w:val="clear" w:color="auto" w:fill="auto"/>
            <w:noWrap/>
            <w:vAlign w:val="bottom"/>
            <w:hideMark/>
          </w:tcPr>
          <w:p w14:paraId="4698FA4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78" w:type="dxa"/>
            <w:tcBorders>
              <w:top w:val="nil"/>
              <w:left w:val="nil"/>
              <w:bottom w:val="single" w:sz="4" w:space="0" w:color="auto"/>
              <w:right w:val="nil"/>
            </w:tcBorders>
            <w:shd w:val="clear" w:color="auto" w:fill="auto"/>
            <w:noWrap/>
            <w:vAlign w:val="bottom"/>
            <w:hideMark/>
          </w:tcPr>
          <w:p w14:paraId="75C765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28,13</w:t>
            </w:r>
          </w:p>
        </w:tc>
        <w:tc>
          <w:tcPr>
            <w:tcW w:w="1883" w:type="dxa"/>
            <w:tcBorders>
              <w:top w:val="nil"/>
              <w:left w:val="nil"/>
              <w:bottom w:val="single" w:sz="4" w:space="0" w:color="auto"/>
              <w:right w:val="nil"/>
            </w:tcBorders>
            <w:shd w:val="clear" w:color="auto" w:fill="auto"/>
            <w:noWrap/>
            <w:vAlign w:val="bottom"/>
            <w:hideMark/>
          </w:tcPr>
          <w:p w14:paraId="7D8C6BF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27,68</w:t>
            </w:r>
          </w:p>
        </w:tc>
        <w:tc>
          <w:tcPr>
            <w:tcW w:w="2092" w:type="dxa"/>
            <w:tcBorders>
              <w:top w:val="nil"/>
              <w:left w:val="nil"/>
              <w:bottom w:val="single" w:sz="4" w:space="0" w:color="auto"/>
              <w:right w:val="nil"/>
            </w:tcBorders>
            <w:shd w:val="clear" w:color="auto" w:fill="auto"/>
            <w:noWrap/>
            <w:vAlign w:val="bottom"/>
            <w:hideMark/>
          </w:tcPr>
          <w:p w14:paraId="0F176F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11,61</w:t>
            </w:r>
          </w:p>
        </w:tc>
        <w:tc>
          <w:tcPr>
            <w:tcW w:w="1867" w:type="dxa"/>
            <w:tcBorders>
              <w:top w:val="nil"/>
              <w:left w:val="nil"/>
              <w:bottom w:val="single" w:sz="4" w:space="0" w:color="auto"/>
              <w:right w:val="nil"/>
            </w:tcBorders>
            <w:shd w:val="clear" w:color="auto" w:fill="auto"/>
            <w:noWrap/>
            <w:vAlign w:val="bottom"/>
            <w:hideMark/>
          </w:tcPr>
          <w:p w14:paraId="1128C9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32,59</w:t>
            </w:r>
          </w:p>
        </w:tc>
      </w:tr>
      <w:tr w:rsidR="008430BD" w:rsidRPr="001C3EC8" w14:paraId="46476593" w14:textId="77777777" w:rsidTr="00E077F3">
        <w:trPr>
          <w:trHeight w:val="315"/>
        </w:trPr>
        <w:tc>
          <w:tcPr>
            <w:tcW w:w="1960" w:type="dxa"/>
            <w:tcBorders>
              <w:top w:val="nil"/>
              <w:left w:val="nil"/>
              <w:bottom w:val="single" w:sz="4" w:space="0" w:color="auto"/>
              <w:right w:val="nil"/>
            </w:tcBorders>
            <w:shd w:val="clear" w:color="auto" w:fill="auto"/>
            <w:noWrap/>
            <w:vAlign w:val="bottom"/>
            <w:hideMark/>
          </w:tcPr>
          <w:p w14:paraId="689AC95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78" w:type="dxa"/>
            <w:tcBorders>
              <w:top w:val="nil"/>
              <w:left w:val="nil"/>
              <w:bottom w:val="single" w:sz="4" w:space="0" w:color="auto"/>
              <w:right w:val="nil"/>
            </w:tcBorders>
            <w:shd w:val="clear" w:color="auto" w:fill="auto"/>
            <w:noWrap/>
            <w:vAlign w:val="bottom"/>
            <w:hideMark/>
          </w:tcPr>
          <w:p w14:paraId="152BAA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46,75</w:t>
            </w:r>
          </w:p>
        </w:tc>
        <w:tc>
          <w:tcPr>
            <w:tcW w:w="1883" w:type="dxa"/>
            <w:tcBorders>
              <w:top w:val="nil"/>
              <w:left w:val="nil"/>
              <w:bottom w:val="single" w:sz="4" w:space="0" w:color="auto"/>
              <w:right w:val="nil"/>
            </w:tcBorders>
            <w:shd w:val="clear" w:color="auto" w:fill="auto"/>
            <w:noWrap/>
            <w:vAlign w:val="bottom"/>
            <w:hideMark/>
          </w:tcPr>
          <w:p w14:paraId="4741BFB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15,96</w:t>
            </w:r>
          </w:p>
        </w:tc>
        <w:tc>
          <w:tcPr>
            <w:tcW w:w="2092" w:type="dxa"/>
            <w:tcBorders>
              <w:top w:val="nil"/>
              <w:left w:val="nil"/>
              <w:bottom w:val="single" w:sz="4" w:space="0" w:color="auto"/>
              <w:right w:val="nil"/>
            </w:tcBorders>
            <w:shd w:val="clear" w:color="auto" w:fill="auto"/>
            <w:noWrap/>
            <w:vAlign w:val="bottom"/>
            <w:hideMark/>
          </w:tcPr>
          <w:p w14:paraId="4065C6D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6,12</w:t>
            </w:r>
          </w:p>
        </w:tc>
        <w:tc>
          <w:tcPr>
            <w:tcW w:w="1867" w:type="dxa"/>
            <w:tcBorders>
              <w:top w:val="nil"/>
              <w:left w:val="nil"/>
              <w:bottom w:val="single" w:sz="4" w:space="0" w:color="auto"/>
              <w:right w:val="nil"/>
            </w:tcBorders>
            <w:shd w:val="clear" w:color="auto" w:fill="auto"/>
            <w:noWrap/>
            <w:vAlign w:val="bottom"/>
            <w:hideMark/>
          </w:tcPr>
          <w:p w14:paraId="1B8B339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31,17</w:t>
            </w:r>
          </w:p>
        </w:tc>
      </w:tr>
      <w:tr w:rsidR="008430BD" w:rsidRPr="001C3EC8" w14:paraId="56A96085" w14:textId="77777777" w:rsidTr="00E077F3">
        <w:trPr>
          <w:trHeight w:val="315"/>
        </w:trPr>
        <w:tc>
          <w:tcPr>
            <w:tcW w:w="1960" w:type="dxa"/>
            <w:tcBorders>
              <w:top w:val="nil"/>
              <w:left w:val="nil"/>
              <w:bottom w:val="single" w:sz="4" w:space="0" w:color="auto"/>
              <w:right w:val="nil"/>
            </w:tcBorders>
            <w:shd w:val="clear" w:color="auto" w:fill="auto"/>
            <w:noWrap/>
            <w:vAlign w:val="bottom"/>
            <w:hideMark/>
          </w:tcPr>
          <w:p w14:paraId="3C108EF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78" w:type="dxa"/>
            <w:tcBorders>
              <w:top w:val="nil"/>
              <w:left w:val="nil"/>
              <w:bottom w:val="single" w:sz="4" w:space="0" w:color="auto"/>
              <w:right w:val="nil"/>
            </w:tcBorders>
            <w:shd w:val="clear" w:color="auto" w:fill="auto"/>
            <w:noWrap/>
            <w:vAlign w:val="bottom"/>
            <w:hideMark/>
          </w:tcPr>
          <w:p w14:paraId="6248ABE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31,15</w:t>
            </w:r>
          </w:p>
        </w:tc>
        <w:tc>
          <w:tcPr>
            <w:tcW w:w="1883" w:type="dxa"/>
            <w:tcBorders>
              <w:top w:val="nil"/>
              <w:left w:val="nil"/>
              <w:bottom w:val="single" w:sz="4" w:space="0" w:color="auto"/>
              <w:right w:val="nil"/>
            </w:tcBorders>
            <w:shd w:val="clear" w:color="auto" w:fill="auto"/>
            <w:noWrap/>
            <w:vAlign w:val="bottom"/>
            <w:hideMark/>
          </w:tcPr>
          <w:p w14:paraId="18F6F25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13,93</w:t>
            </w:r>
          </w:p>
        </w:tc>
        <w:tc>
          <w:tcPr>
            <w:tcW w:w="2092" w:type="dxa"/>
            <w:tcBorders>
              <w:top w:val="nil"/>
              <w:left w:val="nil"/>
              <w:bottom w:val="single" w:sz="4" w:space="0" w:color="auto"/>
              <w:right w:val="nil"/>
            </w:tcBorders>
            <w:shd w:val="clear" w:color="auto" w:fill="auto"/>
            <w:noWrap/>
            <w:vAlign w:val="bottom"/>
            <w:hideMark/>
          </w:tcPr>
          <w:p w14:paraId="54BCBD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10,66</w:t>
            </w:r>
          </w:p>
        </w:tc>
        <w:tc>
          <w:tcPr>
            <w:tcW w:w="1867" w:type="dxa"/>
            <w:tcBorders>
              <w:top w:val="nil"/>
              <w:left w:val="nil"/>
              <w:bottom w:val="single" w:sz="4" w:space="0" w:color="auto"/>
              <w:right w:val="nil"/>
            </w:tcBorders>
            <w:shd w:val="clear" w:color="auto" w:fill="auto"/>
            <w:noWrap/>
            <w:vAlign w:val="bottom"/>
            <w:hideMark/>
          </w:tcPr>
          <w:p w14:paraId="67CDA1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44,26</w:t>
            </w:r>
          </w:p>
        </w:tc>
      </w:tr>
      <w:tr w:rsidR="008430BD" w:rsidRPr="001C3EC8" w14:paraId="4C9DB66D" w14:textId="77777777" w:rsidTr="00E077F3">
        <w:trPr>
          <w:trHeight w:val="330"/>
        </w:trPr>
        <w:tc>
          <w:tcPr>
            <w:tcW w:w="1960" w:type="dxa"/>
            <w:tcBorders>
              <w:top w:val="nil"/>
              <w:left w:val="nil"/>
              <w:bottom w:val="double" w:sz="6" w:space="0" w:color="auto"/>
              <w:right w:val="nil"/>
            </w:tcBorders>
            <w:shd w:val="clear" w:color="auto" w:fill="auto"/>
            <w:noWrap/>
            <w:vAlign w:val="bottom"/>
            <w:hideMark/>
          </w:tcPr>
          <w:p w14:paraId="3AE8A98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78" w:type="dxa"/>
            <w:tcBorders>
              <w:top w:val="nil"/>
              <w:left w:val="nil"/>
              <w:bottom w:val="double" w:sz="6" w:space="0" w:color="auto"/>
              <w:right w:val="nil"/>
            </w:tcBorders>
            <w:shd w:val="clear" w:color="auto" w:fill="auto"/>
            <w:noWrap/>
            <w:vAlign w:val="bottom"/>
            <w:hideMark/>
          </w:tcPr>
          <w:p w14:paraId="0ABB95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20,99</w:t>
            </w:r>
          </w:p>
        </w:tc>
        <w:tc>
          <w:tcPr>
            <w:tcW w:w="1883" w:type="dxa"/>
            <w:tcBorders>
              <w:top w:val="nil"/>
              <w:left w:val="nil"/>
              <w:bottom w:val="double" w:sz="6" w:space="0" w:color="auto"/>
              <w:right w:val="nil"/>
            </w:tcBorders>
            <w:shd w:val="clear" w:color="auto" w:fill="auto"/>
            <w:noWrap/>
            <w:vAlign w:val="bottom"/>
            <w:hideMark/>
          </w:tcPr>
          <w:p w14:paraId="59718E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13,89</w:t>
            </w:r>
          </w:p>
        </w:tc>
        <w:tc>
          <w:tcPr>
            <w:tcW w:w="2092" w:type="dxa"/>
            <w:tcBorders>
              <w:top w:val="nil"/>
              <w:left w:val="nil"/>
              <w:bottom w:val="double" w:sz="6" w:space="0" w:color="auto"/>
              <w:right w:val="nil"/>
            </w:tcBorders>
            <w:shd w:val="clear" w:color="auto" w:fill="auto"/>
            <w:noWrap/>
            <w:vAlign w:val="bottom"/>
            <w:hideMark/>
          </w:tcPr>
          <w:p w14:paraId="746D680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8,95</w:t>
            </w:r>
          </w:p>
        </w:tc>
        <w:tc>
          <w:tcPr>
            <w:tcW w:w="1867" w:type="dxa"/>
            <w:tcBorders>
              <w:top w:val="nil"/>
              <w:left w:val="nil"/>
              <w:bottom w:val="double" w:sz="6" w:space="0" w:color="auto"/>
              <w:right w:val="nil"/>
            </w:tcBorders>
            <w:shd w:val="clear" w:color="auto" w:fill="auto"/>
            <w:noWrap/>
            <w:vAlign w:val="bottom"/>
            <w:hideMark/>
          </w:tcPr>
          <w:p w14:paraId="243CD3F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56,17</w:t>
            </w:r>
          </w:p>
        </w:tc>
      </w:tr>
      <w:tr w:rsidR="008430BD" w:rsidRPr="001C3EC8" w14:paraId="1B8C9100" w14:textId="77777777" w:rsidTr="00E077F3">
        <w:trPr>
          <w:trHeight w:val="345"/>
        </w:trPr>
        <w:tc>
          <w:tcPr>
            <w:tcW w:w="1960" w:type="dxa"/>
            <w:tcBorders>
              <w:top w:val="nil"/>
              <w:left w:val="nil"/>
              <w:bottom w:val="double" w:sz="6" w:space="0" w:color="auto"/>
              <w:right w:val="nil"/>
            </w:tcBorders>
            <w:shd w:val="clear" w:color="auto" w:fill="auto"/>
            <w:noWrap/>
            <w:vAlign w:val="bottom"/>
            <w:hideMark/>
          </w:tcPr>
          <w:p w14:paraId="596C56C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78" w:type="dxa"/>
            <w:tcBorders>
              <w:top w:val="nil"/>
              <w:left w:val="nil"/>
              <w:bottom w:val="double" w:sz="6" w:space="0" w:color="auto"/>
              <w:right w:val="nil"/>
            </w:tcBorders>
            <w:shd w:val="clear" w:color="auto" w:fill="auto"/>
            <w:noWrap/>
            <w:vAlign w:val="bottom"/>
            <w:hideMark/>
          </w:tcPr>
          <w:p w14:paraId="2C4AE33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26,33</w:t>
            </w:r>
          </w:p>
        </w:tc>
        <w:tc>
          <w:tcPr>
            <w:tcW w:w="1883" w:type="dxa"/>
            <w:tcBorders>
              <w:top w:val="nil"/>
              <w:left w:val="nil"/>
              <w:bottom w:val="double" w:sz="6" w:space="0" w:color="auto"/>
              <w:right w:val="nil"/>
            </w:tcBorders>
            <w:shd w:val="clear" w:color="auto" w:fill="auto"/>
            <w:noWrap/>
            <w:vAlign w:val="bottom"/>
            <w:hideMark/>
          </w:tcPr>
          <w:p w14:paraId="4FFABE2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13,53</w:t>
            </w:r>
          </w:p>
        </w:tc>
        <w:tc>
          <w:tcPr>
            <w:tcW w:w="2092" w:type="dxa"/>
            <w:tcBorders>
              <w:top w:val="nil"/>
              <w:left w:val="nil"/>
              <w:bottom w:val="double" w:sz="6" w:space="0" w:color="auto"/>
              <w:right w:val="nil"/>
            </w:tcBorders>
            <w:shd w:val="clear" w:color="auto" w:fill="auto"/>
            <w:noWrap/>
            <w:vAlign w:val="bottom"/>
            <w:hideMark/>
          </w:tcPr>
          <w:p w14:paraId="615D682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9,60</w:t>
            </w:r>
          </w:p>
        </w:tc>
        <w:tc>
          <w:tcPr>
            <w:tcW w:w="1867" w:type="dxa"/>
            <w:tcBorders>
              <w:top w:val="nil"/>
              <w:left w:val="nil"/>
              <w:bottom w:val="double" w:sz="6" w:space="0" w:color="auto"/>
              <w:right w:val="nil"/>
            </w:tcBorders>
            <w:shd w:val="clear" w:color="auto" w:fill="auto"/>
            <w:noWrap/>
            <w:vAlign w:val="bottom"/>
            <w:hideMark/>
          </w:tcPr>
          <w:p w14:paraId="5770C04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50,54</w:t>
            </w:r>
          </w:p>
        </w:tc>
      </w:tr>
    </w:tbl>
    <w:p w14:paraId="7AA36B7D" w14:textId="77777777" w:rsidR="008430BD" w:rsidRPr="001C3EC8" w:rsidRDefault="008430BD" w:rsidP="008430BD">
      <w:pPr>
        <w:pStyle w:val="OdstavecASR"/>
        <w:rPr>
          <w:color w:val="000000" w:themeColor="text1"/>
        </w:rPr>
      </w:pPr>
    </w:p>
    <w:p w14:paraId="17EC05D6" w14:textId="77777777" w:rsidR="00B07E76" w:rsidRDefault="008430BD" w:rsidP="008430BD">
      <w:pPr>
        <w:pStyle w:val="OdstavecASR"/>
        <w:rPr>
          <w:color w:val="000000" w:themeColor="text1"/>
        </w:rPr>
      </w:pPr>
      <w:r w:rsidRPr="001C3EC8">
        <w:rPr>
          <w:color w:val="000000" w:themeColor="text1"/>
        </w:rPr>
        <w:t>Částky přiznané krajskými soudy se postupně stále více přesouvaly nad hranici 100 000 Kč – klesal podíl přiznaných nároků ve všech intervalech, pouze podíl v částkách nad 100 tis. Kč rychle stoupal (z 35 % v roce 2016 na 50 % v roce 2020). Je to vidět na srovnání za poslední čtyři roky v následující tabulce.</w:t>
      </w:r>
    </w:p>
    <w:p w14:paraId="6DCA2CAA" w14:textId="15667D92" w:rsidR="008430BD" w:rsidRPr="001C3EC8" w:rsidRDefault="008430BD" w:rsidP="008430BD">
      <w:pPr>
        <w:pStyle w:val="Titulek"/>
        <w:keepNext/>
        <w:rPr>
          <w:color w:val="000000" w:themeColor="text1"/>
          <w:sz w:val="24"/>
          <w:szCs w:val="24"/>
        </w:rPr>
      </w:pPr>
      <w:bookmarkStart w:id="459" w:name="_Toc43931220"/>
      <w:bookmarkStart w:id="460" w:name="_Toc75952353"/>
      <w:r w:rsidRPr="001C3EC8">
        <w:rPr>
          <w:color w:val="000000" w:themeColor="text1"/>
          <w:sz w:val="24"/>
          <w:szCs w:val="24"/>
        </w:rPr>
        <w:t xml:space="preserve">Tabulka </w:t>
      </w:r>
      <w:r w:rsidRPr="001C3EC8">
        <w:rPr>
          <w:color w:val="000000" w:themeColor="text1"/>
        </w:rPr>
        <w:fldChar w:fldCharType="begin"/>
      </w:r>
      <w:r w:rsidRPr="001C3EC8">
        <w:rPr>
          <w:color w:val="000000" w:themeColor="text1"/>
          <w:sz w:val="24"/>
          <w:szCs w:val="24"/>
        </w:rPr>
        <w:instrText xml:space="preserve"> SEQ Tabulka \* ARABIC </w:instrText>
      </w:r>
      <w:r w:rsidRPr="001C3EC8">
        <w:rPr>
          <w:color w:val="000000" w:themeColor="text1"/>
        </w:rPr>
        <w:fldChar w:fldCharType="separate"/>
      </w:r>
      <w:r w:rsidR="009C575D">
        <w:rPr>
          <w:noProof/>
          <w:color w:val="000000" w:themeColor="text1"/>
          <w:sz w:val="24"/>
          <w:szCs w:val="24"/>
        </w:rPr>
        <w:t>50</w:t>
      </w:r>
      <w:r w:rsidRPr="001C3EC8">
        <w:rPr>
          <w:color w:val="000000" w:themeColor="text1"/>
        </w:rPr>
        <w:fldChar w:fldCharType="end"/>
      </w:r>
      <w:r w:rsidRPr="001C3EC8">
        <w:rPr>
          <w:noProof/>
          <w:color w:val="000000" w:themeColor="text1"/>
          <w:sz w:val="24"/>
          <w:szCs w:val="24"/>
        </w:rPr>
        <w:t>: KS – výše přiznaných nároků v letech 2016–2019</w:t>
      </w:r>
      <w:bookmarkEnd w:id="459"/>
      <w:bookmarkEnd w:id="460"/>
    </w:p>
    <w:tbl>
      <w:tblPr>
        <w:tblW w:w="9000" w:type="dxa"/>
        <w:tblCellMar>
          <w:left w:w="70" w:type="dxa"/>
          <w:right w:w="70" w:type="dxa"/>
        </w:tblCellMar>
        <w:tblLook w:val="04A0" w:firstRow="1" w:lastRow="0" w:firstColumn="1" w:lastColumn="0" w:noHBand="0" w:noVBand="1"/>
      </w:tblPr>
      <w:tblGrid>
        <w:gridCol w:w="1800"/>
        <w:gridCol w:w="1800"/>
        <w:gridCol w:w="1800"/>
        <w:gridCol w:w="1800"/>
        <w:gridCol w:w="1800"/>
      </w:tblGrid>
      <w:tr w:rsidR="008430BD" w:rsidRPr="001C3EC8" w14:paraId="65D78097" w14:textId="77777777" w:rsidTr="00E077F3">
        <w:trPr>
          <w:trHeight w:val="345"/>
        </w:trPr>
        <w:tc>
          <w:tcPr>
            <w:tcW w:w="1800" w:type="dxa"/>
            <w:tcBorders>
              <w:top w:val="double" w:sz="6" w:space="0" w:color="auto"/>
              <w:left w:val="nil"/>
              <w:bottom w:val="double" w:sz="6" w:space="0" w:color="auto"/>
              <w:right w:val="nil"/>
            </w:tcBorders>
            <w:shd w:val="clear" w:color="auto" w:fill="auto"/>
            <w:noWrap/>
            <w:vAlign w:val="center"/>
            <w:hideMark/>
          </w:tcPr>
          <w:p w14:paraId="00205BA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Rok</w:t>
            </w:r>
          </w:p>
        </w:tc>
        <w:tc>
          <w:tcPr>
            <w:tcW w:w="1800" w:type="dxa"/>
            <w:tcBorders>
              <w:top w:val="double" w:sz="6" w:space="0" w:color="auto"/>
              <w:left w:val="nil"/>
              <w:bottom w:val="double" w:sz="6" w:space="0" w:color="auto"/>
              <w:right w:val="nil"/>
            </w:tcBorders>
            <w:shd w:val="clear" w:color="auto" w:fill="auto"/>
            <w:noWrap/>
            <w:vAlign w:val="center"/>
            <w:hideMark/>
          </w:tcPr>
          <w:p w14:paraId="74693D6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1–20 000</w:t>
            </w:r>
          </w:p>
        </w:tc>
        <w:tc>
          <w:tcPr>
            <w:tcW w:w="1800" w:type="dxa"/>
            <w:tcBorders>
              <w:top w:val="double" w:sz="6" w:space="0" w:color="auto"/>
              <w:left w:val="nil"/>
              <w:bottom w:val="double" w:sz="6" w:space="0" w:color="auto"/>
              <w:right w:val="nil"/>
            </w:tcBorders>
            <w:shd w:val="clear" w:color="auto" w:fill="auto"/>
            <w:noWrap/>
            <w:vAlign w:val="center"/>
            <w:hideMark/>
          </w:tcPr>
          <w:p w14:paraId="0466996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20 001–50 000</w:t>
            </w:r>
          </w:p>
        </w:tc>
        <w:tc>
          <w:tcPr>
            <w:tcW w:w="1800" w:type="dxa"/>
            <w:tcBorders>
              <w:top w:val="double" w:sz="6" w:space="0" w:color="auto"/>
              <w:left w:val="nil"/>
              <w:bottom w:val="double" w:sz="6" w:space="0" w:color="auto"/>
              <w:right w:val="nil"/>
            </w:tcBorders>
            <w:shd w:val="clear" w:color="auto" w:fill="auto"/>
            <w:noWrap/>
            <w:vAlign w:val="center"/>
            <w:hideMark/>
          </w:tcPr>
          <w:p w14:paraId="6F17D09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50 001–100 000</w:t>
            </w:r>
          </w:p>
        </w:tc>
        <w:tc>
          <w:tcPr>
            <w:tcW w:w="1800" w:type="dxa"/>
            <w:tcBorders>
              <w:top w:val="double" w:sz="6" w:space="0" w:color="auto"/>
              <w:left w:val="nil"/>
              <w:bottom w:val="double" w:sz="6" w:space="0" w:color="auto"/>
              <w:right w:val="nil"/>
            </w:tcBorders>
            <w:shd w:val="clear" w:color="auto" w:fill="auto"/>
            <w:noWrap/>
            <w:vAlign w:val="center"/>
            <w:hideMark/>
          </w:tcPr>
          <w:p w14:paraId="7FAB332F" w14:textId="67533CD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100 001 </w:t>
            </w:r>
            <w:r w:rsidR="0014150C" w:rsidRPr="001C3EC8">
              <w:rPr>
                <w:rFonts w:eastAsia="Times New Roman"/>
                <w:b/>
                <w:bCs/>
                <w:color w:val="000000" w:themeColor="text1"/>
                <w:szCs w:val="24"/>
                <w:lang w:eastAsia="cs-CZ"/>
              </w:rPr>
              <w:t>a</w:t>
            </w:r>
            <w:r w:rsidR="0014150C">
              <w:rPr>
                <w:rFonts w:eastAsia="Times New Roman"/>
                <w:b/>
                <w:bCs/>
                <w:color w:val="000000" w:themeColor="text1"/>
                <w:szCs w:val="24"/>
                <w:lang w:eastAsia="cs-CZ"/>
              </w:rPr>
              <w:t> </w:t>
            </w:r>
            <w:r w:rsidRPr="001C3EC8">
              <w:rPr>
                <w:rFonts w:eastAsia="Times New Roman"/>
                <w:b/>
                <w:bCs/>
                <w:color w:val="000000" w:themeColor="text1"/>
                <w:szCs w:val="24"/>
                <w:lang w:eastAsia="cs-CZ"/>
              </w:rPr>
              <w:t>více</w:t>
            </w:r>
          </w:p>
        </w:tc>
      </w:tr>
      <w:tr w:rsidR="008430BD" w:rsidRPr="001C3EC8" w14:paraId="28E21FB6" w14:textId="77777777" w:rsidTr="00E077F3">
        <w:trPr>
          <w:trHeight w:val="330"/>
        </w:trPr>
        <w:tc>
          <w:tcPr>
            <w:tcW w:w="1800" w:type="dxa"/>
            <w:tcBorders>
              <w:top w:val="nil"/>
              <w:left w:val="nil"/>
              <w:bottom w:val="single" w:sz="4" w:space="0" w:color="auto"/>
              <w:right w:val="nil"/>
            </w:tcBorders>
            <w:shd w:val="clear" w:color="auto" w:fill="auto"/>
            <w:noWrap/>
            <w:vAlign w:val="center"/>
            <w:hideMark/>
          </w:tcPr>
          <w:p w14:paraId="176D1E1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2016</w:t>
            </w:r>
          </w:p>
        </w:tc>
        <w:tc>
          <w:tcPr>
            <w:tcW w:w="1800" w:type="dxa"/>
            <w:tcBorders>
              <w:top w:val="nil"/>
              <w:left w:val="nil"/>
              <w:bottom w:val="single" w:sz="4" w:space="0" w:color="auto"/>
              <w:right w:val="nil"/>
            </w:tcBorders>
            <w:shd w:val="clear" w:color="auto" w:fill="auto"/>
            <w:noWrap/>
            <w:vAlign w:val="bottom"/>
            <w:hideMark/>
          </w:tcPr>
          <w:p w14:paraId="502713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26,5</w:t>
            </w:r>
          </w:p>
        </w:tc>
        <w:tc>
          <w:tcPr>
            <w:tcW w:w="1800" w:type="dxa"/>
            <w:tcBorders>
              <w:top w:val="nil"/>
              <w:left w:val="nil"/>
              <w:bottom w:val="single" w:sz="4" w:space="0" w:color="auto"/>
              <w:right w:val="nil"/>
            </w:tcBorders>
            <w:shd w:val="clear" w:color="auto" w:fill="auto"/>
            <w:noWrap/>
            <w:vAlign w:val="bottom"/>
            <w:hideMark/>
          </w:tcPr>
          <w:p w14:paraId="061C090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21,94</w:t>
            </w:r>
          </w:p>
        </w:tc>
        <w:tc>
          <w:tcPr>
            <w:tcW w:w="1800" w:type="dxa"/>
            <w:tcBorders>
              <w:top w:val="nil"/>
              <w:left w:val="nil"/>
              <w:bottom w:val="single" w:sz="4" w:space="0" w:color="auto"/>
              <w:right w:val="nil"/>
            </w:tcBorders>
            <w:shd w:val="clear" w:color="auto" w:fill="auto"/>
            <w:noWrap/>
            <w:vAlign w:val="bottom"/>
            <w:hideMark/>
          </w:tcPr>
          <w:p w14:paraId="7C9310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17,59</w:t>
            </w:r>
          </w:p>
        </w:tc>
        <w:tc>
          <w:tcPr>
            <w:tcW w:w="1800" w:type="dxa"/>
            <w:tcBorders>
              <w:top w:val="nil"/>
              <w:left w:val="nil"/>
              <w:bottom w:val="single" w:sz="4" w:space="0" w:color="auto"/>
              <w:right w:val="nil"/>
            </w:tcBorders>
            <w:shd w:val="clear" w:color="auto" w:fill="auto"/>
            <w:noWrap/>
            <w:vAlign w:val="bottom"/>
            <w:hideMark/>
          </w:tcPr>
          <w:p w14:paraId="30F7AE2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34,42</w:t>
            </w:r>
          </w:p>
        </w:tc>
      </w:tr>
      <w:tr w:rsidR="008430BD" w:rsidRPr="001C3EC8" w14:paraId="1887D2FC" w14:textId="77777777" w:rsidTr="00E077F3">
        <w:trPr>
          <w:trHeight w:val="315"/>
        </w:trPr>
        <w:tc>
          <w:tcPr>
            <w:tcW w:w="1800" w:type="dxa"/>
            <w:tcBorders>
              <w:top w:val="nil"/>
              <w:left w:val="nil"/>
              <w:bottom w:val="single" w:sz="4" w:space="0" w:color="auto"/>
              <w:right w:val="nil"/>
            </w:tcBorders>
            <w:shd w:val="clear" w:color="auto" w:fill="auto"/>
            <w:noWrap/>
            <w:vAlign w:val="center"/>
            <w:hideMark/>
          </w:tcPr>
          <w:p w14:paraId="05E74C6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2017</w:t>
            </w:r>
          </w:p>
        </w:tc>
        <w:tc>
          <w:tcPr>
            <w:tcW w:w="1800" w:type="dxa"/>
            <w:tcBorders>
              <w:top w:val="nil"/>
              <w:left w:val="nil"/>
              <w:bottom w:val="single" w:sz="4" w:space="0" w:color="auto"/>
              <w:right w:val="nil"/>
            </w:tcBorders>
            <w:shd w:val="clear" w:color="auto" w:fill="auto"/>
            <w:noWrap/>
            <w:vAlign w:val="center"/>
            <w:hideMark/>
          </w:tcPr>
          <w:p w14:paraId="156AE9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25,10</w:t>
            </w:r>
          </w:p>
        </w:tc>
        <w:tc>
          <w:tcPr>
            <w:tcW w:w="1800" w:type="dxa"/>
            <w:tcBorders>
              <w:top w:val="nil"/>
              <w:left w:val="nil"/>
              <w:bottom w:val="single" w:sz="4" w:space="0" w:color="auto"/>
              <w:right w:val="nil"/>
            </w:tcBorders>
            <w:shd w:val="clear" w:color="auto" w:fill="auto"/>
            <w:noWrap/>
            <w:vAlign w:val="center"/>
            <w:hideMark/>
          </w:tcPr>
          <w:p w14:paraId="41909F2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18,34</w:t>
            </w:r>
          </w:p>
        </w:tc>
        <w:tc>
          <w:tcPr>
            <w:tcW w:w="1800" w:type="dxa"/>
            <w:tcBorders>
              <w:top w:val="nil"/>
              <w:left w:val="nil"/>
              <w:bottom w:val="single" w:sz="4" w:space="0" w:color="auto"/>
              <w:right w:val="nil"/>
            </w:tcBorders>
            <w:shd w:val="clear" w:color="auto" w:fill="auto"/>
            <w:noWrap/>
            <w:vAlign w:val="center"/>
            <w:hideMark/>
          </w:tcPr>
          <w:p w14:paraId="6436455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13,11</w:t>
            </w:r>
          </w:p>
        </w:tc>
        <w:tc>
          <w:tcPr>
            <w:tcW w:w="1800" w:type="dxa"/>
            <w:tcBorders>
              <w:top w:val="nil"/>
              <w:left w:val="nil"/>
              <w:bottom w:val="single" w:sz="4" w:space="0" w:color="auto"/>
              <w:right w:val="nil"/>
            </w:tcBorders>
            <w:shd w:val="clear" w:color="auto" w:fill="auto"/>
            <w:noWrap/>
            <w:vAlign w:val="center"/>
            <w:hideMark/>
          </w:tcPr>
          <w:p w14:paraId="110F71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43,46</w:t>
            </w:r>
          </w:p>
        </w:tc>
      </w:tr>
      <w:tr w:rsidR="008430BD" w:rsidRPr="001C3EC8" w14:paraId="4BEB2343" w14:textId="77777777" w:rsidTr="00E077F3">
        <w:trPr>
          <w:trHeight w:val="315"/>
        </w:trPr>
        <w:tc>
          <w:tcPr>
            <w:tcW w:w="1800" w:type="dxa"/>
            <w:tcBorders>
              <w:top w:val="nil"/>
              <w:left w:val="nil"/>
              <w:bottom w:val="single" w:sz="4" w:space="0" w:color="auto"/>
              <w:right w:val="nil"/>
            </w:tcBorders>
            <w:shd w:val="clear" w:color="auto" w:fill="auto"/>
            <w:noWrap/>
            <w:vAlign w:val="center"/>
            <w:hideMark/>
          </w:tcPr>
          <w:p w14:paraId="2DB5D3A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2018</w:t>
            </w:r>
          </w:p>
        </w:tc>
        <w:tc>
          <w:tcPr>
            <w:tcW w:w="1800" w:type="dxa"/>
            <w:tcBorders>
              <w:top w:val="nil"/>
              <w:left w:val="nil"/>
              <w:bottom w:val="single" w:sz="4" w:space="0" w:color="auto"/>
              <w:right w:val="nil"/>
            </w:tcBorders>
            <w:shd w:val="clear" w:color="auto" w:fill="auto"/>
            <w:noWrap/>
            <w:vAlign w:val="center"/>
            <w:hideMark/>
          </w:tcPr>
          <w:p w14:paraId="338694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23,69</w:t>
            </w:r>
          </w:p>
        </w:tc>
        <w:tc>
          <w:tcPr>
            <w:tcW w:w="1800" w:type="dxa"/>
            <w:tcBorders>
              <w:top w:val="nil"/>
              <w:left w:val="nil"/>
              <w:bottom w:val="single" w:sz="4" w:space="0" w:color="auto"/>
              <w:right w:val="nil"/>
            </w:tcBorders>
            <w:shd w:val="clear" w:color="auto" w:fill="auto"/>
            <w:noWrap/>
            <w:vAlign w:val="center"/>
            <w:hideMark/>
          </w:tcPr>
          <w:p w14:paraId="4D01875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16,18</w:t>
            </w:r>
          </w:p>
        </w:tc>
        <w:tc>
          <w:tcPr>
            <w:tcW w:w="1800" w:type="dxa"/>
            <w:tcBorders>
              <w:top w:val="nil"/>
              <w:left w:val="nil"/>
              <w:bottom w:val="single" w:sz="4" w:space="0" w:color="auto"/>
              <w:right w:val="nil"/>
            </w:tcBorders>
            <w:shd w:val="clear" w:color="auto" w:fill="auto"/>
            <w:noWrap/>
            <w:vAlign w:val="center"/>
            <w:hideMark/>
          </w:tcPr>
          <w:p w14:paraId="4EB2B3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11,48</w:t>
            </w:r>
          </w:p>
        </w:tc>
        <w:tc>
          <w:tcPr>
            <w:tcW w:w="1800" w:type="dxa"/>
            <w:tcBorders>
              <w:top w:val="nil"/>
              <w:left w:val="nil"/>
              <w:bottom w:val="single" w:sz="4" w:space="0" w:color="auto"/>
              <w:right w:val="nil"/>
            </w:tcBorders>
            <w:shd w:val="clear" w:color="auto" w:fill="auto"/>
            <w:noWrap/>
            <w:vAlign w:val="center"/>
            <w:hideMark/>
          </w:tcPr>
          <w:p w14:paraId="3891C97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48,64</w:t>
            </w:r>
          </w:p>
        </w:tc>
      </w:tr>
      <w:tr w:rsidR="008430BD" w:rsidRPr="001C3EC8" w14:paraId="29B12338" w14:textId="77777777" w:rsidTr="00E077F3">
        <w:trPr>
          <w:trHeight w:val="315"/>
        </w:trPr>
        <w:tc>
          <w:tcPr>
            <w:tcW w:w="1800" w:type="dxa"/>
            <w:tcBorders>
              <w:top w:val="nil"/>
              <w:left w:val="nil"/>
              <w:bottom w:val="nil"/>
              <w:right w:val="nil"/>
            </w:tcBorders>
            <w:shd w:val="clear" w:color="auto" w:fill="auto"/>
            <w:noWrap/>
            <w:vAlign w:val="center"/>
            <w:hideMark/>
          </w:tcPr>
          <w:p w14:paraId="16B4A84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2019</w:t>
            </w:r>
          </w:p>
        </w:tc>
        <w:tc>
          <w:tcPr>
            <w:tcW w:w="1800" w:type="dxa"/>
            <w:tcBorders>
              <w:top w:val="nil"/>
              <w:left w:val="nil"/>
              <w:bottom w:val="nil"/>
              <w:right w:val="nil"/>
            </w:tcBorders>
            <w:shd w:val="clear" w:color="auto" w:fill="auto"/>
            <w:noWrap/>
            <w:vAlign w:val="center"/>
            <w:hideMark/>
          </w:tcPr>
          <w:p w14:paraId="2BA90EC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25,87</w:t>
            </w:r>
          </w:p>
        </w:tc>
        <w:tc>
          <w:tcPr>
            <w:tcW w:w="1800" w:type="dxa"/>
            <w:tcBorders>
              <w:top w:val="nil"/>
              <w:left w:val="nil"/>
              <w:bottom w:val="nil"/>
              <w:right w:val="nil"/>
            </w:tcBorders>
            <w:shd w:val="clear" w:color="auto" w:fill="auto"/>
            <w:noWrap/>
            <w:vAlign w:val="center"/>
            <w:hideMark/>
          </w:tcPr>
          <w:p w14:paraId="0FA7BCD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15,86</w:t>
            </w:r>
          </w:p>
        </w:tc>
        <w:tc>
          <w:tcPr>
            <w:tcW w:w="1800" w:type="dxa"/>
            <w:tcBorders>
              <w:top w:val="nil"/>
              <w:left w:val="nil"/>
              <w:bottom w:val="nil"/>
              <w:right w:val="nil"/>
            </w:tcBorders>
            <w:shd w:val="clear" w:color="auto" w:fill="auto"/>
            <w:noWrap/>
            <w:vAlign w:val="center"/>
            <w:hideMark/>
          </w:tcPr>
          <w:p w14:paraId="310506F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9,79</w:t>
            </w:r>
          </w:p>
        </w:tc>
        <w:tc>
          <w:tcPr>
            <w:tcW w:w="1800" w:type="dxa"/>
            <w:tcBorders>
              <w:top w:val="nil"/>
              <w:left w:val="nil"/>
              <w:bottom w:val="nil"/>
              <w:right w:val="nil"/>
            </w:tcBorders>
            <w:shd w:val="clear" w:color="auto" w:fill="auto"/>
            <w:noWrap/>
            <w:vAlign w:val="center"/>
            <w:hideMark/>
          </w:tcPr>
          <w:p w14:paraId="28E9BA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48,48</w:t>
            </w:r>
          </w:p>
        </w:tc>
      </w:tr>
      <w:tr w:rsidR="008430BD" w:rsidRPr="001C3EC8" w14:paraId="1AD92186" w14:textId="77777777" w:rsidTr="00E077F3">
        <w:trPr>
          <w:trHeight w:val="330"/>
        </w:trPr>
        <w:tc>
          <w:tcPr>
            <w:tcW w:w="1800" w:type="dxa"/>
            <w:tcBorders>
              <w:top w:val="single" w:sz="4" w:space="0" w:color="auto"/>
              <w:left w:val="nil"/>
              <w:bottom w:val="double" w:sz="6" w:space="0" w:color="auto"/>
              <w:right w:val="nil"/>
            </w:tcBorders>
            <w:shd w:val="clear" w:color="auto" w:fill="auto"/>
            <w:noWrap/>
            <w:vAlign w:val="center"/>
            <w:hideMark/>
          </w:tcPr>
          <w:p w14:paraId="0BA0EAC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2020</w:t>
            </w:r>
          </w:p>
        </w:tc>
        <w:tc>
          <w:tcPr>
            <w:tcW w:w="1800" w:type="dxa"/>
            <w:tcBorders>
              <w:top w:val="single" w:sz="4" w:space="0" w:color="auto"/>
              <w:left w:val="nil"/>
              <w:bottom w:val="double" w:sz="6" w:space="0" w:color="auto"/>
              <w:right w:val="nil"/>
            </w:tcBorders>
            <w:shd w:val="clear" w:color="auto" w:fill="auto"/>
            <w:noWrap/>
            <w:vAlign w:val="center"/>
            <w:hideMark/>
          </w:tcPr>
          <w:p w14:paraId="375B4FB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26,33</w:t>
            </w:r>
          </w:p>
        </w:tc>
        <w:tc>
          <w:tcPr>
            <w:tcW w:w="1800" w:type="dxa"/>
            <w:tcBorders>
              <w:top w:val="single" w:sz="4" w:space="0" w:color="auto"/>
              <w:left w:val="nil"/>
              <w:bottom w:val="double" w:sz="6" w:space="0" w:color="auto"/>
              <w:right w:val="nil"/>
            </w:tcBorders>
            <w:shd w:val="clear" w:color="auto" w:fill="auto"/>
            <w:noWrap/>
            <w:vAlign w:val="center"/>
            <w:hideMark/>
          </w:tcPr>
          <w:p w14:paraId="450E42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13,53</w:t>
            </w:r>
          </w:p>
        </w:tc>
        <w:tc>
          <w:tcPr>
            <w:tcW w:w="1800" w:type="dxa"/>
            <w:tcBorders>
              <w:top w:val="single" w:sz="4" w:space="0" w:color="auto"/>
              <w:left w:val="nil"/>
              <w:bottom w:val="double" w:sz="6" w:space="0" w:color="auto"/>
              <w:right w:val="nil"/>
            </w:tcBorders>
            <w:shd w:val="clear" w:color="auto" w:fill="auto"/>
            <w:noWrap/>
            <w:vAlign w:val="center"/>
            <w:hideMark/>
          </w:tcPr>
          <w:p w14:paraId="4F2C31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9,60</w:t>
            </w:r>
          </w:p>
        </w:tc>
        <w:tc>
          <w:tcPr>
            <w:tcW w:w="1800" w:type="dxa"/>
            <w:tcBorders>
              <w:top w:val="single" w:sz="4" w:space="0" w:color="auto"/>
              <w:left w:val="nil"/>
              <w:bottom w:val="double" w:sz="6" w:space="0" w:color="auto"/>
              <w:right w:val="nil"/>
            </w:tcBorders>
            <w:shd w:val="clear" w:color="auto" w:fill="auto"/>
            <w:noWrap/>
            <w:vAlign w:val="center"/>
            <w:hideMark/>
          </w:tcPr>
          <w:p w14:paraId="6D6D72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50,54</w:t>
            </w:r>
          </w:p>
        </w:tc>
      </w:tr>
    </w:tbl>
    <w:p w14:paraId="16E7D472" w14:textId="77777777" w:rsidR="008430BD" w:rsidRPr="001C3EC8" w:rsidRDefault="008430BD" w:rsidP="008430BD">
      <w:pPr>
        <w:spacing w:line="240" w:lineRule="auto"/>
        <w:jc w:val="left"/>
        <w:rPr>
          <w:color w:val="000000" w:themeColor="text1"/>
          <w:highlight w:val="yellow"/>
        </w:rPr>
      </w:pPr>
    </w:p>
    <w:p w14:paraId="56CDC6D2" w14:textId="7BAEDCF4" w:rsidR="008430BD" w:rsidRPr="001C3EC8" w:rsidRDefault="008430BD" w:rsidP="008430BD">
      <w:pPr>
        <w:pStyle w:val="OdstavecASR"/>
        <w:rPr>
          <w:color w:val="000000" w:themeColor="text1"/>
        </w:rPr>
      </w:pPr>
      <w:r w:rsidRPr="001C3EC8">
        <w:rPr>
          <w:color w:val="000000" w:themeColor="text1"/>
        </w:rPr>
        <w:t xml:space="preserve">K největšímu přesunu nad hranici 100 tis. </w:t>
      </w:r>
      <w:r w:rsidR="00017F47" w:rsidRPr="001C3EC8">
        <w:rPr>
          <w:color w:val="000000" w:themeColor="text1"/>
        </w:rPr>
        <w:t xml:space="preserve">Kč </w:t>
      </w:r>
      <w:r w:rsidRPr="001C3EC8">
        <w:rPr>
          <w:color w:val="000000" w:themeColor="text1"/>
        </w:rPr>
        <w:t xml:space="preserve">došlo logicky </w:t>
      </w:r>
      <w:r w:rsidR="0014150C" w:rsidRPr="001C3EC8">
        <w:rPr>
          <w:color w:val="000000" w:themeColor="text1"/>
        </w:rPr>
        <w:t>u</w:t>
      </w:r>
      <w:r w:rsidR="0014150C">
        <w:rPr>
          <w:color w:val="000000" w:themeColor="text1"/>
        </w:rPr>
        <w:t> </w:t>
      </w:r>
      <w:r w:rsidRPr="001C3EC8">
        <w:rPr>
          <w:color w:val="000000" w:themeColor="text1"/>
        </w:rPr>
        <w:t xml:space="preserve">přiznaných částek z intervalu 50 001 Kč </w:t>
      </w:r>
      <w:r w:rsidRPr="001C3EC8">
        <w:rPr>
          <w:rFonts w:eastAsia="Times New Roman"/>
          <w:b/>
          <w:bCs/>
          <w:color w:val="000000" w:themeColor="text1"/>
          <w:szCs w:val="24"/>
          <w:lang w:eastAsia="cs-CZ"/>
        </w:rPr>
        <w:t xml:space="preserve">– </w:t>
      </w:r>
      <w:r w:rsidRPr="001C3EC8">
        <w:rPr>
          <w:color w:val="000000" w:themeColor="text1"/>
        </w:rPr>
        <w:t xml:space="preserve">100 000 Kč (pokles podílu </w:t>
      </w:r>
      <w:r w:rsidR="0014150C" w:rsidRPr="001C3EC8">
        <w:rPr>
          <w:color w:val="000000" w:themeColor="text1"/>
        </w:rPr>
        <w:t>o</w:t>
      </w:r>
      <w:r w:rsidR="0014150C">
        <w:rPr>
          <w:color w:val="000000" w:themeColor="text1"/>
        </w:rPr>
        <w:t> </w:t>
      </w:r>
      <w:proofErr w:type="gramStart"/>
      <w:r w:rsidRPr="001C3EC8">
        <w:rPr>
          <w:color w:val="000000" w:themeColor="text1"/>
        </w:rPr>
        <w:t>6,</w:t>
      </w:r>
      <w:r w:rsidR="0014150C" w:rsidRPr="001C3EC8">
        <w:rPr>
          <w:color w:val="000000" w:themeColor="text1"/>
        </w:rPr>
        <w:t>1</w:t>
      </w:r>
      <w:r w:rsidR="0014150C">
        <w:rPr>
          <w:color w:val="000000" w:themeColor="text1"/>
        </w:rPr>
        <w:t> </w:t>
      </w:r>
      <w:r w:rsidRPr="001C3EC8">
        <w:rPr>
          <w:color w:val="000000" w:themeColor="text1"/>
        </w:rPr>
        <w:t>procentního</w:t>
      </w:r>
      <w:proofErr w:type="gramEnd"/>
      <w:r w:rsidRPr="001C3EC8">
        <w:rPr>
          <w:color w:val="000000" w:themeColor="text1"/>
        </w:rPr>
        <w:t xml:space="preserve"> bodu od roku 2016 do roku 2018), ale téměř stejný úbytek lze pozorovat i </w:t>
      </w:r>
      <w:r w:rsidR="0014150C" w:rsidRPr="001C3EC8">
        <w:rPr>
          <w:color w:val="000000" w:themeColor="text1"/>
        </w:rPr>
        <w:t>u</w:t>
      </w:r>
      <w:r w:rsidR="0014150C">
        <w:rPr>
          <w:color w:val="000000" w:themeColor="text1"/>
        </w:rPr>
        <w:t> </w:t>
      </w:r>
      <w:r w:rsidRPr="001C3EC8">
        <w:rPr>
          <w:color w:val="000000" w:themeColor="text1"/>
        </w:rPr>
        <w:t xml:space="preserve">intervalu 20 001 Kč </w:t>
      </w:r>
      <w:r w:rsidRPr="001C3EC8">
        <w:rPr>
          <w:rFonts w:eastAsia="Times New Roman"/>
          <w:b/>
          <w:bCs/>
          <w:color w:val="000000" w:themeColor="text1"/>
          <w:szCs w:val="24"/>
          <w:lang w:eastAsia="cs-CZ"/>
        </w:rPr>
        <w:t xml:space="preserve">– </w:t>
      </w:r>
      <w:r w:rsidRPr="001C3EC8">
        <w:rPr>
          <w:color w:val="000000" w:themeColor="text1"/>
        </w:rPr>
        <w:t xml:space="preserve">50 000 Kč (snížení </w:t>
      </w:r>
      <w:r w:rsidR="0014150C" w:rsidRPr="001C3EC8">
        <w:rPr>
          <w:color w:val="000000" w:themeColor="text1"/>
        </w:rPr>
        <w:t>o</w:t>
      </w:r>
      <w:r w:rsidR="0014150C">
        <w:rPr>
          <w:color w:val="000000" w:themeColor="text1"/>
        </w:rPr>
        <w:t> </w:t>
      </w:r>
      <w:r w:rsidRPr="001C3EC8">
        <w:rPr>
          <w:color w:val="000000" w:themeColor="text1"/>
        </w:rPr>
        <w:t xml:space="preserve">5,76 procentního bodu od roku 2016 do roku 2018). Mezi roky 2018 </w:t>
      </w:r>
      <w:r w:rsidR="0014150C" w:rsidRPr="001C3EC8">
        <w:rPr>
          <w:color w:val="000000" w:themeColor="text1"/>
        </w:rPr>
        <w:t>a</w:t>
      </w:r>
      <w:r w:rsidR="0014150C">
        <w:rPr>
          <w:color w:val="000000" w:themeColor="text1"/>
        </w:rPr>
        <w:t> </w:t>
      </w:r>
      <w:r w:rsidRPr="001C3EC8">
        <w:rPr>
          <w:color w:val="000000" w:themeColor="text1"/>
        </w:rPr>
        <w:t xml:space="preserve">2019 již k dalšímu přesunu nad hranici 100 tisíc </w:t>
      </w:r>
      <w:r w:rsidR="00017F47" w:rsidRPr="001C3EC8">
        <w:rPr>
          <w:color w:val="000000" w:themeColor="text1"/>
        </w:rPr>
        <w:t xml:space="preserve">Kč </w:t>
      </w:r>
      <w:r w:rsidRPr="001C3EC8">
        <w:rPr>
          <w:color w:val="000000" w:themeColor="text1"/>
        </w:rPr>
        <w:t xml:space="preserve">nedošlo. V roce 2020 se opět zvýšil podíl přiznaných nároků nad 100 000 Kč </w:t>
      </w:r>
      <w:r w:rsidR="0014150C" w:rsidRPr="001C3EC8">
        <w:rPr>
          <w:color w:val="000000" w:themeColor="text1"/>
        </w:rPr>
        <w:t>a</w:t>
      </w:r>
      <w:r w:rsidR="0014150C">
        <w:rPr>
          <w:color w:val="000000" w:themeColor="text1"/>
        </w:rPr>
        <w:t> </w:t>
      </w:r>
      <w:r w:rsidRPr="001C3EC8">
        <w:rPr>
          <w:color w:val="000000" w:themeColor="text1"/>
        </w:rPr>
        <w:t>poprvé byl tedy větší než polovina.</w:t>
      </w:r>
    </w:p>
    <w:p w14:paraId="2F5142FA" w14:textId="10BC678E" w:rsidR="008430BD" w:rsidRPr="001C3EC8" w:rsidRDefault="008430BD" w:rsidP="008430BD">
      <w:pPr>
        <w:pStyle w:val="OdstavecASR"/>
        <w:rPr>
          <w:color w:val="000000" w:themeColor="text1"/>
        </w:rPr>
      </w:pPr>
      <w:r w:rsidRPr="001C3EC8">
        <w:rPr>
          <w:color w:val="000000" w:themeColor="text1"/>
        </w:rPr>
        <w:t>Opět také vidíme poměrně značné rozdíly mezi jednotlivými soudy. Nejvyšší nárok v průměru každoročně přiznává MS Praha, což opět plyne z obsahu vyřizované agendy. Mediánový přiznaný nárok je 236 971 Kč (</w:t>
      </w:r>
      <w:r w:rsidR="0014150C" w:rsidRPr="001C3EC8">
        <w:rPr>
          <w:color w:val="000000" w:themeColor="text1"/>
        </w:rPr>
        <w:t>v</w:t>
      </w:r>
      <w:r w:rsidR="0014150C">
        <w:rPr>
          <w:color w:val="000000" w:themeColor="text1"/>
        </w:rPr>
        <w:t> </w:t>
      </w:r>
      <w:r w:rsidRPr="001C3EC8">
        <w:rPr>
          <w:color w:val="000000" w:themeColor="text1"/>
        </w:rPr>
        <w:t xml:space="preserve">roce 2019 byl 275 000 Kč). Nejmenší nároky byly jako </w:t>
      </w:r>
      <w:r w:rsidR="00311CE3" w:rsidRPr="001C3EC8">
        <w:rPr>
          <w:color w:val="000000" w:themeColor="text1"/>
        </w:rPr>
        <w:t xml:space="preserve">ve většině let </w:t>
      </w:r>
      <w:r w:rsidRPr="001C3EC8">
        <w:rPr>
          <w:color w:val="000000" w:themeColor="text1"/>
        </w:rPr>
        <w:t>přiznávány u KS v Hradci Králové, kde mediánový přiznaný nárok činil 21 786 Kč (v roce 2019 16</w:t>
      </w:r>
      <w:r w:rsidR="004572ED" w:rsidRPr="001C3EC8">
        <w:rPr>
          <w:color w:val="000000" w:themeColor="text1"/>
        </w:rPr>
        <w:t> </w:t>
      </w:r>
      <w:r w:rsidRPr="001C3EC8">
        <w:rPr>
          <w:color w:val="000000" w:themeColor="text1"/>
        </w:rPr>
        <w:t>395</w:t>
      </w:r>
      <w:r w:rsidR="00311CE3" w:rsidRPr="001C3EC8">
        <w:rPr>
          <w:color w:val="000000" w:themeColor="text1"/>
        </w:rPr>
        <w:t> </w:t>
      </w:r>
      <w:r w:rsidRPr="001C3EC8">
        <w:rPr>
          <w:color w:val="000000" w:themeColor="text1"/>
        </w:rPr>
        <w:t>Kč</w:t>
      </w:r>
      <w:r w:rsidR="004572ED" w:rsidRPr="001C3EC8">
        <w:rPr>
          <w:color w:val="000000" w:themeColor="text1"/>
        </w:rPr>
        <w:t xml:space="preserve"> </w:t>
      </w:r>
      <w:r w:rsidRPr="001C3EC8">
        <w:rPr>
          <w:color w:val="000000" w:themeColor="text1"/>
        </w:rPr>
        <w:t>Kč). Naprostou většinu sporů s výší přiznaného nároku do 20 000 Kč tvoří spory z autorského zákona a spory ze směnek, šeků a jiných cenných papírů.</w:t>
      </w:r>
    </w:p>
    <w:p w14:paraId="5B833EBF"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550AFBA1" w14:textId="77777777" w:rsidR="008430BD" w:rsidRPr="001C3EC8" w:rsidRDefault="008430BD" w:rsidP="008430BD">
      <w:pPr>
        <w:pStyle w:val="Nadpis2"/>
        <w:numPr>
          <w:ilvl w:val="1"/>
          <w:numId w:val="1"/>
        </w:numPr>
        <w:spacing w:before="120"/>
      </w:pPr>
      <w:bookmarkStart w:id="461" w:name="_Toc515871253"/>
      <w:bookmarkStart w:id="462" w:name="_Toc75952092"/>
      <w:r w:rsidRPr="001C3EC8">
        <w:lastRenderedPageBreak/>
        <w:t>Civilní odvolací agenda</w:t>
      </w:r>
      <w:bookmarkEnd w:id="461"/>
      <w:bookmarkEnd w:id="462"/>
    </w:p>
    <w:p w14:paraId="21642BF4" w14:textId="4089DCBE" w:rsidR="008430BD" w:rsidRPr="001C3EC8" w:rsidRDefault="008430BD" w:rsidP="008430BD">
      <w:pPr>
        <w:pStyle w:val="OdstavecASR"/>
        <w:rPr>
          <w:color w:val="000000" w:themeColor="text1"/>
        </w:rPr>
      </w:pPr>
      <w:r w:rsidRPr="001C3EC8">
        <w:rPr>
          <w:color w:val="000000" w:themeColor="text1"/>
        </w:rPr>
        <w:t xml:space="preserve">Odvolací civilní agenda je ve výkazech vedena pod </w:t>
      </w:r>
      <w:proofErr w:type="gramStart"/>
      <w:r w:rsidRPr="001C3EC8">
        <w:rPr>
          <w:color w:val="000000" w:themeColor="text1"/>
        </w:rPr>
        <w:t>označením</w:t>
      </w:r>
      <w:proofErr w:type="gramEnd"/>
      <w:r w:rsidRPr="001C3EC8">
        <w:rPr>
          <w:color w:val="000000" w:themeColor="text1"/>
        </w:rPr>
        <w:t xml:space="preserve"> Co a zahrnuje širokou škálu věcí. Jedná se o všechny druhy civilního řízení, ve kterých bylo podáno odvolání proti rozhodnutí soudů prvního stupně, včetně odvolání proti rozhodnutí soudního exekutora. Do </w:t>
      </w:r>
      <w:proofErr w:type="gramStart"/>
      <w:r w:rsidRPr="001C3EC8">
        <w:rPr>
          <w:color w:val="000000" w:themeColor="text1"/>
        </w:rPr>
        <w:t>agendy</w:t>
      </w:r>
      <w:proofErr w:type="gramEnd"/>
      <w:r w:rsidRPr="001C3EC8">
        <w:rPr>
          <w:color w:val="000000" w:themeColor="text1"/>
        </w:rPr>
        <w:t xml:space="preserve"> Co tedy spadají i odvolání ve věcech, které nejsou v kapitolách </w:t>
      </w:r>
      <w:r w:rsidRPr="001C3EC8">
        <w:rPr>
          <w:color w:val="000000" w:themeColor="text1"/>
        </w:rPr>
        <w:fldChar w:fldCharType="begin"/>
      </w:r>
      <w:r w:rsidRPr="001C3EC8">
        <w:rPr>
          <w:color w:val="000000" w:themeColor="text1"/>
        </w:rPr>
        <w:instrText xml:space="preserve"> REF _Ref9425277 \r \h  \* MERGEFORMAT </w:instrText>
      </w:r>
      <w:r w:rsidRPr="001C3EC8">
        <w:rPr>
          <w:color w:val="000000" w:themeColor="text1"/>
        </w:rPr>
      </w:r>
      <w:r w:rsidRPr="001C3EC8">
        <w:rPr>
          <w:color w:val="000000" w:themeColor="text1"/>
        </w:rPr>
        <w:fldChar w:fldCharType="separate"/>
      </w:r>
      <w:r w:rsidR="009C575D">
        <w:rPr>
          <w:color w:val="000000" w:themeColor="text1"/>
        </w:rPr>
        <w:t>2.2</w:t>
      </w:r>
      <w:r w:rsidRPr="001C3EC8">
        <w:rPr>
          <w:color w:val="000000" w:themeColor="text1"/>
        </w:rPr>
        <w:fldChar w:fldCharType="end"/>
      </w:r>
      <w:r w:rsidRPr="001C3EC8">
        <w:rPr>
          <w:color w:val="000000" w:themeColor="text1"/>
        </w:rPr>
        <w:t xml:space="preserve"> a </w:t>
      </w:r>
      <w:r w:rsidRPr="001C3EC8">
        <w:rPr>
          <w:color w:val="000000" w:themeColor="text1"/>
        </w:rPr>
        <w:fldChar w:fldCharType="begin"/>
      </w:r>
      <w:r w:rsidRPr="001C3EC8">
        <w:rPr>
          <w:color w:val="000000" w:themeColor="text1"/>
        </w:rPr>
        <w:instrText xml:space="preserve"> REF _Ref511307913 \r \h  \* MERGEFORMAT </w:instrText>
      </w:r>
      <w:r w:rsidRPr="001C3EC8">
        <w:rPr>
          <w:color w:val="000000" w:themeColor="text1"/>
        </w:rPr>
      </w:r>
      <w:r w:rsidRPr="001C3EC8">
        <w:rPr>
          <w:color w:val="000000" w:themeColor="text1"/>
        </w:rPr>
        <w:fldChar w:fldCharType="separate"/>
      </w:r>
      <w:r w:rsidR="009C575D">
        <w:rPr>
          <w:color w:val="000000" w:themeColor="text1"/>
        </w:rPr>
        <w:t>2.5</w:t>
      </w:r>
      <w:r w:rsidRPr="001C3EC8">
        <w:rPr>
          <w:color w:val="000000" w:themeColor="text1"/>
        </w:rPr>
        <w:fldChar w:fldCharType="end"/>
      </w:r>
      <w:r w:rsidRPr="001C3EC8">
        <w:rPr>
          <w:color w:val="000000" w:themeColor="text1"/>
        </w:rPr>
        <w:t xml:space="preserve">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Data byla očištěna stejným způsobem jako u civilní agendy u okresních soudů. Data ze statistických listů se týkají pouze odvolání, která byla podána v meritu věci.</w:t>
      </w:r>
    </w:p>
    <w:p w14:paraId="1AF6E8AA" w14:textId="77777777" w:rsidR="008430BD" w:rsidRPr="001C3EC8" w:rsidRDefault="008430BD" w:rsidP="008430BD">
      <w:pPr>
        <w:pStyle w:val="Nadpis3"/>
        <w:numPr>
          <w:ilvl w:val="2"/>
          <w:numId w:val="1"/>
        </w:numPr>
        <w:rPr>
          <w:color w:val="000000" w:themeColor="text1"/>
        </w:rPr>
      </w:pPr>
      <w:bookmarkStart w:id="463" w:name="_Toc515871254"/>
      <w:bookmarkStart w:id="464" w:name="_Toc75952093"/>
      <w:r w:rsidRPr="001C3EC8">
        <w:rPr>
          <w:color w:val="000000" w:themeColor="text1"/>
        </w:rPr>
        <w:t>Délka řízení</w:t>
      </w:r>
      <w:bookmarkEnd w:id="463"/>
      <w:bookmarkEnd w:id="464"/>
    </w:p>
    <w:p w14:paraId="0D487E01" w14:textId="6F1C7D67" w:rsidR="008430BD" w:rsidRPr="001C3EC8" w:rsidRDefault="008430BD" w:rsidP="008430BD">
      <w:pPr>
        <w:pStyle w:val="OdstavecASR"/>
        <w:rPr>
          <w:color w:val="000000" w:themeColor="text1"/>
        </w:rPr>
      </w:pPr>
      <w:bookmarkStart w:id="465" w:name="_Toc515871385"/>
      <w:bookmarkStart w:id="466" w:name="_Toc11135116"/>
      <w:r w:rsidRPr="001C3EC8">
        <w:rPr>
          <w:color w:val="000000" w:themeColor="text1"/>
        </w:rPr>
        <w:t xml:space="preserve">Jedná se o délku řízení v kalendářních dnech ode dne nápadu u odvolacího soudu do dne vyřízení věci odvolacím soudem. Délky řízení jsou výrazně nižší než délky řízení prvostupňové agendy u OS, ale díky razantnímu snižování délek řízení </w:t>
      </w:r>
      <w:r w:rsidR="0014150C" w:rsidRPr="001C3EC8">
        <w:rPr>
          <w:color w:val="000000" w:themeColor="text1"/>
        </w:rPr>
        <w:t>u</w:t>
      </w:r>
      <w:r w:rsidR="0014150C">
        <w:rPr>
          <w:color w:val="000000" w:themeColor="text1"/>
        </w:rPr>
        <w:t> </w:t>
      </w:r>
      <w:r w:rsidRPr="001C3EC8">
        <w:rPr>
          <w:color w:val="000000" w:themeColor="text1"/>
        </w:rPr>
        <w:t xml:space="preserve">OS již nejde v případě průměrné hodnoty o 3,6násobek jako v roce 2014, ale přibližně </w:t>
      </w:r>
      <w:r w:rsidR="0014150C" w:rsidRPr="001C3EC8">
        <w:rPr>
          <w:color w:val="000000" w:themeColor="text1"/>
        </w:rPr>
        <w:t>o</w:t>
      </w:r>
      <w:r w:rsidR="0014150C">
        <w:rPr>
          <w:color w:val="000000" w:themeColor="text1"/>
        </w:rPr>
        <w:t> </w:t>
      </w:r>
      <w:r w:rsidRPr="001C3EC8">
        <w:rPr>
          <w:color w:val="000000" w:themeColor="text1"/>
        </w:rPr>
        <w:t>dvojnásobek v roce 2019. Násobný rozdíl je dán tím, že pro odvolací soud je většinou jednodušší rozhodnout než pro soud prvostupňový. Krajský soud přezkoumává rozhodnutí OS pouze v mezích podaného odvolání a až na výjimky nezjišťuje skutkový stav.</w:t>
      </w:r>
    </w:p>
    <w:p w14:paraId="3116A157" w14:textId="1CE4F199" w:rsidR="008430BD" w:rsidRPr="001C3EC8" w:rsidRDefault="008430BD" w:rsidP="008430BD">
      <w:pPr>
        <w:pStyle w:val="Podnadpis"/>
        <w:rPr>
          <w:color w:val="000000" w:themeColor="text1"/>
        </w:rPr>
      </w:pPr>
      <w:bookmarkStart w:id="467" w:name="_Toc43841435"/>
      <w:bookmarkStart w:id="468" w:name="_Toc7595223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58</w:t>
      </w:r>
      <w:r w:rsidRPr="001C3EC8">
        <w:rPr>
          <w:color w:val="000000" w:themeColor="text1"/>
        </w:rPr>
        <w:fldChar w:fldCharType="end"/>
      </w:r>
      <w:r w:rsidRPr="001C3EC8">
        <w:rPr>
          <w:color w:val="000000" w:themeColor="text1"/>
        </w:rPr>
        <w:t>: KS – délka odvolacího civilního řízení v letech 2010–20</w:t>
      </w:r>
      <w:bookmarkEnd w:id="465"/>
      <w:bookmarkEnd w:id="466"/>
      <w:bookmarkEnd w:id="467"/>
      <w:r w:rsidRPr="001C3EC8">
        <w:rPr>
          <w:color w:val="000000" w:themeColor="text1"/>
        </w:rPr>
        <w:t>20</w:t>
      </w:r>
      <w:bookmarkEnd w:id="468"/>
    </w:p>
    <w:p w14:paraId="4C384A31"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4C6CFF85" wp14:editId="0C9369F6">
            <wp:extent cx="5114925" cy="3743325"/>
            <wp:effectExtent l="0" t="0" r="0" b="952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6830D7F" w14:textId="77777777" w:rsidR="008430BD" w:rsidRPr="001C3EC8" w:rsidRDefault="008430BD" w:rsidP="008430BD">
      <w:pPr>
        <w:rPr>
          <w:color w:val="000000" w:themeColor="text1"/>
        </w:rPr>
      </w:pPr>
    </w:p>
    <w:p w14:paraId="0CA996DC" w14:textId="4E59AF17" w:rsidR="008430BD" w:rsidRPr="001C3EC8" w:rsidRDefault="008430BD" w:rsidP="008430BD">
      <w:pPr>
        <w:pStyle w:val="OdstavecASR"/>
        <w:rPr>
          <w:color w:val="000000" w:themeColor="text1"/>
        </w:rPr>
      </w:pPr>
      <w:r w:rsidRPr="001C3EC8">
        <w:rPr>
          <w:color w:val="000000" w:themeColor="text1"/>
        </w:rPr>
        <w:t xml:space="preserve">Od roku 2013 jsou délky řízení velmi stabilní a poměrně nízké. Odvolání proti věcem z rejstříků C okresních soudů lze tedy z hlediska délek řízení označit za stabilní a celkem bezproblémovou agendu. Nezdá se, že by délky řízení byly nějak ovlivněny pandemií </w:t>
      </w:r>
      <w:r w:rsidR="000C3B1E">
        <w:rPr>
          <w:color w:val="000000" w:themeColor="text1"/>
        </w:rPr>
        <w:t>COVID</w:t>
      </w:r>
      <w:r w:rsidR="000C3B1E">
        <w:rPr>
          <w:color w:val="000000" w:themeColor="text1"/>
        </w:rPr>
        <w:noBreakHyphen/>
        <w:t>19</w:t>
      </w:r>
      <w:r w:rsidR="00955737" w:rsidRPr="001C3EC8">
        <w:rPr>
          <w:color w:val="000000" w:themeColor="text1"/>
        </w:rPr>
        <w:t>,</w:t>
      </w:r>
      <w:r w:rsidR="00AA1DD7" w:rsidRPr="001C3EC8">
        <w:rPr>
          <w:color w:val="000000" w:themeColor="text1"/>
        </w:rPr>
        <w:t xml:space="preserve"> </w:t>
      </w:r>
      <w:r w:rsidR="0014150C" w:rsidRPr="001C3EC8">
        <w:rPr>
          <w:color w:val="000000" w:themeColor="text1"/>
        </w:rPr>
        <w:t>a</w:t>
      </w:r>
      <w:r w:rsidR="0014150C">
        <w:rPr>
          <w:color w:val="000000" w:themeColor="text1"/>
        </w:rPr>
        <w:t> </w:t>
      </w:r>
      <w:r w:rsidRPr="001C3EC8">
        <w:rPr>
          <w:color w:val="000000" w:themeColor="text1"/>
        </w:rPr>
        <w:t xml:space="preserve">ani </w:t>
      </w:r>
      <w:r w:rsidR="0014150C" w:rsidRPr="001C3EC8">
        <w:rPr>
          <w:color w:val="000000" w:themeColor="text1"/>
        </w:rPr>
        <w:t>u</w:t>
      </w:r>
      <w:r w:rsidR="0014150C">
        <w:rPr>
          <w:color w:val="000000" w:themeColor="text1"/>
        </w:rPr>
        <w:t> </w:t>
      </w:r>
      <w:r w:rsidRPr="001C3EC8">
        <w:rPr>
          <w:color w:val="000000" w:themeColor="text1"/>
        </w:rPr>
        <w:t xml:space="preserve">jednotlivých soudů nedošlo k velkým změnám. Zaujmou pouze KS České Budějovice </w:t>
      </w:r>
      <w:r w:rsidR="0014150C" w:rsidRPr="001C3EC8">
        <w:rPr>
          <w:color w:val="000000" w:themeColor="text1"/>
        </w:rPr>
        <w:t>a</w:t>
      </w:r>
      <w:r w:rsidR="0014150C">
        <w:rPr>
          <w:color w:val="000000" w:themeColor="text1"/>
        </w:rPr>
        <w:t> </w:t>
      </w:r>
      <w:r w:rsidRPr="001C3EC8">
        <w:rPr>
          <w:color w:val="000000" w:themeColor="text1"/>
        </w:rPr>
        <w:t xml:space="preserve">KS Hradec Králové, </w:t>
      </w:r>
      <w:r w:rsidRPr="001C3EC8">
        <w:rPr>
          <w:color w:val="000000" w:themeColor="text1"/>
        </w:rPr>
        <w:lastRenderedPageBreak/>
        <w:t xml:space="preserve">kde délky řízení vzrostly téměř </w:t>
      </w:r>
      <w:r w:rsidR="0014150C" w:rsidRPr="001C3EC8">
        <w:rPr>
          <w:color w:val="000000" w:themeColor="text1"/>
        </w:rPr>
        <w:t>o</w:t>
      </w:r>
      <w:r w:rsidR="0014150C">
        <w:rPr>
          <w:color w:val="000000" w:themeColor="text1"/>
        </w:rPr>
        <w:t> </w:t>
      </w:r>
      <w:r w:rsidRPr="001C3EC8">
        <w:rPr>
          <w:color w:val="000000" w:themeColor="text1"/>
        </w:rPr>
        <w:t xml:space="preserve">třetinu. Oba soudy (především České Budějovice) jsou na tom ale stále velmi dobře. </w:t>
      </w:r>
      <w:r w:rsidR="00AA1DD7" w:rsidRPr="001C3EC8">
        <w:rPr>
          <w:color w:val="000000" w:themeColor="text1"/>
        </w:rPr>
        <w:t xml:space="preserve">Je ale vhodné podívat se </w:t>
      </w:r>
      <w:r w:rsidRPr="001C3EC8">
        <w:rPr>
          <w:color w:val="000000" w:themeColor="text1"/>
        </w:rPr>
        <w:t>na další ukazatele.</w:t>
      </w:r>
    </w:p>
    <w:p w14:paraId="610D219A" w14:textId="05BE3B9C" w:rsidR="008430BD" w:rsidRPr="001C3EC8" w:rsidRDefault="008430BD" w:rsidP="008430BD">
      <w:pPr>
        <w:pStyle w:val="Podnadpis"/>
        <w:rPr>
          <w:color w:val="000000" w:themeColor="text1"/>
        </w:rPr>
      </w:pPr>
      <w:bookmarkStart w:id="469" w:name="_Toc515871475"/>
      <w:bookmarkStart w:id="470" w:name="_Toc11133243"/>
      <w:bookmarkStart w:id="471" w:name="_Toc43931221"/>
      <w:bookmarkStart w:id="472" w:name="_Toc75952354"/>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51</w:t>
      </w:r>
      <w:r w:rsidRPr="001C3EC8">
        <w:rPr>
          <w:color w:val="000000" w:themeColor="text1"/>
        </w:rPr>
        <w:fldChar w:fldCharType="end"/>
      </w:r>
      <w:r w:rsidRPr="001C3EC8">
        <w:rPr>
          <w:color w:val="000000" w:themeColor="text1"/>
        </w:rPr>
        <w:t>: KS – délky odvolacího civilního řízení dle soudů</w:t>
      </w:r>
      <w:bookmarkEnd w:id="469"/>
      <w:bookmarkEnd w:id="470"/>
      <w:bookmarkEnd w:id="471"/>
      <w:bookmarkEnd w:id="472"/>
    </w:p>
    <w:tbl>
      <w:tblPr>
        <w:tblW w:w="7520" w:type="dxa"/>
        <w:tblCellMar>
          <w:left w:w="70" w:type="dxa"/>
          <w:right w:w="70" w:type="dxa"/>
        </w:tblCellMar>
        <w:tblLook w:val="04A0" w:firstRow="1" w:lastRow="0" w:firstColumn="1" w:lastColumn="0" w:noHBand="0" w:noVBand="1"/>
      </w:tblPr>
      <w:tblGrid>
        <w:gridCol w:w="2480"/>
        <w:gridCol w:w="662"/>
        <w:gridCol w:w="1018"/>
        <w:gridCol w:w="662"/>
        <w:gridCol w:w="1018"/>
        <w:gridCol w:w="662"/>
        <w:gridCol w:w="1018"/>
      </w:tblGrid>
      <w:tr w:rsidR="008430BD" w:rsidRPr="001C3EC8" w14:paraId="13D82582"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FCF0D2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14:paraId="5539575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6AF88E19"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6623A698"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00BB022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14EE32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6A6CCCC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75D36E28"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C70463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662" w:type="dxa"/>
            <w:tcBorders>
              <w:top w:val="single" w:sz="4" w:space="0" w:color="auto"/>
              <w:left w:val="nil"/>
              <w:bottom w:val="single" w:sz="4" w:space="0" w:color="auto"/>
              <w:right w:val="nil"/>
            </w:tcBorders>
            <w:shd w:val="clear" w:color="auto" w:fill="auto"/>
            <w:noWrap/>
            <w:vAlign w:val="bottom"/>
            <w:hideMark/>
          </w:tcPr>
          <w:p w14:paraId="5A42DD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w:t>
            </w:r>
          </w:p>
        </w:tc>
        <w:tc>
          <w:tcPr>
            <w:tcW w:w="1018" w:type="dxa"/>
            <w:tcBorders>
              <w:top w:val="single" w:sz="4" w:space="0" w:color="auto"/>
              <w:left w:val="nil"/>
              <w:bottom w:val="single" w:sz="4" w:space="0" w:color="auto"/>
              <w:right w:val="nil"/>
            </w:tcBorders>
            <w:shd w:val="clear" w:color="auto" w:fill="auto"/>
            <w:noWrap/>
            <w:vAlign w:val="center"/>
            <w:hideMark/>
          </w:tcPr>
          <w:p w14:paraId="523203E8" w14:textId="086ACFB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63CCC9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w:t>
            </w:r>
          </w:p>
        </w:tc>
        <w:tc>
          <w:tcPr>
            <w:tcW w:w="1018" w:type="dxa"/>
            <w:tcBorders>
              <w:top w:val="nil"/>
              <w:left w:val="nil"/>
              <w:bottom w:val="single" w:sz="4" w:space="0" w:color="auto"/>
              <w:right w:val="single" w:sz="4" w:space="0" w:color="auto"/>
            </w:tcBorders>
            <w:shd w:val="clear" w:color="auto" w:fill="auto"/>
            <w:noWrap/>
            <w:vAlign w:val="center"/>
            <w:hideMark/>
          </w:tcPr>
          <w:p w14:paraId="4249D588" w14:textId="7268409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662" w:type="dxa"/>
            <w:tcBorders>
              <w:top w:val="single" w:sz="4" w:space="0" w:color="auto"/>
              <w:left w:val="nil"/>
              <w:bottom w:val="single" w:sz="4" w:space="0" w:color="auto"/>
              <w:right w:val="nil"/>
            </w:tcBorders>
            <w:shd w:val="clear" w:color="auto" w:fill="auto"/>
            <w:noWrap/>
            <w:vAlign w:val="bottom"/>
            <w:hideMark/>
          </w:tcPr>
          <w:p w14:paraId="2591AC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140</w:t>
            </w:r>
          </w:p>
        </w:tc>
        <w:tc>
          <w:tcPr>
            <w:tcW w:w="1018" w:type="dxa"/>
            <w:tcBorders>
              <w:top w:val="single" w:sz="4" w:space="0" w:color="auto"/>
              <w:left w:val="nil"/>
              <w:bottom w:val="single" w:sz="4" w:space="0" w:color="auto"/>
              <w:right w:val="nil"/>
            </w:tcBorders>
            <w:shd w:val="clear" w:color="auto" w:fill="auto"/>
            <w:noWrap/>
            <w:vAlign w:val="center"/>
            <w:hideMark/>
          </w:tcPr>
          <w:p w14:paraId="60855324" w14:textId="6F93347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8430BD" w:rsidRPr="001C3EC8" w14:paraId="2B68658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B35EBD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662" w:type="dxa"/>
            <w:tcBorders>
              <w:top w:val="nil"/>
              <w:left w:val="nil"/>
              <w:bottom w:val="single" w:sz="4" w:space="0" w:color="auto"/>
              <w:right w:val="nil"/>
            </w:tcBorders>
            <w:shd w:val="clear" w:color="auto" w:fill="auto"/>
            <w:noWrap/>
            <w:vAlign w:val="bottom"/>
            <w:hideMark/>
          </w:tcPr>
          <w:p w14:paraId="6EA491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w:t>
            </w:r>
          </w:p>
        </w:tc>
        <w:tc>
          <w:tcPr>
            <w:tcW w:w="1018" w:type="dxa"/>
            <w:tcBorders>
              <w:top w:val="nil"/>
              <w:left w:val="nil"/>
              <w:bottom w:val="single" w:sz="4" w:space="0" w:color="auto"/>
              <w:right w:val="nil"/>
            </w:tcBorders>
            <w:shd w:val="clear" w:color="auto" w:fill="auto"/>
            <w:noWrap/>
            <w:vAlign w:val="center"/>
            <w:hideMark/>
          </w:tcPr>
          <w:p w14:paraId="3A69477F" w14:textId="3E93454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73E89B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1018" w:type="dxa"/>
            <w:tcBorders>
              <w:top w:val="nil"/>
              <w:left w:val="nil"/>
              <w:bottom w:val="single" w:sz="4" w:space="0" w:color="auto"/>
              <w:right w:val="single" w:sz="4" w:space="0" w:color="auto"/>
            </w:tcBorders>
            <w:shd w:val="clear" w:color="auto" w:fill="auto"/>
            <w:noWrap/>
            <w:vAlign w:val="center"/>
            <w:hideMark/>
          </w:tcPr>
          <w:p w14:paraId="3D9A6303" w14:textId="63ABD68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662" w:type="dxa"/>
            <w:tcBorders>
              <w:top w:val="nil"/>
              <w:left w:val="nil"/>
              <w:bottom w:val="single" w:sz="4" w:space="0" w:color="auto"/>
              <w:right w:val="nil"/>
            </w:tcBorders>
            <w:shd w:val="clear" w:color="auto" w:fill="auto"/>
            <w:noWrap/>
            <w:vAlign w:val="bottom"/>
            <w:hideMark/>
          </w:tcPr>
          <w:p w14:paraId="66D551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162</w:t>
            </w:r>
          </w:p>
        </w:tc>
        <w:tc>
          <w:tcPr>
            <w:tcW w:w="1018" w:type="dxa"/>
            <w:tcBorders>
              <w:top w:val="nil"/>
              <w:left w:val="nil"/>
              <w:bottom w:val="single" w:sz="4" w:space="0" w:color="auto"/>
              <w:right w:val="nil"/>
            </w:tcBorders>
            <w:shd w:val="clear" w:color="auto" w:fill="auto"/>
            <w:noWrap/>
            <w:vAlign w:val="center"/>
            <w:hideMark/>
          </w:tcPr>
          <w:p w14:paraId="2095BC60" w14:textId="183EF02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6434428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F0AA2E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662" w:type="dxa"/>
            <w:tcBorders>
              <w:top w:val="nil"/>
              <w:left w:val="nil"/>
              <w:bottom w:val="single" w:sz="4" w:space="0" w:color="auto"/>
              <w:right w:val="nil"/>
            </w:tcBorders>
            <w:shd w:val="clear" w:color="auto" w:fill="auto"/>
            <w:noWrap/>
            <w:vAlign w:val="bottom"/>
            <w:hideMark/>
          </w:tcPr>
          <w:p w14:paraId="361996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018" w:type="dxa"/>
            <w:tcBorders>
              <w:top w:val="nil"/>
              <w:left w:val="nil"/>
              <w:bottom w:val="single" w:sz="4" w:space="0" w:color="auto"/>
              <w:right w:val="nil"/>
            </w:tcBorders>
            <w:shd w:val="clear" w:color="auto" w:fill="auto"/>
            <w:noWrap/>
            <w:vAlign w:val="center"/>
            <w:hideMark/>
          </w:tcPr>
          <w:p w14:paraId="0EC09FE1" w14:textId="1C7B2C1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0EC225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w:t>
            </w:r>
          </w:p>
        </w:tc>
        <w:tc>
          <w:tcPr>
            <w:tcW w:w="1018" w:type="dxa"/>
            <w:tcBorders>
              <w:top w:val="nil"/>
              <w:left w:val="nil"/>
              <w:bottom w:val="single" w:sz="4" w:space="0" w:color="auto"/>
              <w:right w:val="single" w:sz="4" w:space="0" w:color="auto"/>
            </w:tcBorders>
            <w:shd w:val="clear" w:color="auto" w:fill="auto"/>
            <w:noWrap/>
            <w:vAlign w:val="center"/>
            <w:hideMark/>
          </w:tcPr>
          <w:p w14:paraId="492C1465" w14:textId="1E59A627"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c>
          <w:tcPr>
            <w:tcW w:w="662" w:type="dxa"/>
            <w:tcBorders>
              <w:top w:val="nil"/>
              <w:left w:val="nil"/>
              <w:bottom w:val="single" w:sz="4" w:space="0" w:color="auto"/>
              <w:right w:val="nil"/>
            </w:tcBorders>
            <w:shd w:val="clear" w:color="auto" w:fill="auto"/>
            <w:noWrap/>
            <w:vAlign w:val="bottom"/>
            <w:hideMark/>
          </w:tcPr>
          <w:p w14:paraId="3B1749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163</w:t>
            </w:r>
          </w:p>
        </w:tc>
        <w:tc>
          <w:tcPr>
            <w:tcW w:w="1018" w:type="dxa"/>
            <w:tcBorders>
              <w:top w:val="nil"/>
              <w:left w:val="nil"/>
              <w:bottom w:val="single" w:sz="4" w:space="0" w:color="auto"/>
              <w:right w:val="nil"/>
            </w:tcBorders>
            <w:shd w:val="clear" w:color="auto" w:fill="auto"/>
            <w:noWrap/>
            <w:vAlign w:val="center"/>
            <w:hideMark/>
          </w:tcPr>
          <w:p w14:paraId="076C6390" w14:textId="1163CA5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r>
      <w:tr w:rsidR="008430BD" w:rsidRPr="001C3EC8" w14:paraId="05D24D7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3E9569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662" w:type="dxa"/>
            <w:tcBorders>
              <w:top w:val="nil"/>
              <w:left w:val="nil"/>
              <w:bottom w:val="single" w:sz="4" w:space="0" w:color="auto"/>
              <w:right w:val="nil"/>
            </w:tcBorders>
            <w:shd w:val="clear" w:color="auto" w:fill="auto"/>
            <w:noWrap/>
            <w:vAlign w:val="bottom"/>
            <w:hideMark/>
          </w:tcPr>
          <w:p w14:paraId="69ABAA0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78</w:t>
            </w:r>
          </w:p>
        </w:tc>
        <w:tc>
          <w:tcPr>
            <w:tcW w:w="1018" w:type="dxa"/>
            <w:tcBorders>
              <w:top w:val="nil"/>
              <w:left w:val="nil"/>
              <w:bottom w:val="single" w:sz="4" w:space="0" w:color="auto"/>
              <w:right w:val="nil"/>
            </w:tcBorders>
            <w:shd w:val="clear" w:color="auto" w:fill="auto"/>
            <w:noWrap/>
            <w:vAlign w:val="center"/>
            <w:hideMark/>
          </w:tcPr>
          <w:p w14:paraId="79A5EFAE" w14:textId="7FE8067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6DE8E80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w:t>
            </w:r>
          </w:p>
        </w:tc>
        <w:tc>
          <w:tcPr>
            <w:tcW w:w="1018" w:type="dxa"/>
            <w:tcBorders>
              <w:top w:val="nil"/>
              <w:left w:val="nil"/>
              <w:bottom w:val="single" w:sz="4" w:space="0" w:color="auto"/>
              <w:right w:val="single" w:sz="4" w:space="0" w:color="auto"/>
            </w:tcBorders>
            <w:shd w:val="clear" w:color="auto" w:fill="auto"/>
            <w:noWrap/>
            <w:vAlign w:val="center"/>
            <w:hideMark/>
          </w:tcPr>
          <w:p w14:paraId="1B1B7F69" w14:textId="1229332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662" w:type="dxa"/>
            <w:tcBorders>
              <w:top w:val="nil"/>
              <w:left w:val="nil"/>
              <w:bottom w:val="single" w:sz="4" w:space="0" w:color="auto"/>
              <w:right w:val="nil"/>
            </w:tcBorders>
            <w:shd w:val="clear" w:color="auto" w:fill="auto"/>
            <w:noWrap/>
            <w:vAlign w:val="bottom"/>
            <w:hideMark/>
          </w:tcPr>
          <w:p w14:paraId="08F3B1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167</w:t>
            </w:r>
          </w:p>
        </w:tc>
        <w:tc>
          <w:tcPr>
            <w:tcW w:w="1018" w:type="dxa"/>
            <w:tcBorders>
              <w:top w:val="nil"/>
              <w:left w:val="nil"/>
              <w:bottom w:val="single" w:sz="4" w:space="0" w:color="auto"/>
              <w:right w:val="nil"/>
            </w:tcBorders>
            <w:shd w:val="clear" w:color="auto" w:fill="auto"/>
            <w:noWrap/>
            <w:vAlign w:val="center"/>
            <w:hideMark/>
          </w:tcPr>
          <w:p w14:paraId="07F2B9E5" w14:textId="691A286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r>
      <w:tr w:rsidR="008430BD" w:rsidRPr="001C3EC8" w14:paraId="218F8E81"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FF204A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662" w:type="dxa"/>
            <w:tcBorders>
              <w:top w:val="nil"/>
              <w:left w:val="nil"/>
              <w:bottom w:val="single" w:sz="4" w:space="0" w:color="auto"/>
              <w:right w:val="nil"/>
            </w:tcBorders>
            <w:shd w:val="clear" w:color="auto" w:fill="auto"/>
            <w:noWrap/>
            <w:vAlign w:val="bottom"/>
            <w:hideMark/>
          </w:tcPr>
          <w:p w14:paraId="32A9464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153</w:t>
            </w:r>
          </w:p>
        </w:tc>
        <w:tc>
          <w:tcPr>
            <w:tcW w:w="1018" w:type="dxa"/>
            <w:tcBorders>
              <w:top w:val="nil"/>
              <w:left w:val="nil"/>
              <w:bottom w:val="single" w:sz="4" w:space="0" w:color="auto"/>
              <w:right w:val="nil"/>
            </w:tcBorders>
            <w:shd w:val="clear" w:color="auto" w:fill="auto"/>
            <w:noWrap/>
            <w:vAlign w:val="center"/>
            <w:hideMark/>
          </w:tcPr>
          <w:p w14:paraId="22F9A98C" w14:textId="702321A9"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5EEA299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c>
          <w:tcPr>
            <w:tcW w:w="1018" w:type="dxa"/>
            <w:tcBorders>
              <w:top w:val="nil"/>
              <w:left w:val="nil"/>
              <w:bottom w:val="single" w:sz="4" w:space="0" w:color="auto"/>
              <w:right w:val="single" w:sz="4" w:space="0" w:color="auto"/>
            </w:tcBorders>
            <w:shd w:val="clear" w:color="auto" w:fill="auto"/>
            <w:noWrap/>
            <w:vAlign w:val="center"/>
            <w:hideMark/>
          </w:tcPr>
          <w:p w14:paraId="584A5581" w14:textId="3EB0793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662" w:type="dxa"/>
            <w:tcBorders>
              <w:top w:val="nil"/>
              <w:left w:val="nil"/>
              <w:bottom w:val="single" w:sz="4" w:space="0" w:color="auto"/>
              <w:right w:val="nil"/>
            </w:tcBorders>
            <w:shd w:val="clear" w:color="auto" w:fill="auto"/>
            <w:noWrap/>
            <w:vAlign w:val="bottom"/>
            <w:hideMark/>
          </w:tcPr>
          <w:p w14:paraId="36BF12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311</w:t>
            </w:r>
          </w:p>
        </w:tc>
        <w:tc>
          <w:tcPr>
            <w:tcW w:w="1018" w:type="dxa"/>
            <w:tcBorders>
              <w:top w:val="nil"/>
              <w:left w:val="nil"/>
              <w:bottom w:val="single" w:sz="4" w:space="0" w:color="auto"/>
              <w:right w:val="nil"/>
            </w:tcBorders>
            <w:shd w:val="clear" w:color="auto" w:fill="auto"/>
            <w:noWrap/>
            <w:vAlign w:val="center"/>
            <w:hideMark/>
          </w:tcPr>
          <w:p w14:paraId="5B45D880" w14:textId="72FD3EC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r>
      <w:tr w:rsidR="008430BD" w:rsidRPr="001C3EC8" w14:paraId="4809624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B5AA2D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662" w:type="dxa"/>
            <w:tcBorders>
              <w:top w:val="nil"/>
              <w:left w:val="nil"/>
              <w:bottom w:val="single" w:sz="4" w:space="0" w:color="auto"/>
              <w:right w:val="nil"/>
            </w:tcBorders>
            <w:shd w:val="clear" w:color="auto" w:fill="auto"/>
            <w:noWrap/>
            <w:vAlign w:val="bottom"/>
            <w:hideMark/>
          </w:tcPr>
          <w:p w14:paraId="7F25B98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1018" w:type="dxa"/>
            <w:tcBorders>
              <w:top w:val="nil"/>
              <w:left w:val="nil"/>
              <w:bottom w:val="single" w:sz="4" w:space="0" w:color="auto"/>
              <w:right w:val="nil"/>
            </w:tcBorders>
            <w:shd w:val="clear" w:color="auto" w:fill="auto"/>
            <w:noWrap/>
            <w:vAlign w:val="center"/>
            <w:hideMark/>
          </w:tcPr>
          <w:p w14:paraId="654AEB9F" w14:textId="58AC185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+33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063E17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w:t>
            </w:r>
          </w:p>
        </w:tc>
        <w:tc>
          <w:tcPr>
            <w:tcW w:w="1018" w:type="dxa"/>
            <w:tcBorders>
              <w:top w:val="nil"/>
              <w:left w:val="nil"/>
              <w:bottom w:val="single" w:sz="4" w:space="0" w:color="auto"/>
              <w:right w:val="single" w:sz="4" w:space="0" w:color="auto"/>
            </w:tcBorders>
            <w:shd w:val="clear" w:color="auto" w:fill="auto"/>
            <w:noWrap/>
            <w:vAlign w:val="center"/>
            <w:hideMark/>
          </w:tcPr>
          <w:p w14:paraId="1719EEBD" w14:textId="5391C5E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c>
          <w:tcPr>
            <w:tcW w:w="662" w:type="dxa"/>
            <w:tcBorders>
              <w:top w:val="nil"/>
              <w:left w:val="nil"/>
              <w:bottom w:val="single" w:sz="4" w:space="0" w:color="auto"/>
              <w:right w:val="nil"/>
            </w:tcBorders>
            <w:shd w:val="clear" w:color="auto" w:fill="auto"/>
            <w:noWrap/>
            <w:vAlign w:val="bottom"/>
            <w:hideMark/>
          </w:tcPr>
          <w:p w14:paraId="58E887D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181</w:t>
            </w:r>
          </w:p>
        </w:tc>
        <w:tc>
          <w:tcPr>
            <w:tcW w:w="1018" w:type="dxa"/>
            <w:tcBorders>
              <w:top w:val="nil"/>
              <w:left w:val="nil"/>
              <w:bottom w:val="single" w:sz="4" w:space="0" w:color="auto"/>
              <w:right w:val="nil"/>
            </w:tcBorders>
            <w:shd w:val="clear" w:color="auto" w:fill="auto"/>
            <w:noWrap/>
            <w:vAlign w:val="center"/>
            <w:hideMark/>
          </w:tcPr>
          <w:p w14:paraId="6BAF8836" w14:textId="3500F35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8430BD" w:rsidRPr="001C3EC8" w14:paraId="69F5581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B0CDFF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662" w:type="dxa"/>
            <w:tcBorders>
              <w:top w:val="nil"/>
              <w:left w:val="nil"/>
              <w:bottom w:val="single" w:sz="4" w:space="0" w:color="auto"/>
              <w:right w:val="nil"/>
            </w:tcBorders>
            <w:shd w:val="clear" w:color="auto" w:fill="auto"/>
            <w:noWrap/>
            <w:vAlign w:val="bottom"/>
            <w:hideMark/>
          </w:tcPr>
          <w:p w14:paraId="27F9D9B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282</w:t>
            </w:r>
          </w:p>
        </w:tc>
        <w:tc>
          <w:tcPr>
            <w:tcW w:w="1018" w:type="dxa"/>
            <w:tcBorders>
              <w:top w:val="nil"/>
              <w:left w:val="nil"/>
              <w:bottom w:val="single" w:sz="4" w:space="0" w:color="auto"/>
              <w:right w:val="nil"/>
            </w:tcBorders>
            <w:shd w:val="clear" w:color="auto" w:fill="auto"/>
            <w:noWrap/>
            <w:vAlign w:val="center"/>
            <w:hideMark/>
          </w:tcPr>
          <w:p w14:paraId="3721C4B4" w14:textId="78F2F59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662" w:type="dxa"/>
            <w:tcBorders>
              <w:top w:val="nil"/>
              <w:left w:val="single" w:sz="4" w:space="0" w:color="auto"/>
              <w:bottom w:val="single" w:sz="4" w:space="0" w:color="auto"/>
              <w:right w:val="nil"/>
            </w:tcBorders>
            <w:shd w:val="clear" w:color="auto" w:fill="auto"/>
            <w:noWrap/>
            <w:vAlign w:val="bottom"/>
            <w:hideMark/>
          </w:tcPr>
          <w:p w14:paraId="2583FFF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169</w:t>
            </w:r>
          </w:p>
        </w:tc>
        <w:tc>
          <w:tcPr>
            <w:tcW w:w="1018" w:type="dxa"/>
            <w:tcBorders>
              <w:top w:val="nil"/>
              <w:left w:val="nil"/>
              <w:bottom w:val="single" w:sz="4" w:space="0" w:color="auto"/>
              <w:right w:val="single" w:sz="4" w:space="0" w:color="auto"/>
            </w:tcBorders>
            <w:shd w:val="clear" w:color="auto" w:fill="auto"/>
            <w:noWrap/>
            <w:vAlign w:val="center"/>
            <w:hideMark/>
          </w:tcPr>
          <w:p w14:paraId="53FF60A6" w14:textId="4FA404E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662" w:type="dxa"/>
            <w:tcBorders>
              <w:top w:val="nil"/>
              <w:left w:val="nil"/>
              <w:bottom w:val="single" w:sz="4" w:space="0" w:color="auto"/>
              <w:right w:val="nil"/>
            </w:tcBorders>
            <w:shd w:val="clear" w:color="auto" w:fill="auto"/>
            <w:noWrap/>
            <w:vAlign w:val="bottom"/>
            <w:hideMark/>
          </w:tcPr>
          <w:p w14:paraId="072BA9C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600</w:t>
            </w:r>
          </w:p>
        </w:tc>
        <w:tc>
          <w:tcPr>
            <w:tcW w:w="1018" w:type="dxa"/>
            <w:tcBorders>
              <w:top w:val="nil"/>
              <w:left w:val="nil"/>
              <w:bottom w:val="single" w:sz="4" w:space="0" w:color="auto"/>
              <w:right w:val="nil"/>
            </w:tcBorders>
            <w:shd w:val="clear" w:color="auto" w:fill="auto"/>
            <w:noWrap/>
            <w:vAlign w:val="center"/>
            <w:hideMark/>
          </w:tcPr>
          <w:p w14:paraId="311E1416" w14:textId="0173D7B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r>
      <w:tr w:rsidR="008430BD" w:rsidRPr="001C3EC8" w14:paraId="2ABA4D4C"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0440A0B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662" w:type="dxa"/>
            <w:tcBorders>
              <w:top w:val="nil"/>
              <w:left w:val="nil"/>
              <w:bottom w:val="double" w:sz="6" w:space="0" w:color="auto"/>
              <w:right w:val="nil"/>
            </w:tcBorders>
            <w:shd w:val="clear" w:color="auto" w:fill="auto"/>
            <w:noWrap/>
            <w:vAlign w:val="bottom"/>
            <w:hideMark/>
          </w:tcPr>
          <w:p w14:paraId="3E61DE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w:t>
            </w:r>
          </w:p>
        </w:tc>
        <w:tc>
          <w:tcPr>
            <w:tcW w:w="1018" w:type="dxa"/>
            <w:tcBorders>
              <w:top w:val="nil"/>
              <w:left w:val="nil"/>
              <w:bottom w:val="double" w:sz="6" w:space="0" w:color="auto"/>
              <w:right w:val="nil"/>
            </w:tcBorders>
            <w:shd w:val="clear" w:color="auto" w:fill="auto"/>
            <w:noWrap/>
            <w:vAlign w:val="center"/>
            <w:hideMark/>
          </w:tcPr>
          <w:p w14:paraId="4B8F74B4" w14:textId="2540CE39"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662" w:type="dxa"/>
            <w:tcBorders>
              <w:top w:val="nil"/>
              <w:left w:val="single" w:sz="4" w:space="0" w:color="auto"/>
              <w:bottom w:val="double" w:sz="6" w:space="0" w:color="auto"/>
              <w:right w:val="nil"/>
            </w:tcBorders>
            <w:shd w:val="clear" w:color="auto" w:fill="auto"/>
            <w:noWrap/>
            <w:vAlign w:val="bottom"/>
            <w:hideMark/>
          </w:tcPr>
          <w:p w14:paraId="597D062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w:t>
            </w:r>
          </w:p>
        </w:tc>
        <w:tc>
          <w:tcPr>
            <w:tcW w:w="1018" w:type="dxa"/>
            <w:tcBorders>
              <w:top w:val="nil"/>
              <w:left w:val="nil"/>
              <w:bottom w:val="double" w:sz="6" w:space="0" w:color="auto"/>
              <w:right w:val="single" w:sz="4" w:space="0" w:color="auto"/>
            </w:tcBorders>
            <w:shd w:val="clear" w:color="auto" w:fill="auto"/>
            <w:noWrap/>
            <w:vAlign w:val="center"/>
            <w:hideMark/>
          </w:tcPr>
          <w:p w14:paraId="2C616A5F" w14:textId="6541865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c>
          <w:tcPr>
            <w:tcW w:w="662" w:type="dxa"/>
            <w:tcBorders>
              <w:top w:val="nil"/>
              <w:left w:val="nil"/>
              <w:bottom w:val="double" w:sz="6" w:space="0" w:color="auto"/>
              <w:right w:val="nil"/>
            </w:tcBorders>
            <w:shd w:val="clear" w:color="auto" w:fill="auto"/>
            <w:noWrap/>
            <w:vAlign w:val="bottom"/>
            <w:hideMark/>
          </w:tcPr>
          <w:p w14:paraId="303A89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210</w:t>
            </w:r>
          </w:p>
        </w:tc>
        <w:tc>
          <w:tcPr>
            <w:tcW w:w="1018" w:type="dxa"/>
            <w:tcBorders>
              <w:top w:val="nil"/>
              <w:left w:val="nil"/>
              <w:bottom w:val="double" w:sz="6" w:space="0" w:color="auto"/>
              <w:right w:val="nil"/>
            </w:tcBorders>
            <w:shd w:val="clear" w:color="auto" w:fill="auto"/>
            <w:noWrap/>
            <w:vAlign w:val="center"/>
            <w:hideMark/>
          </w:tcPr>
          <w:p w14:paraId="50B7801A" w14:textId="488341E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8430BD" w:rsidRPr="001C3EC8" w14:paraId="15CF0588"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48342D0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662" w:type="dxa"/>
            <w:tcBorders>
              <w:top w:val="nil"/>
              <w:left w:val="nil"/>
              <w:bottom w:val="double" w:sz="6" w:space="0" w:color="auto"/>
              <w:right w:val="nil"/>
            </w:tcBorders>
            <w:shd w:val="clear" w:color="auto" w:fill="auto"/>
            <w:noWrap/>
            <w:vAlign w:val="bottom"/>
            <w:hideMark/>
          </w:tcPr>
          <w:p w14:paraId="14AF7BB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124</w:t>
            </w:r>
          </w:p>
        </w:tc>
        <w:tc>
          <w:tcPr>
            <w:tcW w:w="1018" w:type="dxa"/>
            <w:tcBorders>
              <w:top w:val="nil"/>
              <w:left w:val="nil"/>
              <w:bottom w:val="double" w:sz="6" w:space="0" w:color="auto"/>
              <w:right w:val="nil"/>
            </w:tcBorders>
            <w:shd w:val="clear" w:color="auto" w:fill="auto"/>
            <w:noWrap/>
            <w:vAlign w:val="center"/>
            <w:hideMark/>
          </w:tcPr>
          <w:p w14:paraId="2B2B15F2" w14:textId="3ED4796E"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662" w:type="dxa"/>
            <w:tcBorders>
              <w:top w:val="nil"/>
              <w:left w:val="single" w:sz="4" w:space="0" w:color="auto"/>
              <w:bottom w:val="double" w:sz="6" w:space="0" w:color="auto"/>
              <w:right w:val="nil"/>
            </w:tcBorders>
            <w:shd w:val="clear" w:color="auto" w:fill="auto"/>
            <w:noWrap/>
            <w:vAlign w:val="bottom"/>
            <w:hideMark/>
          </w:tcPr>
          <w:p w14:paraId="2EF5AA4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70</w:t>
            </w:r>
          </w:p>
        </w:tc>
        <w:tc>
          <w:tcPr>
            <w:tcW w:w="1018" w:type="dxa"/>
            <w:tcBorders>
              <w:top w:val="nil"/>
              <w:left w:val="nil"/>
              <w:bottom w:val="double" w:sz="6" w:space="0" w:color="auto"/>
              <w:right w:val="single" w:sz="4" w:space="0" w:color="auto"/>
            </w:tcBorders>
            <w:shd w:val="clear" w:color="auto" w:fill="auto"/>
            <w:noWrap/>
            <w:vAlign w:val="center"/>
            <w:hideMark/>
          </w:tcPr>
          <w:p w14:paraId="21930718" w14:textId="4973E251"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c>
          <w:tcPr>
            <w:tcW w:w="662" w:type="dxa"/>
            <w:tcBorders>
              <w:top w:val="nil"/>
              <w:left w:val="nil"/>
              <w:bottom w:val="double" w:sz="6" w:space="0" w:color="auto"/>
              <w:right w:val="nil"/>
            </w:tcBorders>
            <w:shd w:val="clear" w:color="auto" w:fill="auto"/>
            <w:noWrap/>
            <w:vAlign w:val="bottom"/>
            <w:hideMark/>
          </w:tcPr>
          <w:p w14:paraId="2083E34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255</w:t>
            </w:r>
          </w:p>
        </w:tc>
        <w:tc>
          <w:tcPr>
            <w:tcW w:w="1018" w:type="dxa"/>
            <w:tcBorders>
              <w:top w:val="nil"/>
              <w:left w:val="nil"/>
              <w:bottom w:val="double" w:sz="6" w:space="0" w:color="auto"/>
              <w:right w:val="nil"/>
            </w:tcBorders>
            <w:shd w:val="clear" w:color="auto" w:fill="auto"/>
            <w:noWrap/>
            <w:vAlign w:val="center"/>
            <w:hideMark/>
          </w:tcPr>
          <w:p w14:paraId="7EB23603" w14:textId="7F9268C1"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-9 </w:t>
            </w:r>
            <w:r w:rsidR="00B07E76">
              <w:rPr>
                <w:rFonts w:eastAsia="Times New Roman"/>
                <w:b/>
                <w:bCs/>
                <w:color w:val="000000" w:themeColor="text1"/>
                <w:sz w:val="20"/>
                <w:szCs w:val="20"/>
                <w:lang w:eastAsia="cs-CZ"/>
              </w:rPr>
              <w:t>%</w:t>
            </w:r>
          </w:p>
        </w:tc>
      </w:tr>
    </w:tbl>
    <w:p w14:paraId="4213F05F" w14:textId="77777777" w:rsidR="008430BD" w:rsidRPr="001C3EC8" w:rsidRDefault="008430BD" w:rsidP="008430BD">
      <w:pPr>
        <w:pStyle w:val="OdstavecASR"/>
        <w:rPr>
          <w:color w:val="000000" w:themeColor="text1"/>
        </w:rPr>
      </w:pPr>
    </w:p>
    <w:p w14:paraId="11F94EAC" w14:textId="494EA900" w:rsidR="008430BD" w:rsidRPr="001C3EC8" w:rsidRDefault="008430BD" w:rsidP="008430BD">
      <w:pPr>
        <w:pStyle w:val="OdstavecASR"/>
        <w:rPr>
          <w:color w:val="000000" w:themeColor="text1"/>
        </w:rPr>
      </w:pPr>
      <w:r w:rsidRPr="001C3EC8">
        <w:rPr>
          <w:color w:val="000000" w:themeColor="text1"/>
        </w:rPr>
        <w:t>V tabulce vidíme, že nejvyšší délky odvolacího civilního řízení vykazuje KS Brno (</w:t>
      </w:r>
      <w:r w:rsidR="0014150C" w:rsidRPr="001C3EC8">
        <w:rPr>
          <w:color w:val="000000" w:themeColor="text1"/>
        </w:rPr>
        <w:t>a</w:t>
      </w:r>
      <w:r w:rsidR="0014150C">
        <w:rPr>
          <w:color w:val="000000" w:themeColor="text1"/>
        </w:rPr>
        <w:t> </w:t>
      </w:r>
      <w:r w:rsidRPr="001C3EC8">
        <w:rPr>
          <w:color w:val="000000" w:themeColor="text1"/>
        </w:rPr>
        <w:t xml:space="preserve">to již několik let při ročních kladných </w:t>
      </w:r>
      <w:r w:rsidR="0014150C" w:rsidRPr="001C3EC8">
        <w:rPr>
          <w:color w:val="000000" w:themeColor="text1"/>
        </w:rPr>
        <w:t>i</w:t>
      </w:r>
      <w:r w:rsidR="0014150C">
        <w:rPr>
          <w:color w:val="000000" w:themeColor="text1"/>
        </w:rPr>
        <w:t> </w:t>
      </w:r>
      <w:r w:rsidRPr="001C3EC8">
        <w:rPr>
          <w:color w:val="000000" w:themeColor="text1"/>
        </w:rPr>
        <w:t xml:space="preserve">záporných výkyvech) </w:t>
      </w:r>
      <w:r w:rsidR="0014150C" w:rsidRPr="001C3EC8">
        <w:rPr>
          <w:color w:val="000000" w:themeColor="text1"/>
        </w:rPr>
        <w:t>a</w:t>
      </w:r>
      <w:r w:rsidR="0014150C">
        <w:rPr>
          <w:color w:val="000000" w:themeColor="text1"/>
        </w:rPr>
        <w:t> </w:t>
      </w:r>
      <w:r w:rsidRPr="001C3EC8">
        <w:rPr>
          <w:color w:val="000000" w:themeColor="text1"/>
        </w:rPr>
        <w:t xml:space="preserve">KS Ústí nad Labem, </w:t>
      </w:r>
      <w:r w:rsidR="0014150C" w:rsidRPr="001C3EC8">
        <w:rPr>
          <w:color w:val="000000" w:themeColor="text1"/>
        </w:rPr>
        <w:t>u</w:t>
      </w:r>
      <w:r w:rsidR="0014150C">
        <w:rPr>
          <w:color w:val="000000" w:themeColor="text1"/>
        </w:rPr>
        <w:t> </w:t>
      </w:r>
      <w:r w:rsidRPr="001C3EC8">
        <w:rPr>
          <w:color w:val="000000" w:themeColor="text1"/>
        </w:rPr>
        <w:t xml:space="preserve">nějž se několik let situace trvale zhoršovala, nejvýrazněji v roce 2018 (2016: 158 dnů, 2017: 169 dnů, 2018: 202 dnů). V letech 2019 </w:t>
      </w:r>
      <w:r w:rsidR="0014150C" w:rsidRPr="001C3EC8">
        <w:rPr>
          <w:color w:val="000000" w:themeColor="text1"/>
        </w:rPr>
        <w:t>a</w:t>
      </w:r>
      <w:r w:rsidR="0014150C">
        <w:rPr>
          <w:color w:val="000000" w:themeColor="text1"/>
        </w:rPr>
        <w:t> </w:t>
      </w:r>
      <w:r w:rsidRPr="001C3EC8">
        <w:rPr>
          <w:color w:val="000000" w:themeColor="text1"/>
        </w:rPr>
        <w:t>2020 nicméně došlo ke zlepšení.</w:t>
      </w:r>
    </w:p>
    <w:p w14:paraId="244BCE04" w14:textId="77777777" w:rsidR="008430BD" w:rsidRPr="001C3EC8" w:rsidRDefault="008430BD" w:rsidP="008430BD">
      <w:pPr>
        <w:pStyle w:val="OdstavecASR"/>
        <w:rPr>
          <w:color w:val="000000" w:themeColor="text1"/>
        </w:rPr>
      </w:pPr>
      <w:r w:rsidRPr="001C3EC8">
        <w:rPr>
          <w:color w:val="000000" w:themeColor="text1"/>
        </w:rPr>
        <w:t>Jelikož KS Brno dlouhodobě vykazuje nejvyšší délky civilního odvolacího řízení, zaměřilo se Ministerstvo spravedlnosti společně se soudem na předmětná data hlouběji. Výsledkem je zjištění, že KS Brno postupuje v určité situaci, která nastane v rámci odvolacího řízení, odlišně od ostatních krajských soudů. Tato odlišnost však spočívá převážně v administrativním postupu, nikoliv v rozhodovací činnosti.</w:t>
      </w:r>
    </w:p>
    <w:p w14:paraId="0B2B2568" w14:textId="0E311CFB" w:rsidR="008430BD" w:rsidRPr="001C3EC8" w:rsidRDefault="008430BD" w:rsidP="008430BD">
      <w:pPr>
        <w:pStyle w:val="OdstavecASR"/>
        <w:rPr>
          <w:color w:val="000000" w:themeColor="text1"/>
        </w:rPr>
      </w:pPr>
      <w:r w:rsidRPr="001C3EC8">
        <w:rPr>
          <w:color w:val="000000" w:themeColor="text1"/>
        </w:rPr>
        <w:t xml:space="preserve">Podívejme se ještě na rozložení délek odvolacích řízení pomocí histogramu. Připomínáme, že stejně jako </w:t>
      </w:r>
      <w:r w:rsidR="0014150C" w:rsidRPr="001C3EC8">
        <w:rPr>
          <w:color w:val="000000" w:themeColor="text1"/>
        </w:rPr>
        <w:t>u</w:t>
      </w:r>
      <w:r w:rsidR="0014150C">
        <w:rPr>
          <w:color w:val="000000" w:themeColor="text1"/>
        </w:rPr>
        <w:t> </w:t>
      </w:r>
      <w:r w:rsidRPr="001C3EC8">
        <w:rPr>
          <w:color w:val="000000" w:themeColor="text1"/>
        </w:rPr>
        <w:t>okresních soudů je šířka jednoho intervalu (sloupce) 25 dnů. Pro lepší přehlednost uvádíme všechny délky řízení delší než 800 dnů v jednom sloupci (na grafu nejvíce vpravo). Z histogramu pak můžeme opět vyčíst další informace o délkách řízení. Například:</w:t>
      </w:r>
    </w:p>
    <w:p w14:paraId="1146B1DE" w14:textId="7DA67CEB" w:rsidR="008430BD" w:rsidRPr="001C3EC8" w:rsidRDefault="008430BD" w:rsidP="008430BD">
      <w:pPr>
        <w:pStyle w:val="Odstavecseseznamem"/>
        <w:numPr>
          <w:ilvl w:val="0"/>
          <w:numId w:val="24"/>
        </w:numPr>
        <w:rPr>
          <w:color w:val="000000" w:themeColor="text1"/>
        </w:rPr>
      </w:pPr>
      <w:r w:rsidRPr="001C3EC8">
        <w:rPr>
          <w:color w:val="000000" w:themeColor="text1"/>
        </w:rPr>
        <w:t xml:space="preserve">Více než 37 % věcí je vyřízeno do 50 dnů, což je </w:t>
      </w:r>
      <w:r w:rsidR="00FB5CF5" w:rsidRPr="001C3EC8">
        <w:rPr>
          <w:color w:val="000000" w:themeColor="text1"/>
        </w:rPr>
        <w:t xml:space="preserve">skoro </w:t>
      </w:r>
      <w:r w:rsidRPr="001C3EC8">
        <w:rPr>
          <w:color w:val="000000" w:themeColor="text1"/>
        </w:rPr>
        <w:t>stejně jako v roce 2019.</w:t>
      </w:r>
    </w:p>
    <w:p w14:paraId="60225622" w14:textId="61D059B4" w:rsidR="008430BD" w:rsidRPr="001C3EC8" w:rsidRDefault="00955737" w:rsidP="008430BD">
      <w:pPr>
        <w:pStyle w:val="Odstavecseseznamem"/>
        <w:numPr>
          <w:ilvl w:val="0"/>
          <w:numId w:val="24"/>
        </w:numPr>
        <w:rPr>
          <w:color w:val="000000" w:themeColor="text1"/>
        </w:rPr>
      </w:pPr>
      <w:r w:rsidRPr="001C3EC8">
        <w:rPr>
          <w:color w:val="000000" w:themeColor="text1"/>
        </w:rPr>
        <w:t>Na druhém konci škály</w:t>
      </w:r>
      <w:r w:rsidR="008430BD" w:rsidRPr="001C3EC8">
        <w:rPr>
          <w:color w:val="000000" w:themeColor="text1"/>
        </w:rPr>
        <w:t xml:space="preserve"> zůstává stav také stejný jako v roce 2019: 4 % všech odvolání v civilním řízení </w:t>
      </w:r>
      <w:r w:rsidR="0014150C" w:rsidRPr="001C3EC8">
        <w:rPr>
          <w:color w:val="000000" w:themeColor="text1"/>
        </w:rPr>
        <w:t>u</w:t>
      </w:r>
      <w:r w:rsidR="0014150C">
        <w:rPr>
          <w:color w:val="000000" w:themeColor="text1"/>
        </w:rPr>
        <w:t> </w:t>
      </w:r>
      <w:r w:rsidR="008430BD" w:rsidRPr="001C3EC8">
        <w:rPr>
          <w:color w:val="000000" w:themeColor="text1"/>
        </w:rPr>
        <w:t>KS trvá déle než 800 kalendářních dnů.</w:t>
      </w:r>
    </w:p>
    <w:p w14:paraId="204F30F1" w14:textId="77777777" w:rsidR="008430BD" w:rsidRPr="001C3EC8" w:rsidRDefault="008430BD" w:rsidP="008430BD">
      <w:pPr>
        <w:pStyle w:val="Odstavecseseznamem"/>
        <w:numPr>
          <w:ilvl w:val="0"/>
          <w:numId w:val="24"/>
        </w:numPr>
        <w:rPr>
          <w:color w:val="000000" w:themeColor="text1"/>
        </w:rPr>
      </w:pPr>
      <w:r w:rsidRPr="001C3EC8">
        <w:rPr>
          <w:color w:val="000000" w:themeColor="text1"/>
        </w:rPr>
        <w:t>Relativní četnost délek řízení téměř vždy klesá s přibývající délkou řízení.</w:t>
      </w:r>
    </w:p>
    <w:p w14:paraId="1915582F" w14:textId="77777777" w:rsidR="008430BD" w:rsidRPr="001C3EC8" w:rsidRDefault="008430BD" w:rsidP="008430BD">
      <w:pPr>
        <w:pStyle w:val="OdstavecASR"/>
        <w:rPr>
          <w:color w:val="000000" w:themeColor="text1"/>
        </w:rPr>
      </w:pPr>
    </w:p>
    <w:p w14:paraId="62E4B340" w14:textId="5846385B" w:rsidR="008430BD" w:rsidRPr="001C3EC8" w:rsidRDefault="008430BD" w:rsidP="008430BD">
      <w:pPr>
        <w:pStyle w:val="Podnadpis"/>
        <w:rPr>
          <w:color w:val="000000" w:themeColor="text1"/>
        </w:rPr>
      </w:pPr>
      <w:bookmarkStart w:id="473" w:name="_Toc43841436"/>
      <w:bookmarkStart w:id="474" w:name="_Toc75952239"/>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59</w:t>
      </w:r>
      <w:r w:rsidRPr="001C3EC8">
        <w:rPr>
          <w:color w:val="000000" w:themeColor="text1"/>
        </w:rPr>
        <w:fldChar w:fldCharType="end"/>
      </w:r>
      <w:r w:rsidRPr="001C3EC8">
        <w:rPr>
          <w:color w:val="000000" w:themeColor="text1"/>
        </w:rPr>
        <w:t>: KS – distribuce délek odvolacího civilního řízení</w:t>
      </w:r>
      <w:bookmarkEnd w:id="473"/>
      <w:bookmarkEnd w:id="474"/>
    </w:p>
    <w:p w14:paraId="7ABD9695"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0E54B147" wp14:editId="62219907">
            <wp:extent cx="5114925" cy="3743325"/>
            <wp:effectExtent l="0" t="0" r="0" b="9525"/>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646C764" w14:textId="77777777" w:rsidR="008430BD" w:rsidRPr="001C3EC8" w:rsidRDefault="008430BD" w:rsidP="008430BD">
      <w:pPr>
        <w:pStyle w:val="Nadpis3"/>
        <w:numPr>
          <w:ilvl w:val="2"/>
          <w:numId w:val="1"/>
        </w:numPr>
        <w:rPr>
          <w:color w:val="000000" w:themeColor="text1"/>
        </w:rPr>
      </w:pPr>
      <w:bookmarkStart w:id="475" w:name="_Toc75952094"/>
      <w:r w:rsidRPr="001C3EC8">
        <w:rPr>
          <w:color w:val="000000" w:themeColor="text1"/>
        </w:rPr>
        <w:t>Vyřizování věcí</w:t>
      </w:r>
      <w:bookmarkEnd w:id="475"/>
    </w:p>
    <w:p w14:paraId="745C2B81" w14:textId="77777777" w:rsidR="008430BD" w:rsidRPr="001C3EC8" w:rsidRDefault="008430BD" w:rsidP="008430BD">
      <w:pPr>
        <w:pStyle w:val="OdstavecASR"/>
        <w:rPr>
          <w:color w:val="000000" w:themeColor="text1"/>
        </w:rPr>
      </w:pPr>
      <w:r w:rsidRPr="001C3EC8">
        <w:rPr>
          <w:color w:val="000000" w:themeColor="text1"/>
        </w:rPr>
        <w:t>Jak jsme uvedli již dříve, data o vyřizování věcí zahrnují více agend než údaje o délce řízení.</w:t>
      </w:r>
    </w:p>
    <w:p w14:paraId="0EFDEE73" w14:textId="043D1A96" w:rsidR="008430BD" w:rsidRPr="001C3EC8" w:rsidRDefault="008430BD" w:rsidP="008430BD">
      <w:pPr>
        <w:pStyle w:val="Podnadpis"/>
        <w:rPr>
          <w:color w:val="000000" w:themeColor="text1"/>
        </w:rPr>
      </w:pPr>
      <w:bookmarkStart w:id="476" w:name="_Toc515871387"/>
      <w:bookmarkStart w:id="477" w:name="_Toc11135118"/>
      <w:bookmarkStart w:id="478" w:name="_Toc43841437"/>
      <w:bookmarkStart w:id="479" w:name="_Toc75952240"/>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60</w:t>
      </w:r>
      <w:r w:rsidRPr="001C3EC8">
        <w:rPr>
          <w:color w:val="000000" w:themeColor="text1"/>
        </w:rPr>
        <w:fldChar w:fldCharType="end"/>
      </w:r>
      <w:r w:rsidRPr="001C3EC8">
        <w:rPr>
          <w:color w:val="000000" w:themeColor="text1"/>
        </w:rPr>
        <w:t>: KS – vyřizování odvolacích civilních věcí v letech 2008–20</w:t>
      </w:r>
      <w:bookmarkEnd w:id="476"/>
      <w:bookmarkEnd w:id="477"/>
      <w:bookmarkEnd w:id="478"/>
      <w:r w:rsidRPr="001C3EC8">
        <w:rPr>
          <w:color w:val="000000" w:themeColor="text1"/>
        </w:rPr>
        <w:t>20</w:t>
      </w:r>
      <w:bookmarkEnd w:id="479"/>
    </w:p>
    <w:p w14:paraId="3EB16B8C"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3DF89023" wp14:editId="03BE6C74">
            <wp:extent cx="5114925" cy="3743325"/>
            <wp:effectExtent l="0" t="0" r="0" b="9525"/>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777B56C" w14:textId="77777777" w:rsidR="008430BD" w:rsidRPr="001C3EC8" w:rsidRDefault="008430BD" w:rsidP="008430BD">
      <w:pPr>
        <w:rPr>
          <w:color w:val="000000" w:themeColor="text1"/>
          <w:highlight w:val="yellow"/>
        </w:rPr>
      </w:pPr>
    </w:p>
    <w:p w14:paraId="7998FEB8" w14:textId="46D136B4" w:rsidR="00B07E76" w:rsidRDefault="008430BD" w:rsidP="008430BD">
      <w:pPr>
        <w:pStyle w:val="OdstavecASR"/>
        <w:rPr>
          <w:color w:val="000000" w:themeColor="text1"/>
        </w:rPr>
      </w:pPr>
      <w:r w:rsidRPr="001C3EC8">
        <w:rPr>
          <w:color w:val="000000" w:themeColor="text1"/>
        </w:rPr>
        <w:lastRenderedPageBreak/>
        <w:t xml:space="preserve">V časové řadě registrujeme nárůst v počtu napadlých a vyřízených věcí v roce 2012. Následoval postupný pokles na hodnoty před rokem 2012 </w:t>
      </w:r>
      <w:r w:rsidR="0014150C" w:rsidRPr="001C3EC8">
        <w:rPr>
          <w:color w:val="000000" w:themeColor="text1"/>
        </w:rPr>
        <w:t>a</w:t>
      </w:r>
      <w:r w:rsidR="0014150C">
        <w:rPr>
          <w:color w:val="000000" w:themeColor="text1"/>
        </w:rPr>
        <w:t> </w:t>
      </w:r>
      <w:r w:rsidRPr="001C3EC8">
        <w:rPr>
          <w:color w:val="000000" w:themeColor="text1"/>
        </w:rPr>
        <w:t xml:space="preserve">ještě níže. V roce 2019 došlo k poklesu na nejnižší hodnoty za sledované období </w:t>
      </w:r>
      <w:r w:rsidR="0014150C" w:rsidRPr="001C3EC8">
        <w:rPr>
          <w:color w:val="000000" w:themeColor="text1"/>
        </w:rPr>
        <w:t>a</w:t>
      </w:r>
      <w:r w:rsidR="0014150C">
        <w:rPr>
          <w:color w:val="000000" w:themeColor="text1"/>
        </w:rPr>
        <w:t> </w:t>
      </w:r>
      <w:r w:rsidRPr="001C3EC8">
        <w:rPr>
          <w:color w:val="000000" w:themeColor="text1"/>
        </w:rPr>
        <w:t>v roce 2020 pokles pokračoval. Logicky se nabízí hypotéza, že vývoj nápadu v </w:t>
      </w:r>
      <w:proofErr w:type="gramStart"/>
      <w:r w:rsidRPr="001C3EC8">
        <w:rPr>
          <w:color w:val="000000" w:themeColor="text1"/>
        </w:rPr>
        <w:t>agendě</w:t>
      </w:r>
      <w:proofErr w:type="gramEnd"/>
      <w:r w:rsidRPr="001C3EC8">
        <w:rPr>
          <w:color w:val="000000" w:themeColor="text1"/>
        </w:rPr>
        <w:t xml:space="preserve"> Co by měl za předpokladu konstantní míry odvolání do značné míry kopírovat vývoj prvostupňových vyřízených civilních věcí u okresních soudů. Tento předpoklad ale pro data v této zprávě často neplatí. Lze to vysvětlit již dříve popsanou skutečností, že do </w:t>
      </w:r>
      <w:proofErr w:type="gramStart"/>
      <w:r w:rsidRPr="001C3EC8">
        <w:rPr>
          <w:color w:val="000000" w:themeColor="text1"/>
        </w:rPr>
        <w:t>rejstříku</w:t>
      </w:r>
      <w:proofErr w:type="gramEnd"/>
      <w:r w:rsidRPr="001C3EC8">
        <w:rPr>
          <w:color w:val="000000" w:themeColor="text1"/>
        </w:rPr>
        <w:t> Co nespadají jen odvolání v rejstříku C (který zkoumáme v kapitole </w:t>
      </w:r>
      <w:r w:rsidRPr="001C3EC8">
        <w:rPr>
          <w:color w:val="000000" w:themeColor="text1"/>
        </w:rPr>
        <w:fldChar w:fldCharType="begin"/>
      </w:r>
      <w:r w:rsidRPr="001C3EC8">
        <w:rPr>
          <w:color w:val="000000" w:themeColor="text1"/>
        </w:rPr>
        <w:instrText xml:space="preserve"> REF _Ref9425277 \r \h  \* MERGEFORMAT </w:instrText>
      </w:r>
      <w:r w:rsidRPr="001C3EC8">
        <w:rPr>
          <w:color w:val="000000" w:themeColor="text1"/>
        </w:rPr>
      </w:r>
      <w:r w:rsidRPr="001C3EC8">
        <w:rPr>
          <w:color w:val="000000" w:themeColor="text1"/>
        </w:rPr>
        <w:fldChar w:fldCharType="separate"/>
      </w:r>
      <w:r w:rsidR="009C575D">
        <w:rPr>
          <w:color w:val="000000" w:themeColor="text1"/>
        </w:rPr>
        <w:t>2.2</w:t>
      </w:r>
      <w:r w:rsidRPr="001C3EC8">
        <w:rPr>
          <w:color w:val="000000" w:themeColor="text1"/>
        </w:rPr>
        <w:fldChar w:fldCharType="end"/>
      </w:r>
      <w:r w:rsidRPr="001C3EC8">
        <w:rPr>
          <w:color w:val="000000" w:themeColor="text1"/>
        </w:rPr>
        <w:t>), ale i odvolání ve všech ostatních věcech, které jsou vyřizovány na civilním úseku okresních soudů. Pokles v roce 2020 se zdá být pokračováním klesajícího trendu.</w:t>
      </w:r>
    </w:p>
    <w:p w14:paraId="3C5C4EE7" w14:textId="359B751B" w:rsidR="008430BD" w:rsidRPr="001C3EC8" w:rsidRDefault="008430BD" w:rsidP="008430BD">
      <w:pPr>
        <w:pStyle w:val="OdstavecASR"/>
        <w:rPr>
          <w:color w:val="000000" w:themeColor="text1"/>
        </w:rPr>
      </w:pPr>
      <w:r w:rsidRPr="001C3EC8">
        <w:rPr>
          <w:color w:val="000000" w:themeColor="text1"/>
        </w:rPr>
        <w:t xml:space="preserve">Důležitým zjištěním je především to, že počet vyřízených věcí je v posledních letech vždy mírně vyšší než počet věcí příchozích. Počet nevyřízených věcí tedy pomalu, ale jistě klesá. Pokles v roce 2019 z 10 253 věcí na 8 694 věcí, tedy </w:t>
      </w:r>
      <w:r w:rsidR="0014150C" w:rsidRPr="001C3EC8">
        <w:rPr>
          <w:color w:val="000000" w:themeColor="text1"/>
        </w:rPr>
        <w:t>o</w:t>
      </w:r>
      <w:r w:rsidR="0014150C">
        <w:rPr>
          <w:color w:val="000000" w:themeColor="text1"/>
        </w:rPr>
        <w:t> </w:t>
      </w:r>
      <w:r w:rsidRPr="001C3EC8">
        <w:rPr>
          <w:color w:val="000000" w:themeColor="text1"/>
        </w:rPr>
        <w:t xml:space="preserve">15 %, lze dokonce označit za výrazný. V roce 2020 došlo </w:t>
      </w:r>
      <w:r w:rsidR="0014150C" w:rsidRPr="001C3EC8">
        <w:rPr>
          <w:color w:val="000000" w:themeColor="text1"/>
        </w:rPr>
        <w:t>i</w:t>
      </w:r>
      <w:r w:rsidR="0014150C">
        <w:rPr>
          <w:color w:val="000000" w:themeColor="text1"/>
        </w:rPr>
        <w:t> </w:t>
      </w:r>
      <w:r w:rsidRPr="001C3EC8">
        <w:rPr>
          <w:color w:val="000000" w:themeColor="text1"/>
        </w:rPr>
        <w:t>přes pokles v nápadu k mírnému růstu v po</w:t>
      </w:r>
      <w:r w:rsidR="00AA1DD7" w:rsidRPr="001C3EC8">
        <w:rPr>
          <w:color w:val="000000" w:themeColor="text1"/>
        </w:rPr>
        <w:t>č</w:t>
      </w:r>
      <w:r w:rsidRPr="001C3EC8">
        <w:rPr>
          <w:color w:val="000000" w:themeColor="text1"/>
        </w:rPr>
        <w:t xml:space="preserve">tu nevyřízených věcí (poprvé od roku 2012). To teoreticky může plynout z vlivu pandemie </w:t>
      </w:r>
      <w:r w:rsidR="000C3B1E">
        <w:rPr>
          <w:color w:val="000000" w:themeColor="text1"/>
        </w:rPr>
        <w:t>COVID</w:t>
      </w:r>
      <w:r w:rsidR="000C3B1E">
        <w:rPr>
          <w:color w:val="000000" w:themeColor="text1"/>
        </w:rPr>
        <w:noBreakHyphen/>
        <w:t>19</w:t>
      </w:r>
      <w:r w:rsidRPr="001C3EC8">
        <w:rPr>
          <w:color w:val="000000" w:themeColor="text1"/>
        </w:rPr>
        <w:t xml:space="preserve"> </w:t>
      </w:r>
      <w:r w:rsidR="0014150C" w:rsidRPr="001C3EC8">
        <w:rPr>
          <w:color w:val="000000" w:themeColor="text1"/>
        </w:rPr>
        <w:t>a</w:t>
      </w:r>
      <w:r w:rsidR="0014150C">
        <w:rPr>
          <w:color w:val="000000" w:themeColor="text1"/>
        </w:rPr>
        <w:t> </w:t>
      </w:r>
      <w:r w:rsidRPr="001C3EC8">
        <w:rPr>
          <w:color w:val="000000" w:themeColor="text1"/>
        </w:rPr>
        <w:t xml:space="preserve">vládních opatření na činnost soudů. Nicméně tomu mírně odporuje fakt, že </w:t>
      </w:r>
      <w:r w:rsidR="0014150C" w:rsidRPr="001C3EC8">
        <w:rPr>
          <w:color w:val="000000" w:themeColor="text1"/>
        </w:rPr>
        <w:t>4</w:t>
      </w:r>
      <w:r w:rsidR="0014150C">
        <w:rPr>
          <w:color w:val="000000" w:themeColor="text1"/>
        </w:rPr>
        <w:t> </w:t>
      </w:r>
      <w:r w:rsidRPr="001C3EC8">
        <w:rPr>
          <w:color w:val="000000" w:themeColor="text1"/>
        </w:rPr>
        <w:t xml:space="preserve">soudy počet nevyřízených věcí snížily </w:t>
      </w:r>
      <w:r w:rsidR="0014150C" w:rsidRPr="001C3EC8">
        <w:rPr>
          <w:color w:val="000000" w:themeColor="text1"/>
        </w:rPr>
        <w:t>a</w:t>
      </w:r>
      <w:r w:rsidR="0014150C">
        <w:rPr>
          <w:color w:val="000000" w:themeColor="text1"/>
        </w:rPr>
        <w:t> </w:t>
      </w:r>
      <w:r w:rsidRPr="001C3EC8">
        <w:rPr>
          <w:color w:val="000000" w:themeColor="text1"/>
        </w:rPr>
        <w:t xml:space="preserve">4 zvýšily. Především nárůst </w:t>
      </w:r>
      <w:r w:rsidR="0014150C" w:rsidRPr="001C3EC8">
        <w:rPr>
          <w:color w:val="000000" w:themeColor="text1"/>
        </w:rPr>
        <w:t>u</w:t>
      </w:r>
      <w:r w:rsidR="0014150C">
        <w:rPr>
          <w:color w:val="000000" w:themeColor="text1"/>
        </w:rPr>
        <w:t> </w:t>
      </w:r>
      <w:r w:rsidRPr="001C3EC8">
        <w:rPr>
          <w:color w:val="000000" w:themeColor="text1"/>
        </w:rPr>
        <w:t xml:space="preserve">KS v Ostravě </w:t>
      </w:r>
      <w:r w:rsidR="0014150C" w:rsidRPr="001C3EC8">
        <w:rPr>
          <w:color w:val="000000" w:themeColor="text1"/>
        </w:rPr>
        <w:t>o</w:t>
      </w:r>
      <w:r w:rsidR="0014150C">
        <w:rPr>
          <w:color w:val="000000" w:themeColor="text1"/>
        </w:rPr>
        <w:t> </w:t>
      </w:r>
      <w:r w:rsidRPr="001C3EC8">
        <w:rPr>
          <w:color w:val="000000" w:themeColor="text1"/>
        </w:rPr>
        <w:t>36</w:t>
      </w:r>
      <w:r w:rsidR="0014150C">
        <w:rPr>
          <w:color w:val="000000" w:themeColor="text1"/>
        </w:rPr>
        <w:t> </w:t>
      </w:r>
      <w:r w:rsidRPr="001C3EC8">
        <w:rPr>
          <w:color w:val="000000" w:themeColor="text1"/>
        </w:rPr>
        <w:t xml:space="preserve">% </w:t>
      </w:r>
      <w:r w:rsidR="00230055" w:rsidRPr="001C3EC8">
        <w:rPr>
          <w:color w:val="000000" w:themeColor="text1"/>
        </w:rPr>
        <w:t>je citelný</w:t>
      </w:r>
      <w:r w:rsidRPr="001C3EC8">
        <w:rPr>
          <w:color w:val="000000" w:themeColor="text1"/>
        </w:rPr>
        <w:t>.</w:t>
      </w:r>
    </w:p>
    <w:p w14:paraId="3C4BCAC3" w14:textId="7C066831" w:rsidR="008430BD" w:rsidRPr="001C3EC8" w:rsidRDefault="008430BD" w:rsidP="008430BD">
      <w:pPr>
        <w:pStyle w:val="Podnadpis"/>
        <w:rPr>
          <w:color w:val="000000" w:themeColor="text1"/>
        </w:rPr>
      </w:pPr>
      <w:bookmarkStart w:id="480" w:name="_Toc515871476"/>
      <w:bookmarkStart w:id="481" w:name="_Toc11133244"/>
      <w:bookmarkStart w:id="482" w:name="_Toc43931222"/>
      <w:bookmarkStart w:id="483" w:name="_Toc75952355"/>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52</w:t>
      </w:r>
      <w:r w:rsidRPr="001C3EC8">
        <w:rPr>
          <w:color w:val="000000" w:themeColor="text1"/>
        </w:rPr>
        <w:fldChar w:fldCharType="end"/>
      </w:r>
      <w:r w:rsidRPr="001C3EC8">
        <w:rPr>
          <w:color w:val="000000" w:themeColor="text1"/>
        </w:rPr>
        <w:t>: KS – vyřizování odvolacích civilních věcí dle soudů</w:t>
      </w:r>
      <w:bookmarkEnd w:id="480"/>
      <w:bookmarkEnd w:id="481"/>
      <w:bookmarkEnd w:id="482"/>
      <w:bookmarkEnd w:id="483"/>
    </w:p>
    <w:tbl>
      <w:tblPr>
        <w:tblW w:w="9260" w:type="dxa"/>
        <w:tblCellMar>
          <w:left w:w="70" w:type="dxa"/>
          <w:right w:w="70" w:type="dxa"/>
        </w:tblCellMar>
        <w:tblLook w:val="04A0" w:firstRow="1" w:lastRow="0" w:firstColumn="1" w:lastColumn="0" w:noHBand="0" w:noVBand="1"/>
      </w:tblPr>
      <w:tblGrid>
        <w:gridCol w:w="2020"/>
        <w:gridCol w:w="1095"/>
        <w:gridCol w:w="829"/>
        <w:gridCol w:w="1094"/>
        <w:gridCol w:w="829"/>
        <w:gridCol w:w="905"/>
        <w:gridCol w:w="948"/>
        <w:gridCol w:w="1540"/>
      </w:tblGrid>
      <w:tr w:rsidR="008430BD" w:rsidRPr="001C3EC8" w14:paraId="1A1EB153"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2AE6252" w14:textId="443D6E94"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36FEC89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6761484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4533ED29"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2685755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924" w:type="dxa"/>
            <w:gridSpan w:val="2"/>
            <w:tcBorders>
              <w:top w:val="nil"/>
              <w:left w:val="nil"/>
              <w:bottom w:val="double" w:sz="6" w:space="0" w:color="auto"/>
              <w:right w:val="nil"/>
            </w:tcBorders>
            <w:shd w:val="clear" w:color="auto" w:fill="auto"/>
            <w:noWrap/>
            <w:vAlign w:val="center"/>
            <w:hideMark/>
          </w:tcPr>
          <w:p w14:paraId="68F3BA0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2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933E76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853" w:type="dxa"/>
            <w:gridSpan w:val="2"/>
            <w:tcBorders>
              <w:top w:val="nil"/>
              <w:left w:val="nil"/>
              <w:bottom w:val="double" w:sz="6" w:space="0" w:color="auto"/>
              <w:right w:val="single" w:sz="4" w:space="0" w:color="000000"/>
            </w:tcBorders>
            <w:shd w:val="clear" w:color="auto" w:fill="auto"/>
            <w:noWrap/>
            <w:vAlign w:val="center"/>
            <w:hideMark/>
          </w:tcPr>
          <w:p w14:paraId="0740F38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61CB0962"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00B554CD"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41E21B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95" w:type="dxa"/>
            <w:tcBorders>
              <w:top w:val="single" w:sz="4" w:space="0" w:color="auto"/>
              <w:left w:val="nil"/>
              <w:bottom w:val="single" w:sz="4" w:space="0" w:color="auto"/>
              <w:right w:val="nil"/>
            </w:tcBorders>
            <w:shd w:val="clear" w:color="auto" w:fill="auto"/>
            <w:noWrap/>
            <w:vAlign w:val="bottom"/>
            <w:hideMark/>
          </w:tcPr>
          <w:p w14:paraId="42FFA7C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12 695</w:t>
            </w:r>
          </w:p>
        </w:tc>
        <w:tc>
          <w:tcPr>
            <w:tcW w:w="829" w:type="dxa"/>
            <w:tcBorders>
              <w:top w:val="single" w:sz="4" w:space="0" w:color="auto"/>
              <w:left w:val="nil"/>
              <w:bottom w:val="single" w:sz="4" w:space="0" w:color="auto"/>
              <w:right w:val="nil"/>
            </w:tcBorders>
            <w:shd w:val="clear" w:color="auto" w:fill="auto"/>
            <w:noWrap/>
            <w:vAlign w:val="center"/>
            <w:hideMark/>
          </w:tcPr>
          <w:p w14:paraId="64D3FF04" w14:textId="07E6FDE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094" w:type="dxa"/>
            <w:tcBorders>
              <w:top w:val="single" w:sz="4" w:space="0" w:color="auto"/>
              <w:left w:val="single" w:sz="4" w:space="0" w:color="auto"/>
              <w:bottom w:val="single" w:sz="4" w:space="0" w:color="auto"/>
              <w:right w:val="nil"/>
            </w:tcBorders>
            <w:shd w:val="clear" w:color="auto" w:fill="auto"/>
            <w:noWrap/>
            <w:vAlign w:val="bottom"/>
            <w:hideMark/>
          </w:tcPr>
          <w:p w14:paraId="33EB1D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12 636</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14:paraId="5DC8A126" w14:textId="055D797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905" w:type="dxa"/>
            <w:tcBorders>
              <w:top w:val="single" w:sz="4" w:space="0" w:color="auto"/>
              <w:left w:val="nil"/>
              <w:bottom w:val="single" w:sz="4" w:space="0" w:color="auto"/>
              <w:right w:val="nil"/>
            </w:tcBorders>
            <w:shd w:val="clear" w:color="auto" w:fill="auto"/>
            <w:noWrap/>
            <w:vAlign w:val="bottom"/>
            <w:hideMark/>
          </w:tcPr>
          <w:p w14:paraId="74DB10C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1 672</w:t>
            </w:r>
          </w:p>
        </w:tc>
        <w:tc>
          <w:tcPr>
            <w:tcW w:w="948" w:type="dxa"/>
            <w:tcBorders>
              <w:top w:val="single" w:sz="4" w:space="0" w:color="auto"/>
              <w:left w:val="nil"/>
              <w:bottom w:val="single" w:sz="4" w:space="0" w:color="auto"/>
              <w:right w:val="single" w:sz="4" w:space="0" w:color="auto"/>
            </w:tcBorders>
            <w:shd w:val="clear" w:color="auto" w:fill="auto"/>
            <w:noWrap/>
            <w:vAlign w:val="center"/>
            <w:hideMark/>
          </w:tcPr>
          <w:p w14:paraId="1320C585" w14:textId="23BFFDE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B463D94" w14:textId="465F6159"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99,5 %</w:t>
            </w:r>
          </w:p>
        </w:tc>
      </w:tr>
      <w:tr w:rsidR="008430BD" w:rsidRPr="001C3EC8" w14:paraId="0414AB5E"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4782DDA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95" w:type="dxa"/>
            <w:tcBorders>
              <w:top w:val="nil"/>
              <w:left w:val="nil"/>
              <w:bottom w:val="single" w:sz="4" w:space="0" w:color="auto"/>
              <w:right w:val="nil"/>
            </w:tcBorders>
            <w:shd w:val="clear" w:color="auto" w:fill="auto"/>
            <w:noWrap/>
            <w:vAlign w:val="bottom"/>
            <w:hideMark/>
          </w:tcPr>
          <w:p w14:paraId="027EAE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5 279</w:t>
            </w:r>
          </w:p>
        </w:tc>
        <w:tc>
          <w:tcPr>
            <w:tcW w:w="829" w:type="dxa"/>
            <w:tcBorders>
              <w:top w:val="nil"/>
              <w:left w:val="nil"/>
              <w:bottom w:val="single" w:sz="4" w:space="0" w:color="auto"/>
              <w:right w:val="nil"/>
            </w:tcBorders>
            <w:shd w:val="clear" w:color="auto" w:fill="auto"/>
            <w:noWrap/>
            <w:vAlign w:val="center"/>
            <w:hideMark/>
          </w:tcPr>
          <w:p w14:paraId="50F977CF" w14:textId="4654C0E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1094" w:type="dxa"/>
            <w:tcBorders>
              <w:top w:val="nil"/>
              <w:left w:val="single" w:sz="4" w:space="0" w:color="auto"/>
              <w:bottom w:val="single" w:sz="4" w:space="0" w:color="auto"/>
              <w:right w:val="nil"/>
            </w:tcBorders>
            <w:shd w:val="clear" w:color="auto" w:fill="auto"/>
            <w:noWrap/>
            <w:vAlign w:val="bottom"/>
            <w:hideMark/>
          </w:tcPr>
          <w:p w14:paraId="0D761E1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5 195</w:t>
            </w:r>
          </w:p>
        </w:tc>
        <w:tc>
          <w:tcPr>
            <w:tcW w:w="829" w:type="dxa"/>
            <w:tcBorders>
              <w:top w:val="nil"/>
              <w:left w:val="nil"/>
              <w:bottom w:val="single" w:sz="4" w:space="0" w:color="auto"/>
              <w:right w:val="single" w:sz="4" w:space="0" w:color="auto"/>
            </w:tcBorders>
            <w:shd w:val="clear" w:color="auto" w:fill="auto"/>
            <w:noWrap/>
            <w:vAlign w:val="center"/>
            <w:hideMark/>
          </w:tcPr>
          <w:p w14:paraId="076D1354" w14:textId="22B8D73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905" w:type="dxa"/>
            <w:tcBorders>
              <w:top w:val="nil"/>
              <w:left w:val="nil"/>
              <w:bottom w:val="single" w:sz="4" w:space="0" w:color="auto"/>
              <w:right w:val="nil"/>
            </w:tcBorders>
            <w:shd w:val="clear" w:color="auto" w:fill="auto"/>
            <w:noWrap/>
            <w:vAlign w:val="bottom"/>
            <w:hideMark/>
          </w:tcPr>
          <w:p w14:paraId="7E8B2F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662</w:t>
            </w:r>
          </w:p>
        </w:tc>
        <w:tc>
          <w:tcPr>
            <w:tcW w:w="948" w:type="dxa"/>
            <w:tcBorders>
              <w:top w:val="nil"/>
              <w:left w:val="nil"/>
              <w:bottom w:val="single" w:sz="4" w:space="0" w:color="auto"/>
              <w:right w:val="single" w:sz="4" w:space="0" w:color="auto"/>
            </w:tcBorders>
            <w:shd w:val="clear" w:color="auto" w:fill="auto"/>
            <w:noWrap/>
            <w:vAlign w:val="center"/>
            <w:hideMark/>
          </w:tcPr>
          <w:p w14:paraId="3C9B752E" w14:textId="2FDD3BD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32EB331D" w14:textId="4DEAEFD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98,4 %</w:t>
            </w:r>
          </w:p>
        </w:tc>
      </w:tr>
      <w:tr w:rsidR="008430BD" w:rsidRPr="001C3EC8" w14:paraId="76E695EC"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7FEE1B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95" w:type="dxa"/>
            <w:tcBorders>
              <w:top w:val="nil"/>
              <w:left w:val="nil"/>
              <w:bottom w:val="single" w:sz="4" w:space="0" w:color="auto"/>
              <w:right w:val="nil"/>
            </w:tcBorders>
            <w:shd w:val="clear" w:color="auto" w:fill="auto"/>
            <w:noWrap/>
            <w:vAlign w:val="bottom"/>
            <w:hideMark/>
          </w:tcPr>
          <w:p w14:paraId="78269FB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1 947</w:t>
            </w:r>
          </w:p>
        </w:tc>
        <w:tc>
          <w:tcPr>
            <w:tcW w:w="829" w:type="dxa"/>
            <w:tcBorders>
              <w:top w:val="nil"/>
              <w:left w:val="nil"/>
              <w:bottom w:val="single" w:sz="4" w:space="0" w:color="auto"/>
              <w:right w:val="nil"/>
            </w:tcBorders>
            <w:shd w:val="clear" w:color="auto" w:fill="auto"/>
            <w:noWrap/>
            <w:vAlign w:val="center"/>
            <w:hideMark/>
          </w:tcPr>
          <w:p w14:paraId="7CC9448E" w14:textId="3FF318F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094" w:type="dxa"/>
            <w:tcBorders>
              <w:top w:val="nil"/>
              <w:left w:val="single" w:sz="4" w:space="0" w:color="auto"/>
              <w:bottom w:val="single" w:sz="4" w:space="0" w:color="auto"/>
              <w:right w:val="nil"/>
            </w:tcBorders>
            <w:shd w:val="clear" w:color="auto" w:fill="auto"/>
            <w:noWrap/>
            <w:vAlign w:val="bottom"/>
            <w:hideMark/>
          </w:tcPr>
          <w:p w14:paraId="5057F42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1 902</w:t>
            </w:r>
          </w:p>
        </w:tc>
        <w:tc>
          <w:tcPr>
            <w:tcW w:w="829" w:type="dxa"/>
            <w:tcBorders>
              <w:top w:val="nil"/>
              <w:left w:val="nil"/>
              <w:bottom w:val="single" w:sz="4" w:space="0" w:color="auto"/>
              <w:right w:val="single" w:sz="4" w:space="0" w:color="auto"/>
            </w:tcBorders>
            <w:shd w:val="clear" w:color="auto" w:fill="auto"/>
            <w:noWrap/>
            <w:vAlign w:val="center"/>
            <w:hideMark/>
          </w:tcPr>
          <w:p w14:paraId="593E1352" w14:textId="77C0E96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905" w:type="dxa"/>
            <w:tcBorders>
              <w:top w:val="nil"/>
              <w:left w:val="nil"/>
              <w:bottom w:val="single" w:sz="4" w:space="0" w:color="auto"/>
              <w:right w:val="nil"/>
            </w:tcBorders>
            <w:shd w:val="clear" w:color="auto" w:fill="auto"/>
            <w:noWrap/>
            <w:vAlign w:val="bottom"/>
            <w:hideMark/>
          </w:tcPr>
          <w:p w14:paraId="3D780F8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276</w:t>
            </w:r>
          </w:p>
        </w:tc>
        <w:tc>
          <w:tcPr>
            <w:tcW w:w="948" w:type="dxa"/>
            <w:tcBorders>
              <w:top w:val="nil"/>
              <w:left w:val="nil"/>
              <w:bottom w:val="single" w:sz="4" w:space="0" w:color="auto"/>
              <w:right w:val="single" w:sz="4" w:space="0" w:color="auto"/>
            </w:tcBorders>
            <w:shd w:val="clear" w:color="auto" w:fill="auto"/>
            <w:noWrap/>
            <w:vAlign w:val="center"/>
            <w:hideMark/>
          </w:tcPr>
          <w:p w14:paraId="41F76BC1" w14:textId="24A6553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BEDA52D" w14:textId="55BE83D3"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97,7 %</w:t>
            </w:r>
          </w:p>
        </w:tc>
      </w:tr>
      <w:tr w:rsidR="008430BD" w:rsidRPr="001C3EC8" w14:paraId="672999EE"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712722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95" w:type="dxa"/>
            <w:tcBorders>
              <w:top w:val="nil"/>
              <w:left w:val="nil"/>
              <w:bottom w:val="single" w:sz="4" w:space="0" w:color="auto"/>
              <w:right w:val="nil"/>
            </w:tcBorders>
            <w:shd w:val="clear" w:color="auto" w:fill="auto"/>
            <w:noWrap/>
            <w:vAlign w:val="bottom"/>
            <w:hideMark/>
          </w:tcPr>
          <w:p w14:paraId="69B104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3 160</w:t>
            </w:r>
          </w:p>
        </w:tc>
        <w:tc>
          <w:tcPr>
            <w:tcW w:w="829" w:type="dxa"/>
            <w:tcBorders>
              <w:top w:val="nil"/>
              <w:left w:val="nil"/>
              <w:bottom w:val="single" w:sz="4" w:space="0" w:color="auto"/>
              <w:right w:val="nil"/>
            </w:tcBorders>
            <w:shd w:val="clear" w:color="auto" w:fill="auto"/>
            <w:noWrap/>
            <w:vAlign w:val="center"/>
            <w:hideMark/>
          </w:tcPr>
          <w:p w14:paraId="4718AC02" w14:textId="0079C73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094" w:type="dxa"/>
            <w:tcBorders>
              <w:top w:val="nil"/>
              <w:left w:val="single" w:sz="4" w:space="0" w:color="auto"/>
              <w:bottom w:val="single" w:sz="4" w:space="0" w:color="auto"/>
              <w:right w:val="nil"/>
            </w:tcBorders>
            <w:shd w:val="clear" w:color="auto" w:fill="auto"/>
            <w:noWrap/>
            <w:vAlign w:val="bottom"/>
            <w:hideMark/>
          </w:tcPr>
          <w:p w14:paraId="188BA39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3 187</w:t>
            </w:r>
          </w:p>
        </w:tc>
        <w:tc>
          <w:tcPr>
            <w:tcW w:w="829" w:type="dxa"/>
            <w:tcBorders>
              <w:top w:val="nil"/>
              <w:left w:val="nil"/>
              <w:bottom w:val="single" w:sz="4" w:space="0" w:color="auto"/>
              <w:right w:val="single" w:sz="4" w:space="0" w:color="auto"/>
            </w:tcBorders>
            <w:shd w:val="clear" w:color="auto" w:fill="auto"/>
            <w:noWrap/>
            <w:vAlign w:val="center"/>
            <w:hideMark/>
          </w:tcPr>
          <w:p w14:paraId="4010A48A" w14:textId="24AD627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905" w:type="dxa"/>
            <w:tcBorders>
              <w:top w:val="nil"/>
              <w:left w:val="nil"/>
              <w:bottom w:val="single" w:sz="4" w:space="0" w:color="auto"/>
              <w:right w:val="nil"/>
            </w:tcBorders>
            <w:shd w:val="clear" w:color="auto" w:fill="auto"/>
            <w:noWrap/>
            <w:vAlign w:val="bottom"/>
            <w:hideMark/>
          </w:tcPr>
          <w:p w14:paraId="5985083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351</w:t>
            </w:r>
          </w:p>
        </w:tc>
        <w:tc>
          <w:tcPr>
            <w:tcW w:w="948" w:type="dxa"/>
            <w:tcBorders>
              <w:top w:val="nil"/>
              <w:left w:val="nil"/>
              <w:bottom w:val="single" w:sz="4" w:space="0" w:color="auto"/>
              <w:right w:val="single" w:sz="4" w:space="0" w:color="auto"/>
            </w:tcBorders>
            <w:shd w:val="clear" w:color="auto" w:fill="auto"/>
            <w:noWrap/>
            <w:vAlign w:val="center"/>
            <w:hideMark/>
          </w:tcPr>
          <w:p w14:paraId="5F981345" w14:textId="0AF6C35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828253E" w14:textId="2FF1D17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100,9 %</w:t>
            </w:r>
          </w:p>
        </w:tc>
      </w:tr>
      <w:tr w:rsidR="008430BD" w:rsidRPr="001C3EC8" w14:paraId="6F3A3415"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42033A9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95" w:type="dxa"/>
            <w:tcBorders>
              <w:top w:val="nil"/>
              <w:left w:val="nil"/>
              <w:bottom w:val="single" w:sz="4" w:space="0" w:color="auto"/>
              <w:right w:val="nil"/>
            </w:tcBorders>
            <w:shd w:val="clear" w:color="auto" w:fill="auto"/>
            <w:noWrap/>
            <w:vAlign w:val="bottom"/>
            <w:hideMark/>
          </w:tcPr>
          <w:p w14:paraId="10EAB7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4 356</w:t>
            </w:r>
          </w:p>
        </w:tc>
        <w:tc>
          <w:tcPr>
            <w:tcW w:w="829" w:type="dxa"/>
            <w:tcBorders>
              <w:top w:val="nil"/>
              <w:left w:val="nil"/>
              <w:bottom w:val="single" w:sz="4" w:space="0" w:color="auto"/>
              <w:right w:val="nil"/>
            </w:tcBorders>
            <w:shd w:val="clear" w:color="auto" w:fill="auto"/>
            <w:noWrap/>
            <w:vAlign w:val="center"/>
            <w:hideMark/>
          </w:tcPr>
          <w:p w14:paraId="1783EACA" w14:textId="659337E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094" w:type="dxa"/>
            <w:tcBorders>
              <w:top w:val="nil"/>
              <w:left w:val="single" w:sz="4" w:space="0" w:color="auto"/>
              <w:bottom w:val="single" w:sz="4" w:space="0" w:color="auto"/>
              <w:right w:val="nil"/>
            </w:tcBorders>
            <w:shd w:val="clear" w:color="auto" w:fill="auto"/>
            <w:noWrap/>
            <w:vAlign w:val="bottom"/>
            <w:hideMark/>
          </w:tcPr>
          <w:p w14:paraId="3AD2FC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4 445</w:t>
            </w:r>
          </w:p>
        </w:tc>
        <w:tc>
          <w:tcPr>
            <w:tcW w:w="829" w:type="dxa"/>
            <w:tcBorders>
              <w:top w:val="nil"/>
              <w:left w:val="nil"/>
              <w:bottom w:val="single" w:sz="4" w:space="0" w:color="auto"/>
              <w:right w:val="single" w:sz="4" w:space="0" w:color="auto"/>
            </w:tcBorders>
            <w:shd w:val="clear" w:color="auto" w:fill="auto"/>
            <w:noWrap/>
            <w:vAlign w:val="center"/>
            <w:hideMark/>
          </w:tcPr>
          <w:p w14:paraId="4B1F7965" w14:textId="1EC26EE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905" w:type="dxa"/>
            <w:tcBorders>
              <w:top w:val="nil"/>
              <w:left w:val="nil"/>
              <w:bottom w:val="single" w:sz="4" w:space="0" w:color="auto"/>
              <w:right w:val="nil"/>
            </w:tcBorders>
            <w:shd w:val="clear" w:color="auto" w:fill="auto"/>
            <w:noWrap/>
            <w:vAlign w:val="bottom"/>
            <w:hideMark/>
          </w:tcPr>
          <w:p w14:paraId="1180F7C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995</w:t>
            </w:r>
          </w:p>
        </w:tc>
        <w:tc>
          <w:tcPr>
            <w:tcW w:w="948" w:type="dxa"/>
            <w:tcBorders>
              <w:top w:val="nil"/>
              <w:left w:val="nil"/>
              <w:bottom w:val="single" w:sz="4" w:space="0" w:color="auto"/>
              <w:right w:val="single" w:sz="4" w:space="0" w:color="auto"/>
            </w:tcBorders>
            <w:shd w:val="clear" w:color="auto" w:fill="auto"/>
            <w:noWrap/>
            <w:vAlign w:val="center"/>
            <w:hideMark/>
          </w:tcPr>
          <w:p w14:paraId="1BAD5559" w14:textId="4683F01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3AFED94" w14:textId="60FB696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102,0 %</w:t>
            </w:r>
          </w:p>
        </w:tc>
      </w:tr>
      <w:tr w:rsidR="008430BD" w:rsidRPr="001C3EC8" w14:paraId="70ECD39F"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6ED0A5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95" w:type="dxa"/>
            <w:tcBorders>
              <w:top w:val="nil"/>
              <w:left w:val="nil"/>
              <w:bottom w:val="single" w:sz="4" w:space="0" w:color="auto"/>
              <w:right w:val="nil"/>
            </w:tcBorders>
            <w:shd w:val="clear" w:color="auto" w:fill="auto"/>
            <w:noWrap/>
            <w:vAlign w:val="bottom"/>
            <w:hideMark/>
          </w:tcPr>
          <w:p w14:paraId="6EB321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3 464</w:t>
            </w:r>
          </w:p>
        </w:tc>
        <w:tc>
          <w:tcPr>
            <w:tcW w:w="829" w:type="dxa"/>
            <w:tcBorders>
              <w:top w:val="nil"/>
              <w:left w:val="nil"/>
              <w:bottom w:val="single" w:sz="4" w:space="0" w:color="auto"/>
              <w:right w:val="nil"/>
            </w:tcBorders>
            <w:shd w:val="clear" w:color="auto" w:fill="auto"/>
            <w:noWrap/>
            <w:vAlign w:val="center"/>
            <w:hideMark/>
          </w:tcPr>
          <w:p w14:paraId="69112B16" w14:textId="441A808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094" w:type="dxa"/>
            <w:tcBorders>
              <w:top w:val="nil"/>
              <w:left w:val="single" w:sz="4" w:space="0" w:color="auto"/>
              <w:bottom w:val="single" w:sz="4" w:space="0" w:color="auto"/>
              <w:right w:val="nil"/>
            </w:tcBorders>
            <w:shd w:val="clear" w:color="auto" w:fill="auto"/>
            <w:noWrap/>
            <w:vAlign w:val="bottom"/>
            <w:hideMark/>
          </w:tcPr>
          <w:p w14:paraId="52AEDA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3 518</w:t>
            </w:r>
          </w:p>
        </w:tc>
        <w:tc>
          <w:tcPr>
            <w:tcW w:w="829" w:type="dxa"/>
            <w:tcBorders>
              <w:top w:val="nil"/>
              <w:left w:val="nil"/>
              <w:bottom w:val="single" w:sz="4" w:space="0" w:color="auto"/>
              <w:right w:val="single" w:sz="4" w:space="0" w:color="auto"/>
            </w:tcBorders>
            <w:shd w:val="clear" w:color="auto" w:fill="auto"/>
            <w:noWrap/>
            <w:vAlign w:val="center"/>
            <w:hideMark/>
          </w:tcPr>
          <w:p w14:paraId="18F24C53" w14:textId="3F16107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05" w:type="dxa"/>
            <w:tcBorders>
              <w:top w:val="nil"/>
              <w:left w:val="nil"/>
              <w:bottom w:val="single" w:sz="4" w:space="0" w:color="auto"/>
              <w:right w:val="nil"/>
            </w:tcBorders>
            <w:shd w:val="clear" w:color="auto" w:fill="auto"/>
            <w:noWrap/>
            <w:vAlign w:val="bottom"/>
            <w:hideMark/>
          </w:tcPr>
          <w:p w14:paraId="2266D2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410</w:t>
            </w:r>
          </w:p>
        </w:tc>
        <w:tc>
          <w:tcPr>
            <w:tcW w:w="948" w:type="dxa"/>
            <w:tcBorders>
              <w:top w:val="nil"/>
              <w:left w:val="nil"/>
              <w:bottom w:val="single" w:sz="4" w:space="0" w:color="auto"/>
              <w:right w:val="single" w:sz="4" w:space="0" w:color="auto"/>
            </w:tcBorders>
            <w:shd w:val="clear" w:color="auto" w:fill="auto"/>
            <w:noWrap/>
            <w:vAlign w:val="center"/>
            <w:hideMark/>
          </w:tcPr>
          <w:p w14:paraId="5D957558" w14:textId="4AC0E89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9C3A063" w14:textId="3D62ED5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101,6 %</w:t>
            </w:r>
          </w:p>
        </w:tc>
      </w:tr>
      <w:tr w:rsidR="008430BD" w:rsidRPr="001C3EC8" w14:paraId="0355856F"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487F7CE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95" w:type="dxa"/>
            <w:tcBorders>
              <w:top w:val="nil"/>
              <w:left w:val="nil"/>
              <w:bottom w:val="single" w:sz="4" w:space="0" w:color="auto"/>
              <w:right w:val="nil"/>
            </w:tcBorders>
            <w:shd w:val="clear" w:color="auto" w:fill="auto"/>
            <w:noWrap/>
            <w:vAlign w:val="bottom"/>
            <w:hideMark/>
          </w:tcPr>
          <w:p w14:paraId="5DE7E4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6 940</w:t>
            </w:r>
          </w:p>
        </w:tc>
        <w:tc>
          <w:tcPr>
            <w:tcW w:w="829" w:type="dxa"/>
            <w:tcBorders>
              <w:top w:val="nil"/>
              <w:left w:val="nil"/>
              <w:bottom w:val="single" w:sz="4" w:space="0" w:color="auto"/>
              <w:right w:val="nil"/>
            </w:tcBorders>
            <w:shd w:val="clear" w:color="auto" w:fill="auto"/>
            <w:noWrap/>
            <w:vAlign w:val="center"/>
            <w:hideMark/>
          </w:tcPr>
          <w:p w14:paraId="242714D6" w14:textId="181D691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94" w:type="dxa"/>
            <w:tcBorders>
              <w:top w:val="nil"/>
              <w:left w:val="single" w:sz="4" w:space="0" w:color="auto"/>
              <w:bottom w:val="single" w:sz="4" w:space="0" w:color="auto"/>
              <w:right w:val="nil"/>
            </w:tcBorders>
            <w:shd w:val="clear" w:color="auto" w:fill="auto"/>
            <w:noWrap/>
            <w:vAlign w:val="bottom"/>
            <w:hideMark/>
          </w:tcPr>
          <w:p w14:paraId="0A57299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7 198</w:t>
            </w:r>
          </w:p>
        </w:tc>
        <w:tc>
          <w:tcPr>
            <w:tcW w:w="829" w:type="dxa"/>
            <w:tcBorders>
              <w:top w:val="nil"/>
              <w:left w:val="nil"/>
              <w:bottom w:val="single" w:sz="4" w:space="0" w:color="auto"/>
              <w:right w:val="single" w:sz="4" w:space="0" w:color="auto"/>
            </w:tcBorders>
            <w:shd w:val="clear" w:color="auto" w:fill="auto"/>
            <w:noWrap/>
            <w:vAlign w:val="center"/>
            <w:hideMark/>
          </w:tcPr>
          <w:p w14:paraId="4CE34325" w14:textId="590F4F6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905" w:type="dxa"/>
            <w:tcBorders>
              <w:top w:val="nil"/>
              <w:left w:val="nil"/>
              <w:bottom w:val="single" w:sz="4" w:space="0" w:color="auto"/>
              <w:right w:val="nil"/>
            </w:tcBorders>
            <w:shd w:val="clear" w:color="auto" w:fill="auto"/>
            <w:noWrap/>
            <w:vAlign w:val="bottom"/>
            <w:hideMark/>
          </w:tcPr>
          <w:p w14:paraId="4593D2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2 538</w:t>
            </w:r>
          </w:p>
        </w:tc>
        <w:tc>
          <w:tcPr>
            <w:tcW w:w="948" w:type="dxa"/>
            <w:tcBorders>
              <w:top w:val="nil"/>
              <w:left w:val="nil"/>
              <w:bottom w:val="single" w:sz="4" w:space="0" w:color="auto"/>
              <w:right w:val="single" w:sz="4" w:space="0" w:color="auto"/>
            </w:tcBorders>
            <w:shd w:val="clear" w:color="auto" w:fill="auto"/>
            <w:noWrap/>
            <w:vAlign w:val="center"/>
            <w:hideMark/>
          </w:tcPr>
          <w:p w14:paraId="5303814A" w14:textId="3A7E16A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883CCD3" w14:textId="6770922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103,7 %</w:t>
            </w:r>
          </w:p>
        </w:tc>
      </w:tr>
      <w:tr w:rsidR="008430BD" w:rsidRPr="001C3EC8" w14:paraId="1EAC2E4A"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02ECB17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95" w:type="dxa"/>
            <w:tcBorders>
              <w:top w:val="nil"/>
              <w:left w:val="nil"/>
              <w:bottom w:val="double" w:sz="6" w:space="0" w:color="auto"/>
              <w:right w:val="nil"/>
            </w:tcBorders>
            <w:shd w:val="clear" w:color="auto" w:fill="auto"/>
            <w:noWrap/>
            <w:vAlign w:val="bottom"/>
            <w:hideMark/>
          </w:tcPr>
          <w:p w14:paraId="4D6005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7 774</w:t>
            </w:r>
          </w:p>
        </w:tc>
        <w:tc>
          <w:tcPr>
            <w:tcW w:w="829" w:type="dxa"/>
            <w:tcBorders>
              <w:top w:val="nil"/>
              <w:left w:val="nil"/>
              <w:bottom w:val="double" w:sz="6" w:space="0" w:color="auto"/>
              <w:right w:val="nil"/>
            </w:tcBorders>
            <w:shd w:val="clear" w:color="auto" w:fill="auto"/>
            <w:noWrap/>
            <w:vAlign w:val="center"/>
            <w:hideMark/>
          </w:tcPr>
          <w:p w14:paraId="77CA994E" w14:textId="161DA69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094" w:type="dxa"/>
            <w:tcBorders>
              <w:top w:val="nil"/>
              <w:left w:val="single" w:sz="4" w:space="0" w:color="auto"/>
              <w:bottom w:val="double" w:sz="6" w:space="0" w:color="auto"/>
              <w:right w:val="nil"/>
            </w:tcBorders>
            <w:shd w:val="clear" w:color="auto" w:fill="auto"/>
            <w:noWrap/>
            <w:vAlign w:val="bottom"/>
            <w:hideMark/>
          </w:tcPr>
          <w:p w14:paraId="326839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7 220</w:t>
            </w:r>
          </w:p>
        </w:tc>
        <w:tc>
          <w:tcPr>
            <w:tcW w:w="829" w:type="dxa"/>
            <w:tcBorders>
              <w:top w:val="nil"/>
              <w:left w:val="nil"/>
              <w:bottom w:val="double" w:sz="6" w:space="0" w:color="auto"/>
              <w:right w:val="single" w:sz="4" w:space="0" w:color="auto"/>
            </w:tcBorders>
            <w:shd w:val="clear" w:color="auto" w:fill="auto"/>
            <w:noWrap/>
            <w:vAlign w:val="center"/>
            <w:hideMark/>
          </w:tcPr>
          <w:p w14:paraId="636EE5D4" w14:textId="2F3F248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905" w:type="dxa"/>
            <w:tcBorders>
              <w:top w:val="nil"/>
              <w:left w:val="nil"/>
              <w:bottom w:val="double" w:sz="6" w:space="0" w:color="auto"/>
              <w:right w:val="nil"/>
            </w:tcBorders>
            <w:shd w:val="clear" w:color="auto" w:fill="auto"/>
            <w:noWrap/>
            <w:vAlign w:val="bottom"/>
            <w:hideMark/>
          </w:tcPr>
          <w:p w14:paraId="3073E5C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2 109</w:t>
            </w:r>
          </w:p>
        </w:tc>
        <w:tc>
          <w:tcPr>
            <w:tcW w:w="948" w:type="dxa"/>
            <w:tcBorders>
              <w:top w:val="nil"/>
              <w:left w:val="nil"/>
              <w:bottom w:val="double" w:sz="6" w:space="0" w:color="auto"/>
              <w:right w:val="single" w:sz="4" w:space="0" w:color="auto"/>
            </w:tcBorders>
            <w:shd w:val="clear" w:color="auto" w:fill="auto"/>
            <w:noWrap/>
            <w:vAlign w:val="center"/>
            <w:hideMark/>
          </w:tcPr>
          <w:p w14:paraId="69441056" w14:textId="57FD5B8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+36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7333A0C9" w14:textId="455BC00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92,9 %</w:t>
            </w:r>
          </w:p>
        </w:tc>
      </w:tr>
      <w:tr w:rsidR="008430BD" w:rsidRPr="001C3EC8" w14:paraId="3494D512"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4E789CAE"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95" w:type="dxa"/>
            <w:tcBorders>
              <w:top w:val="nil"/>
              <w:left w:val="nil"/>
              <w:bottom w:val="double" w:sz="6" w:space="0" w:color="auto"/>
              <w:right w:val="nil"/>
            </w:tcBorders>
            <w:shd w:val="clear" w:color="auto" w:fill="auto"/>
            <w:noWrap/>
            <w:vAlign w:val="bottom"/>
            <w:hideMark/>
          </w:tcPr>
          <w:p w14:paraId="041FAA3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45 615</w:t>
            </w:r>
          </w:p>
        </w:tc>
        <w:tc>
          <w:tcPr>
            <w:tcW w:w="829" w:type="dxa"/>
            <w:tcBorders>
              <w:top w:val="nil"/>
              <w:left w:val="nil"/>
              <w:bottom w:val="double" w:sz="6" w:space="0" w:color="auto"/>
              <w:right w:val="nil"/>
            </w:tcBorders>
            <w:shd w:val="clear" w:color="auto" w:fill="auto"/>
            <w:noWrap/>
            <w:vAlign w:val="center"/>
            <w:hideMark/>
          </w:tcPr>
          <w:p w14:paraId="4DD19BC7" w14:textId="6DEECE9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-9 </w:t>
            </w:r>
            <w:r w:rsidR="00B07E76">
              <w:rPr>
                <w:rFonts w:eastAsia="Times New Roman"/>
                <w:b/>
                <w:bCs/>
                <w:color w:val="000000" w:themeColor="text1"/>
                <w:sz w:val="20"/>
                <w:szCs w:val="20"/>
                <w:lang w:eastAsia="cs-CZ"/>
              </w:rPr>
              <w:t>%</w:t>
            </w:r>
          </w:p>
        </w:tc>
        <w:tc>
          <w:tcPr>
            <w:tcW w:w="1094" w:type="dxa"/>
            <w:tcBorders>
              <w:top w:val="nil"/>
              <w:left w:val="single" w:sz="4" w:space="0" w:color="auto"/>
              <w:bottom w:val="double" w:sz="6" w:space="0" w:color="auto"/>
              <w:right w:val="nil"/>
            </w:tcBorders>
            <w:shd w:val="clear" w:color="auto" w:fill="auto"/>
            <w:noWrap/>
            <w:vAlign w:val="bottom"/>
            <w:hideMark/>
          </w:tcPr>
          <w:p w14:paraId="7D520A0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45 301</w:t>
            </w:r>
          </w:p>
        </w:tc>
        <w:tc>
          <w:tcPr>
            <w:tcW w:w="829" w:type="dxa"/>
            <w:tcBorders>
              <w:top w:val="nil"/>
              <w:left w:val="nil"/>
              <w:bottom w:val="double" w:sz="6" w:space="0" w:color="auto"/>
              <w:right w:val="single" w:sz="4" w:space="0" w:color="auto"/>
            </w:tcBorders>
            <w:shd w:val="clear" w:color="auto" w:fill="auto"/>
            <w:noWrap/>
            <w:vAlign w:val="center"/>
            <w:hideMark/>
          </w:tcPr>
          <w:p w14:paraId="4F581F49" w14:textId="732B295F"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-12 </w:t>
            </w:r>
            <w:r w:rsidR="00B07E76">
              <w:rPr>
                <w:rFonts w:eastAsia="Times New Roman"/>
                <w:b/>
                <w:bCs/>
                <w:color w:val="000000" w:themeColor="text1"/>
                <w:sz w:val="20"/>
                <w:szCs w:val="20"/>
                <w:lang w:eastAsia="cs-CZ"/>
              </w:rPr>
              <w:t>%</w:t>
            </w:r>
          </w:p>
        </w:tc>
        <w:tc>
          <w:tcPr>
            <w:tcW w:w="905" w:type="dxa"/>
            <w:tcBorders>
              <w:top w:val="nil"/>
              <w:left w:val="nil"/>
              <w:bottom w:val="double" w:sz="6" w:space="0" w:color="auto"/>
              <w:right w:val="nil"/>
            </w:tcBorders>
            <w:shd w:val="clear" w:color="auto" w:fill="auto"/>
            <w:noWrap/>
            <w:vAlign w:val="bottom"/>
            <w:hideMark/>
          </w:tcPr>
          <w:p w14:paraId="02B524E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9 013</w:t>
            </w:r>
          </w:p>
        </w:tc>
        <w:tc>
          <w:tcPr>
            <w:tcW w:w="948" w:type="dxa"/>
            <w:tcBorders>
              <w:top w:val="nil"/>
              <w:left w:val="nil"/>
              <w:bottom w:val="double" w:sz="6" w:space="0" w:color="auto"/>
              <w:right w:val="single" w:sz="4" w:space="0" w:color="auto"/>
            </w:tcBorders>
            <w:shd w:val="clear" w:color="auto" w:fill="auto"/>
            <w:noWrap/>
            <w:vAlign w:val="center"/>
            <w:hideMark/>
          </w:tcPr>
          <w:p w14:paraId="7A54EB7B" w14:textId="6153AD4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+4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26DAD7C8" w14:textId="584DD6D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99,3 %</w:t>
            </w:r>
          </w:p>
        </w:tc>
      </w:tr>
    </w:tbl>
    <w:p w14:paraId="23134775" w14:textId="77777777" w:rsidR="001A527D" w:rsidRPr="001C3EC8" w:rsidRDefault="001A527D" w:rsidP="001A527D">
      <w:pPr>
        <w:pStyle w:val="Nadpis3"/>
        <w:numPr>
          <w:ilvl w:val="2"/>
          <w:numId w:val="1"/>
        </w:numPr>
        <w:rPr>
          <w:color w:val="000000" w:themeColor="text1"/>
        </w:rPr>
      </w:pPr>
      <w:bookmarkStart w:id="484" w:name="_Toc75952095"/>
      <w:r w:rsidRPr="001C3EC8">
        <w:rPr>
          <w:color w:val="000000" w:themeColor="text1"/>
        </w:rPr>
        <w:t>Vyřizování věcí v přepočtu na soudce</w:t>
      </w:r>
      <w:bookmarkEnd w:id="484"/>
    </w:p>
    <w:p w14:paraId="512FF03B" w14:textId="045C46B4" w:rsidR="008430BD" w:rsidRPr="001C3EC8" w:rsidRDefault="0014150C" w:rsidP="008430BD">
      <w:pPr>
        <w:rPr>
          <w:color w:val="000000" w:themeColor="text1"/>
        </w:rPr>
      </w:pPr>
      <w:r w:rsidRPr="001C3EC8">
        <w:rPr>
          <w:color w:val="000000" w:themeColor="text1"/>
        </w:rPr>
        <w:t>I</w:t>
      </w:r>
      <w:r>
        <w:rPr>
          <w:color w:val="000000" w:themeColor="text1"/>
        </w:rPr>
        <w:t> </w:t>
      </w:r>
      <w:r w:rsidR="008430BD" w:rsidRPr="001C3EC8">
        <w:rPr>
          <w:color w:val="000000" w:themeColor="text1"/>
        </w:rPr>
        <w:t>zde lze díky novým datům v tomto roce provést přepočet na soudce. Výsledek je uveden v tabulce níže.</w:t>
      </w:r>
    </w:p>
    <w:p w14:paraId="371FF4FB" w14:textId="77777777" w:rsidR="008430BD" w:rsidRPr="001C3EC8" w:rsidRDefault="008430BD" w:rsidP="008430BD">
      <w:pPr>
        <w:rPr>
          <w:color w:val="000000" w:themeColor="text1"/>
        </w:rPr>
      </w:pPr>
      <w:bookmarkStart w:id="485" w:name="_Toc43931223"/>
      <w:r w:rsidRPr="001C3EC8">
        <w:rPr>
          <w:color w:val="000000" w:themeColor="text1"/>
        </w:rPr>
        <w:t>Opět si v souvislosti s tabulkou dovolíme upozornit na několik faktů.</w:t>
      </w:r>
    </w:p>
    <w:p w14:paraId="60060A16" w14:textId="1CEEC0CC" w:rsidR="008430BD" w:rsidRPr="001C3EC8" w:rsidRDefault="008430BD" w:rsidP="008430BD">
      <w:pPr>
        <w:pStyle w:val="Odstavecseseznamem"/>
        <w:numPr>
          <w:ilvl w:val="0"/>
          <w:numId w:val="18"/>
        </w:numPr>
        <w:rPr>
          <w:color w:val="000000" w:themeColor="text1"/>
        </w:rPr>
      </w:pPr>
      <w:r w:rsidRPr="001C3EC8">
        <w:rPr>
          <w:color w:val="000000" w:themeColor="text1"/>
        </w:rPr>
        <w:t xml:space="preserve">Odvolací úsek soudů je výrazně větší než úsek prvostupňový. To koneckonců plyne již z množství vyřizovaných věcí. Nyní to ale vidíme </w:t>
      </w:r>
      <w:r w:rsidR="0014150C" w:rsidRPr="001C3EC8">
        <w:rPr>
          <w:color w:val="000000" w:themeColor="text1"/>
        </w:rPr>
        <w:t>i</w:t>
      </w:r>
      <w:r w:rsidR="0014150C">
        <w:rPr>
          <w:color w:val="000000" w:themeColor="text1"/>
        </w:rPr>
        <w:t> </w:t>
      </w:r>
      <w:r w:rsidRPr="001C3EC8">
        <w:rPr>
          <w:color w:val="000000" w:themeColor="text1"/>
        </w:rPr>
        <w:t>na počtu soudců, který je asi čtyřnásobný oproti prvostupňovému úseku.</w:t>
      </w:r>
    </w:p>
    <w:p w14:paraId="62BDE414" w14:textId="493E31E1" w:rsidR="008430BD" w:rsidRPr="001C3EC8" w:rsidRDefault="008430BD" w:rsidP="008430BD">
      <w:pPr>
        <w:pStyle w:val="Odstavecseseznamem"/>
        <w:numPr>
          <w:ilvl w:val="0"/>
          <w:numId w:val="18"/>
        </w:numPr>
        <w:rPr>
          <w:color w:val="000000" w:themeColor="text1"/>
        </w:rPr>
      </w:pPr>
      <w:r w:rsidRPr="001C3EC8">
        <w:rPr>
          <w:color w:val="000000" w:themeColor="text1"/>
        </w:rPr>
        <w:t xml:space="preserve">Počty příchozích </w:t>
      </w:r>
      <w:r w:rsidR="0014150C" w:rsidRPr="001C3EC8">
        <w:rPr>
          <w:color w:val="000000" w:themeColor="text1"/>
        </w:rPr>
        <w:t>a</w:t>
      </w:r>
      <w:r w:rsidR="0014150C">
        <w:rPr>
          <w:color w:val="000000" w:themeColor="text1"/>
        </w:rPr>
        <w:t> </w:t>
      </w:r>
      <w:r w:rsidRPr="001C3EC8">
        <w:rPr>
          <w:color w:val="000000" w:themeColor="text1"/>
        </w:rPr>
        <w:t xml:space="preserve">vyřízených věcí jsou mezi kraji mnohem vyrovnanější než u prvostupňových věcí. V tomto směru vybočuje KS Ostrava, </w:t>
      </w:r>
      <w:r w:rsidR="0014150C" w:rsidRPr="001C3EC8">
        <w:rPr>
          <w:color w:val="000000" w:themeColor="text1"/>
        </w:rPr>
        <w:t>u</w:t>
      </w:r>
      <w:r w:rsidR="0014150C">
        <w:rPr>
          <w:color w:val="000000" w:themeColor="text1"/>
        </w:rPr>
        <w:t> </w:t>
      </w:r>
      <w:r w:rsidRPr="001C3EC8">
        <w:rPr>
          <w:color w:val="000000" w:themeColor="text1"/>
        </w:rPr>
        <w:t xml:space="preserve">něhož se této agendě očividně věnuje relativně méně soudců než </w:t>
      </w:r>
      <w:r w:rsidR="0014150C" w:rsidRPr="001C3EC8">
        <w:rPr>
          <w:color w:val="000000" w:themeColor="text1"/>
        </w:rPr>
        <w:t>u</w:t>
      </w:r>
      <w:r w:rsidR="0014150C">
        <w:rPr>
          <w:color w:val="000000" w:themeColor="text1"/>
        </w:rPr>
        <w:t> </w:t>
      </w:r>
      <w:r w:rsidRPr="001C3EC8">
        <w:rPr>
          <w:color w:val="000000" w:themeColor="text1"/>
        </w:rPr>
        <w:t>ostatních soudů. Jak uvidíme níže, dotčení soudci byli přesunuti na insolvenční úsek.</w:t>
      </w:r>
    </w:p>
    <w:p w14:paraId="29E3B74C" w14:textId="218D7137" w:rsidR="008430BD" w:rsidRPr="001C3EC8" w:rsidRDefault="008430BD" w:rsidP="008430BD">
      <w:pPr>
        <w:pStyle w:val="Odstavecseseznamem"/>
        <w:numPr>
          <w:ilvl w:val="0"/>
          <w:numId w:val="18"/>
        </w:numPr>
        <w:rPr>
          <w:color w:val="000000" w:themeColor="text1"/>
        </w:rPr>
      </w:pPr>
      <w:r w:rsidRPr="001C3EC8">
        <w:rPr>
          <w:color w:val="000000" w:themeColor="text1"/>
        </w:rPr>
        <w:t xml:space="preserve">Zdaleka nejvyšší počet nevyřízených věcí na soudce v roce 2020 vykazuje KS Ostrava, což je dáno tím, že této agendě se věnuje relativně méně soudců než </w:t>
      </w:r>
      <w:r w:rsidR="0014150C" w:rsidRPr="001C3EC8">
        <w:rPr>
          <w:color w:val="000000" w:themeColor="text1"/>
        </w:rPr>
        <w:t>u</w:t>
      </w:r>
      <w:r w:rsidR="0014150C">
        <w:rPr>
          <w:color w:val="000000" w:themeColor="text1"/>
        </w:rPr>
        <w:t> </w:t>
      </w:r>
      <w:r w:rsidRPr="001C3EC8">
        <w:rPr>
          <w:color w:val="000000" w:themeColor="text1"/>
        </w:rPr>
        <w:t>ostatních krajských soudů</w:t>
      </w:r>
      <w:r w:rsidR="00230055" w:rsidRPr="001C3EC8">
        <w:rPr>
          <w:color w:val="000000" w:themeColor="text1"/>
        </w:rPr>
        <w:t>,</w:t>
      </w:r>
      <w:r w:rsidRPr="001C3EC8">
        <w:rPr>
          <w:color w:val="000000" w:themeColor="text1"/>
        </w:rPr>
        <w:t xml:space="preserve"> </w:t>
      </w:r>
      <w:r w:rsidR="0014150C" w:rsidRPr="001C3EC8">
        <w:rPr>
          <w:color w:val="000000" w:themeColor="text1"/>
        </w:rPr>
        <w:t>a</w:t>
      </w:r>
      <w:r w:rsidR="0014150C">
        <w:rPr>
          <w:color w:val="000000" w:themeColor="text1"/>
        </w:rPr>
        <w:t> </w:t>
      </w:r>
      <w:r w:rsidRPr="001C3EC8">
        <w:rPr>
          <w:color w:val="000000" w:themeColor="text1"/>
        </w:rPr>
        <w:t>také velkým nárůstem v počtu nevyřízených věcí v letošním roce.</w:t>
      </w:r>
    </w:p>
    <w:p w14:paraId="1FFBA4E5" w14:textId="433440DB" w:rsidR="008430BD" w:rsidRPr="001C3EC8" w:rsidRDefault="008430BD" w:rsidP="008430BD">
      <w:pPr>
        <w:pStyle w:val="Odstavecseseznamem"/>
        <w:numPr>
          <w:ilvl w:val="0"/>
          <w:numId w:val="18"/>
        </w:numPr>
        <w:rPr>
          <w:color w:val="000000" w:themeColor="text1"/>
        </w:rPr>
      </w:pPr>
      <w:r w:rsidRPr="001C3EC8">
        <w:rPr>
          <w:color w:val="000000" w:themeColor="text1"/>
        </w:rPr>
        <w:lastRenderedPageBreak/>
        <w:t>Oproti předchozímu roku se samozřejmě mírně změnil</w:t>
      </w:r>
      <w:r w:rsidR="00B0753A" w:rsidRPr="001C3EC8">
        <w:rPr>
          <w:color w:val="000000" w:themeColor="text1"/>
        </w:rPr>
        <w:t>y</w:t>
      </w:r>
      <w:r w:rsidRPr="001C3EC8">
        <w:rPr>
          <w:color w:val="000000" w:themeColor="text1"/>
        </w:rPr>
        <w:t xml:space="preserve"> počty soudců </w:t>
      </w:r>
      <w:r w:rsidR="0014150C" w:rsidRPr="001C3EC8">
        <w:rPr>
          <w:color w:val="000000" w:themeColor="text1"/>
        </w:rPr>
        <w:t>u</w:t>
      </w:r>
      <w:r w:rsidR="0014150C">
        <w:rPr>
          <w:color w:val="000000" w:themeColor="text1"/>
        </w:rPr>
        <w:t> </w:t>
      </w:r>
      <w:r w:rsidRPr="001C3EC8">
        <w:rPr>
          <w:color w:val="000000" w:themeColor="text1"/>
        </w:rPr>
        <w:t xml:space="preserve">jednotlivých soudů. Zajímavé je, že na republikové úrovni je </w:t>
      </w:r>
      <w:r w:rsidR="00230055" w:rsidRPr="001C3EC8">
        <w:rPr>
          <w:color w:val="000000" w:themeColor="text1"/>
        </w:rPr>
        <w:t xml:space="preserve">však </w:t>
      </w:r>
      <w:r w:rsidRPr="001C3EC8">
        <w:rPr>
          <w:color w:val="000000" w:themeColor="text1"/>
        </w:rPr>
        <w:t xml:space="preserve">počet soudců </w:t>
      </w:r>
      <w:r w:rsidR="00ED6972" w:rsidRPr="001C3EC8">
        <w:rPr>
          <w:color w:val="000000" w:themeColor="text1"/>
        </w:rPr>
        <w:t>zcela</w:t>
      </w:r>
      <w:r w:rsidRPr="001C3EC8">
        <w:rPr>
          <w:color w:val="000000" w:themeColor="text1"/>
        </w:rPr>
        <w:t xml:space="preserve"> stejný jako v předchozím roce. Změny ve vyřizování na soudce tak</w:t>
      </w:r>
      <w:r w:rsidR="00ED6972" w:rsidRPr="001C3EC8">
        <w:rPr>
          <w:color w:val="000000" w:themeColor="text1"/>
        </w:rPr>
        <w:t xml:space="preserve"> na republikové úrovni</w:t>
      </w:r>
      <w:r w:rsidRPr="001C3EC8">
        <w:rPr>
          <w:color w:val="000000" w:themeColor="text1"/>
        </w:rPr>
        <w:t xml:space="preserve"> přesně kopírují změny ve vyřizování věcí.</w:t>
      </w:r>
    </w:p>
    <w:p w14:paraId="575D930D" w14:textId="6DBA170A" w:rsidR="009F6F12" w:rsidRPr="001C3EC8" w:rsidRDefault="008430BD" w:rsidP="009F6F12">
      <w:pPr>
        <w:pStyle w:val="Podnadpis"/>
        <w:rPr>
          <w:color w:val="000000" w:themeColor="text1"/>
        </w:rPr>
      </w:pPr>
      <w:bookmarkStart w:id="486" w:name="_Toc75952356"/>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53</w:t>
      </w:r>
      <w:r w:rsidRPr="001C3EC8">
        <w:rPr>
          <w:noProof/>
          <w:color w:val="000000" w:themeColor="text1"/>
        </w:rPr>
        <w:fldChar w:fldCharType="end"/>
      </w:r>
      <w:r w:rsidRPr="001C3EC8">
        <w:rPr>
          <w:color w:val="000000" w:themeColor="text1"/>
        </w:rPr>
        <w:t xml:space="preserve">: KS – vyřizování odvolacích </w:t>
      </w:r>
      <w:bookmarkEnd w:id="485"/>
      <w:r w:rsidR="009F6F12" w:rsidRPr="001C3EC8">
        <w:rPr>
          <w:color w:val="000000" w:themeColor="text1"/>
        </w:rPr>
        <w:t>civil. věcí na skutečný úvazek dle soudů</w:t>
      </w:r>
      <w:bookmarkEnd w:id="486"/>
    </w:p>
    <w:tbl>
      <w:tblPr>
        <w:tblW w:w="8520" w:type="dxa"/>
        <w:tblCellMar>
          <w:left w:w="70" w:type="dxa"/>
          <w:right w:w="70" w:type="dxa"/>
        </w:tblCellMar>
        <w:tblLook w:val="04A0" w:firstRow="1" w:lastRow="0" w:firstColumn="1" w:lastColumn="0" w:noHBand="0" w:noVBand="1"/>
      </w:tblPr>
      <w:tblGrid>
        <w:gridCol w:w="2040"/>
        <w:gridCol w:w="1234"/>
        <w:gridCol w:w="947"/>
        <w:gridCol w:w="1233"/>
        <w:gridCol w:w="946"/>
        <w:gridCol w:w="1038"/>
        <w:gridCol w:w="1082"/>
      </w:tblGrid>
      <w:tr w:rsidR="008430BD" w:rsidRPr="001C3EC8" w14:paraId="51F09647" w14:textId="77777777" w:rsidTr="009D3E54">
        <w:trPr>
          <w:trHeight w:val="330"/>
        </w:trPr>
        <w:tc>
          <w:tcPr>
            <w:tcW w:w="2040" w:type="dxa"/>
            <w:vMerge w:val="restart"/>
            <w:tcBorders>
              <w:top w:val="double" w:sz="6" w:space="0" w:color="auto"/>
              <w:left w:val="nil"/>
              <w:bottom w:val="double" w:sz="6" w:space="0" w:color="000000"/>
              <w:right w:val="nil"/>
            </w:tcBorders>
            <w:shd w:val="clear" w:color="auto" w:fill="auto"/>
            <w:noWrap/>
            <w:vAlign w:val="center"/>
            <w:hideMark/>
          </w:tcPr>
          <w:p w14:paraId="38A850B4" w14:textId="6985FD5A" w:rsidR="008430BD" w:rsidRPr="001C3EC8" w:rsidRDefault="008430BD" w:rsidP="00F66F3C">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6480" w:type="dxa"/>
            <w:gridSpan w:val="6"/>
            <w:tcBorders>
              <w:top w:val="double" w:sz="6" w:space="0" w:color="auto"/>
              <w:left w:val="nil"/>
              <w:bottom w:val="nil"/>
              <w:right w:val="nil"/>
            </w:tcBorders>
            <w:shd w:val="clear" w:color="auto" w:fill="auto"/>
            <w:noWrap/>
            <w:vAlign w:val="center"/>
            <w:hideMark/>
          </w:tcPr>
          <w:p w14:paraId="2C2CE8ED" w14:textId="7450E539"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 na úvazek</w:t>
            </w:r>
          </w:p>
        </w:tc>
      </w:tr>
      <w:tr w:rsidR="008430BD" w:rsidRPr="001C3EC8" w14:paraId="10A534C0" w14:textId="77777777" w:rsidTr="00E077F3">
        <w:trPr>
          <w:trHeight w:val="330"/>
        </w:trPr>
        <w:tc>
          <w:tcPr>
            <w:tcW w:w="2040" w:type="dxa"/>
            <w:vMerge/>
            <w:tcBorders>
              <w:top w:val="double" w:sz="6" w:space="0" w:color="auto"/>
              <w:left w:val="nil"/>
              <w:bottom w:val="double" w:sz="6" w:space="0" w:color="000000"/>
              <w:right w:val="nil"/>
            </w:tcBorders>
            <w:vAlign w:val="center"/>
            <w:hideMark/>
          </w:tcPr>
          <w:p w14:paraId="15C1F4E4"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2181" w:type="dxa"/>
            <w:gridSpan w:val="2"/>
            <w:tcBorders>
              <w:top w:val="nil"/>
              <w:left w:val="nil"/>
              <w:bottom w:val="double" w:sz="6" w:space="0" w:color="auto"/>
              <w:right w:val="nil"/>
            </w:tcBorders>
            <w:shd w:val="clear" w:color="auto" w:fill="auto"/>
            <w:noWrap/>
            <w:vAlign w:val="center"/>
            <w:hideMark/>
          </w:tcPr>
          <w:p w14:paraId="4CDC932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217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5067EE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2120" w:type="dxa"/>
            <w:gridSpan w:val="2"/>
            <w:tcBorders>
              <w:top w:val="nil"/>
              <w:left w:val="nil"/>
              <w:bottom w:val="double" w:sz="6" w:space="0" w:color="auto"/>
              <w:right w:val="nil"/>
            </w:tcBorders>
            <w:shd w:val="clear" w:color="auto" w:fill="auto"/>
            <w:noWrap/>
            <w:vAlign w:val="center"/>
            <w:hideMark/>
          </w:tcPr>
          <w:p w14:paraId="253F838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8430BD" w:rsidRPr="001C3EC8" w14:paraId="0B1DD99F" w14:textId="77777777" w:rsidTr="00E077F3">
        <w:trPr>
          <w:trHeight w:val="330"/>
        </w:trPr>
        <w:tc>
          <w:tcPr>
            <w:tcW w:w="2040" w:type="dxa"/>
            <w:tcBorders>
              <w:top w:val="single" w:sz="4" w:space="0" w:color="auto"/>
              <w:left w:val="nil"/>
              <w:bottom w:val="single" w:sz="4" w:space="0" w:color="auto"/>
              <w:right w:val="nil"/>
            </w:tcBorders>
            <w:shd w:val="clear" w:color="auto" w:fill="auto"/>
            <w:noWrap/>
            <w:vAlign w:val="bottom"/>
            <w:hideMark/>
          </w:tcPr>
          <w:p w14:paraId="2CE55C6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34" w:type="dxa"/>
            <w:tcBorders>
              <w:top w:val="single" w:sz="4" w:space="0" w:color="auto"/>
              <w:left w:val="nil"/>
              <w:bottom w:val="single" w:sz="4" w:space="0" w:color="auto"/>
              <w:right w:val="nil"/>
            </w:tcBorders>
            <w:shd w:val="clear" w:color="auto" w:fill="auto"/>
            <w:noWrap/>
            <w:vAlign w:val="bottom"/>
            <w:hideMark/>
          </w:tcPr>
          <w:p w14:paraId="7616AD2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141,45</w:t>
            </w:r>
          </w:p>
        </w:tc>
        <w:tc>
          <w:tcPr>
            <w:tcW w:w="947" w:type="dxa"/>
            <w:tcBorders>
              <w:top w:val="single" w:sz="4" w:space="0" w:color="auto"/>
              <w:left w:val="nil"/>
              <w:bottom w:val="single" w:sz="4" w:space="0" w:color="auto"/>
              <w:right w:val="nil"/>
            </w:tcBorders>
            <w:shd w:val="clear" w:color="auto" w:fill="auto"/>
            <w:noWrap/>
            <w:vAlign w:val="center"/>
            <w:hideMark/>
          </w:tcPr>
          <w:p w14:paraId="5EFE049D" w14:textId="73E4E13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14150C" w:rsidRPr="001C3EC8">
              <w:rPr>
                <w:rFonts w:eastAsia="Times New Roman"/>
                <w:color w:val="000000" w:themeColor="text1"/>
                <w:sz w:val="20"/>
                <w:szCs w:val="20"/>
                <w:lang w:eastAsia="cs-CZ"/>
              </w:rPr>
              <w:t>1</w:t>
            </w:r>
            <w:r w:rsidR="0014150C">
              <w:rPr>
                <w:rFonts w:eastAsia="Times New Roman"/>
                <w:color w:val="000000" w:themeColor="text1"/>
                <w:sz w:val="20"/>
                <w:szCs w:val="20"/>
                <w:lang w:eastAsia="cs-CZ"/>
              </w:rPr>
              <w:t> </w:t>
            </w:r>
            <w:r w:rsidRPr="001C3EC8">
              <w:rPr>
                <w:rFonts w:eastAsia="Times New Roman"/>
                <w:color w:val="000000" w:themeColor="text1"/>
                <w:sz w:val="20"/>
                <w:szCs w:val="20"/>
                <w:lang w:eastAsia="cs-CZ"/>
              </w:rPr>
              <w:t>%</w:t>
            </w:r>
          </w:p>
        </w:tc>
        <w:tc>
          <w:tcPr>
            <w:tcW w:w="1233" w:type="dxa"/>
            <w:tcBorders>
              <w:top w:val="nil"/>
              <w:left w:val="single" w:sz="4" w:space="0" w:color="auto"/>
              <w:bottom w:val="single" w:sz="4" w:space="0" w:color="auto"/>
              <w:right w:val="nil"/>
            </w:tcBorders>
            <w:shd w:val="clear" w:color="auto" w:fill="auto"/>
            <w:noWrap/>
            <w:vAlign w:val="bottom"/>
            <w:hideMark/>
          </w:tcPr>
          <w:p w14:paraId="5203EB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140,79</w:t>
            </w:r>
          </w:p>
        </w:tc>
        <w:tc>
          <w:tcPr>
            <w:tcW w:w="946" w:type="dxa"/>
            <w:tcBorders>
              <w:top w:val="nil"/>
              <w:left w:val="nil"/>
              <w:bottom w:val="single" w:sz="4" w:space="0" w:color="auto"/>
              <w:right w:val="single" w:sz="4" w:space="0" w:color="auto"/>
            </w:tcBorders>
            <w:shd w:val="clear" w:color="auto" w:fill="auto"/>
            <w:noWrap/>
            <w:vAlign w:val="center"/>
            <w:hideMark/>
          </w:tcPr>
          <w:p w14:paraId="7B743FBA" w14:textId="1A2D1BF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038" w:type="dxa"/>
            <w:tcBorders>
              <w:top w:val="single" w:sz="4" w:space="0" w:color="auto"/>
              <w:left w:val="nil"/>
              <w:bottom w:val="single" w:sz="4" w:space="0" w:color="auto"/>
              <w:right w:val="nil"/>
            </w:tcBorders>
            <w:shd w:val="clear" w:color="auto" w:fill="auto"/>
            <w:noWrap/>
            <w:vAlign w:val="bottom"/>
            <w:hideMark/>
          </w:tcPr>
          <w:p w14:paraId="35BDCF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18,63</w:t>
            </w:r>
          </w:p>
        </w:tc>
        <w:tc>
          <w:tcPr>
            <w:tcW w:w="1082" w:type="dxa"/>
            <w:tcBorders>
              <w:top w:val="single" w:sz="4" w:space="0" w:color="auto"/>
              <w:left w:val="nil"/>
              <w:bottom w:val="single" w:sz="4" w:space="0" w:color="auto"/>
              <w:right w:val="nil"/>
            </w:tcBorders>
            <w:shd w:val="clear" w:color="auto" w:fill="auto"/>
            <w:noWrap/>
            <w:vAlign w:val="center"/>
            <w:hideMark/>
          </w:tcPr>
          <w:p w14:paraId="4DCEA1B1" w14:textId="60D7A0A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62DF0791" w14:textId="77777777" w:rsidTr="00E077F3">
        <w:trPr>
          <w:trHeight w:val="315"/>
        </w:trPr>
        <w:tc>
          <w:tcPr>
            <w:tcW w:w="2040" w:type="dxa"/>
            <w:tcBorders>
              <w:top w:val="nil"/>
              <w:left w:val="nil"/>
              <w:bottom w:val="single" w:sz="4" w:space="0" w:color="auto"/>
              <w:right w:val="nil"/>
            </w:tcBorders>
            <w:shd w:val="clear" w:color="auto" w:fill="auto"/>
            <w:noWrap/>
            <w:vAlign w:val="bottom"/>
            <w:hideMark/>
          </w:tcPr>
          <w:p w14:paraId="133265D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34" w:type="dxa"/>
            <w:tcBorders>
              <w:top w:val="nil"/>
              <w:left w:val="nil"/>
              <w:bottom w:val="single" w:sz="4" w:space="0" w:color="auto"/>
              <w:right w:val="nil"/>
            </w:tcBorders>
            <w:shd w:val="clear" w:color="auto" w:fill="auto"/>
            <w:noWrap/>
            <w:vAlign w:val="bottom"/>
            <w:hideMark/>
          </w:tcPr>
          <w:p w14:paraId="0F7951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118,10</w:t>
            </w:r>
          </w:p>
        </w:tc>
        <w:tc>
          <w:tcPr>
            <w:tcW w:w="947" w:type="dxa"/>
            <w:tcBorders>
              <w:top w:val="nil"/>
              <w:left w:val="nil"/>
              <w:bottom w:val="single" w:sz="4" w:space="0" w:color="auto"/>
              <w:right w:val="nil"/>
            </w:tcBorders>
            <w:shd w:val="clear" w:color="auto" w:fill="auto"/>
            <w:noWrap/>
            <w:vAlign w:val="center"/>
            <w:hideMark/>
          </w:tcPr>
          <w:p w14:paraId="3C2FF3C6"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-7 %</w:t>
            </w:r>
          </w:p>
        </w:tc>
        <w:tc>
          <w:tcPr>
            <w:tcW w:w="1233" w:type="dxa"/>
            <w:tcBorders>
              <w:top w:val="nil"/>
              <w:left w:val="single" w:sz="4" w:space="0" w:color="auto"/>
              <w:bottom w:val="single" w:sz="4" w:space="0" w:color="auto"/>
              <w:right w:val="nil"/>
            </w:tcBorders>
            <w:shd w:val="clear" w:color="auto" w:fill="auto"/>
            <w:noWrap/>
            <w:vAlign w:val="bottom"/>
            <w:hideMark/>
          </w:tcPr>
          <w:p w14:paraId="16A7CA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116,22</w:t>
            </w:r>
          </w:p>
        </w:tc>
        <w:tc>
          <w:tcPr>
            <w:tcW w:w="946" w:type="dxa"/>
            <w:tcBorders>
              <w:top w:val="nil"/>
              <w:left w:val="nil"/>
              <w:bottom w:val="single" w:sz="4" w:space="0" w:color="auto"/>
              <w:right w:val="single" w:sz="4" w:space="0" w:color="auto"/>
            </w:tcBorders>
            <w:shd w:val="clear" w:color="auto" w:fill="auto"/>
            <w:noWrap/>
            <w:vAlign w:val="center"/>
            <w:hideMark/>
          </w:tcPr>
          <w:p w14:paraId="3E19D6BB" w14:textId="64D71E4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038" w:type="dxa"/>
            <w:tcBorders>
              <w:top w:val="nil"/>
              <w:left w:val="nil"/>
              <w:bottom w:val="single" w:sz="4" w:space="0" w:color="auto"/>
              <w:right w:val="nil"/>
            </w:tcBorders>
            <w:shd w:val="clear" w:color="auto" w:fill="auto"/>
            <w:noWrap/>
            <w:vAlign w:val="bottom"/>
            <w:hideMark/>
          </w:tcPr>
          <w:p w14:paraId="004F99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14,81</w:t>
            </w:r>
          </w:p>
        </w:tc>
        <w:tc>
          <w:tcPr>
            <w:tcW w:w="1082" w:type="dxa"/>
            <w:tcBorders>
              <w:top w:val="nil"/>
              <w:left w:val="nil"/>
              <w:bottom w:val="single" w:sz="4" w:space="0" w:color="auto"/>
              <w:right w:val="nil"/>
            </w:tcBorders>
            <w:shd w:val="clear" w:color="auto" w:fill="auto"/>
            <w:noWrap/>
            <w:vAlign w:val="center"/>
            <w:hideMark/>
          </w:tcPr>
          <w:p w14:paraId="08C0ADFA" w14:textId="404A9C2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r>
      <w:tr w:rsidR="008430BD" w:rsidRPr="001C3EC8" w14:paraId="716CD500" w14:textId="77777777" w:rsidTr="00E077F3">
        <w:trPr>
          <w:trHeight w:val="315"/>
        </w:trPr>
        <w:tc>
          <w:tcPr>
            <w:tcW w:w="2040" w:type="dxa"/>
            <w:tcBorders>
              <w:top w:val="nil"/>
              <w:left w:val="nil"/>
              <w:bottom w:val="single" w:sz="4" w:space="0" w:color="auto"/>
              <w:right w:val="nil"/>
            </w:tcBorders>
            <w:shd w:val="clear" w:color="auto" w:fill="auto"/>
            <w:noWrap/>
            <w:vAlign w:val="bottom"/>
            <w:hideMark/>
          </w:tcPr>
          <w:p w14:paraId="2132334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34" w:type="dxa"/>
            <w:tcBorders>
              <w:top w:val="nil"/>
              <w:left w:val="nil"/>
              <w:bottom w:val="single" w:sz="4" w:space="0" w:color="auto"/>
              <w:right w:val="nil"/>
            </w:tcBorders>
            <w:shd w:val="clear" w:color="auto" w:fill="auto"/>
            <w:noWrap/>
            <w:vAlign w:val="bottom"/>
            <w:hideMark/>
          </w:tcPr>
          <w:p w14:paraId="1DE65E7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79,80</w:t>
            </w:r>
          </w:p>
        </w:tc>
        <w:tc>
          <w:tcPr>
            <w:tcW w:w="947" w:type="dxa"/>
            <w:tcBorders>
              <w:top w:val="nil"/>
              <w:left w:val="nil"/>
              <w:bottom w:val="single" w:sz="4" w:space="0" w:color="auto"/>
              <w:right w:val="nil"/>
            </w:tcBorders>
            <w:shd w:val="clear" w:color="auto" w:fill="auto"/>
            <w:noWrap/>
            <w:vAlign w:val="center"/>
            <w:hideMark/>
          </w:tcPr>
          <w:p w14:paraId="29C31177"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-25 %</w:t>
            </w:r>
          </w:p>
        </w:tc>
        <w:tc>
          <w:tcPr>
            <w:tcW w:w="1233" w:type="dxa"/>
            <w:tcBorders>
              <w:top w:val="nil"/>
              <w:left w:val="single" w:sz="4" w:space="0" w:color="auto"/>
              <w:bottom w:val="single" w:sz="4" w:space="0" w:color="auto"/>
              <w:right w:val="nil"/>
            </w:tcBorders>
            <w:shd w:val="clear" w:color="auto" w:fill="auto"/>
            <w:noWrap/>
            <w:vAlign w:val="bottom"/>
            <w:hideMark/>
          </w:tcPr>
          <w:p w14:paraId="3B81BCF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77,95</w:t>
            </w:r>
          </w:p>
        </w:tc>
        <w:tc>
          <w:tcPr>
            <w:tcW w:w="946" w:type="dxa"/>
            <w:tcBorders>
              <w:top w:val="nil"/>
              <w:left w:val="nil"/>
              <w:bottom w:val="single" w:sz="4" w:space="0" w:color="auto"/>
              <w:right w:val="single" w:sz="4" w:space="0" w:color="auto"/>
            </w:tcBorders>
            <w:shd w:val="clear" w:color="auto" w:fill="auto"/>
            <w:noWrap/>
            <w:vAlign w:val="center"/>
            <w:hideMark/>
          </w:tcPr>
          <w:p w14:paraId="7B3B85E1" w14:textId="4A0A7F1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c>
          <w:tcPr>
            <w:tcW w:w="1038" w:type="dxa"/>
            <w:tcBorders>
              <w:top w:val="nil"/>
              <w:left w:val="nil"/>
              <w:bottom w:val="single" w:sz="4" w:space="0" w:color="auto"/>
              <w:right w:val="nil"/>
            </w:tcBorders>
            <w:shd w:val="clear" w:color="auto" w:fill="auto"/>
            <w:noWrap/>
            <w:vAlign w:val="bottom"/>
            <w:hideMark/>
          </w:tcPr>
          <w:p w14:paraId="358BF86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11,31</w:t>
            </w:r>
          </w:p>
        </w:tc>
        <w:tc>
          <w:tcPr>
            <w:tcW w:w="1082" w:type="dxa"/>
            <w:tcBorders>
              <w:top w:val="nil"/>
              <w:left w:val="nil"/>
              <w:bottom w:val="single" w:sz="4" w:space="0" w:color="auto"/>
              <w:right w:val="nil"/>
            </w:tcBorders>
            <w:shd w:val="clear" w:color="auto" w:fill="auto"/>
            <w:noWrap/>
            <w:vAlign w:val="center"/>
            <w:hideMark/>
          </w:tcPr>
          <w:p w14:paraId="55C493F4" w14:textId="629541E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09867E58" w14:textId="77777777" w:rsidTr="00E077F3">
        <w:trPr>
          <w:trHeight w:val="315"/>
        </w:trPr>
        <w:tc>
          <w:tcPr>
            <w:tcW w:w="2040" w:type="dxa"/>
            <w:tcBorders>
              <w:top w:val="nil"/>
              <w:left w:val="nil"/>
              <w:bottom w:val="single" w:sz="4" w:space="0" w:color="auto"/>
              <w:right w:val="nil"/>
            </w:tcBorders>
            <w:shd w:val="clear" w:color="auto" w:fill="auto"/>
            <w:noWrap/>
            <w:vAlign w:val="bottom"/>
            <w:hideMark/>
          </w:tcPr>
          <w:p w14:paraId="7734474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34" w:type="dxa"/>
            <w:tcBorders>
              <w:top w:val="nil"/>
              <w:left w:val="nil"/>
              <w:bottom w:val="single" w:sz="4" w:space="0" w:color="auto"/>
              <w:right w:val="nil"/>
            </w:tcBorders>
            <w:shd w:val="clear" w:color="auto" w:fill="auto"/>
            <w:noWrap/>
            <w:vAlign w:val="bottom"/>
            <w:hideMark/>
          </w:tcPr>
          <w:p w14:paraId="2B9F466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109,72</w:t>
            </w:r>
          </w:p>
        </w:tc>
        <w:tc>
          <w:tcPr>
            <w:tcW w:w="947" w:type="dxa"/>
            <w:tcBorders>
              <w:top w:val="nil"/>
              <w:left w:val="nil"/>
              <w:bottom w:val="single" w:sz="4" w:space="0" w:color="auto"/>
              <w:right w:val="nil"/>
            </w:tcBorders>
            <w:shd w:val="clear" w:color="auto" w:fill="auto"/>
            <w:noWrap/>
            <w:vAlign w:val="center"/>
            <w:hideMark/>
          </w:tcPr>
          <w:p w14:paraId="185C047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-9 %</w:t>
            </w:r>
          </w:p>
        </w:tc>
        <w:tc>
          <w:tcPr>
            <w:tcW w:w="1233" w:type="dxa"/>
            <w:tcBorders>
              <w:top w:val="nil"/>
              <w:left w:val="single" w:sz="4" w:space="0" w:color="auto"/>
              <w:bottom w:val="single" w:sz="4" w:space="0" w:color="auto"/>
              <w:right w:val="nil"/>
            </w:tcBorders>
            <w:shd w:val="clear" w:color="auto" w:fill="auto"/>
            <w:noWrap/>
            <w:vAlign w:val="bottom"/>
            <w:hideMark/>
          </w:tcPr>
          <w:p w14:paraId="1D24A5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110,66</w:t>
            </w:r>
          </w:p>
        </w:tc>
        <w:tc>
          <w:tcPr>
            <w:tcW w:w="946" w:type="dxa"/>
            <w:tcBorders>
              <w:top w:val="nil"/>
              <w:left w:val="nil"/>
              <w:bottom w:val="single" w:sz="4" w:space="0" w:color="auto"/>
              <w:right w:val="single" w:sz="4" w:space="0" w:color="auto"/>
            </w:tcBorders>
            <w:shd w:val="clear" w:color="auto" w:fill="auto"/>
            <w:noWrap/>
            <w:vAlign w:val="center"/>
            <w:hideMark/>
          </w:tcPr>
          <w:p w14:paraId="21E33A93" w14:textId="017D935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038" w:type="dxa"/>
            <w:tcBorders>
              <w:top w:val="nil"/>
              <w:left w:val="nil"/>
              <w:bottom w:val="single" w:sz="4" w:space="0" w:color="auto"/>
              <w:right w:val="nil"/>
            </w:tcBorders>
            <w:shd w:val="clear" w:color="auto" w:fill="auto"/>
            <w:noWrap/>
            <w:vAlign w:val="bottom"/>
            <w:hideMark/>
          </w:tcPr>
          <w:p w14:paraId="254ADC1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12,19</w:t>
            </w:r>
          </w:p>
        </w:tc>
        <w:tc>
          <w:tcPr>
            <w:tcW w:w="1082" w:type="dxa"/>
            <w:tcBorders>
              <w:top w:val="nil"/>
              <w:left w:val="nil"/>
              <w:bottom w:val="single" w:sz="4" w:space="0" w:color="auto"/>
              <w:right w:val="nil"/>
            </w:tcBorders>
            <w:shd w:val="clear" w:color="auto" w:fill="auto"/>
            <w:noWrap/>
            <w:vAlign w:val="center"/>
            <w:hideMark/>
          </w:tcPr>
          <w:p w14:paraId="43EA2B28" w14:textId="6B22DC1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2963C422" w14:textId="77777777" w:rsidTr="00E077F3">
        <w:trPr>
          <w:trHeight w:val="315"/>
        </w:trPr>
        <w:tc>
          <w:tcPr>
            <w:tcW w:w="2040" w:type="dxa"/>
            <w:tcBorders>
              <w:top w:val="nil"/>
              <w:left w:val="nil"/>
              <w:bottom w:val="single" w:sz="4" w:space="0" w:color="auto"/>
              <w:right w:val="nil"/>
            </w:tcBorders>
            <w:shd w:val="clear" w:color="auto" w:fill="auto"/>
            <w:noWrap/>
            <w:vAlign w:val="bottom"/>
            <w:hideMark/>
          </w:tcPr>
          <w:p w14:paraId="07A99D2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34" w:type="dxa"/>
            <w:tcBorders>
              <w:top w:val="nil"/>
              <w:left w:val="nil"/>
              <w:bottom w:val="single" w:sz="4" w:space="0" w:color="auto"/>
              <w:right w:val="nil"/>
            </w:tcBorders>
            <w:shd w:val="clear" w:color="auto" w:fill="auto"/>
            <w:noWrap/>
            <w:vAlign w:val="bottom"/>
            <w:hideMark/>
          </w:tcPr>
          <w:p w14:paraId="10FEE14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86,96</w:t>
            </w:r>
          </w:p>
        </w:tc>
        <w:tc>
          <w:tcPr>
            <w:tcW w:w="947" w:type="dxa"/>
            <w:tcBorders>
              <w:top w:val="nil"/>
              <w:left w:val="nil"/>
              <w:bottom w:val="single" w:sz="4" w:space="0" w:color="auto"/>
              <w:right w:val="nil"/>
            </w:tcBorders>
            <w:shd w:val="clear" w:color="auto" w:fill="auto"/>
            <w:noWrap/>
            <w:vAlign w:val="center"/>
            <w:hideMark/>
          </w:tcPr>
          <w:p w14:paraId="1D15EB51"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-13 %</w:t>
            </w:r>
          </w:p>
        </w:tc>
        <w:tc>
          <w:tcPr>
            <w:tcW w:w="1233" w:type="dxa"/>
            <w:tcBorders>
              <w:top w:val="nil"/>
              <w:left w:val="single" w:sz="4" w:space="0" w:color="auto"/>
              <w:bottom w:val="single" w:sz="4" w:space="0" w:color="auto"/>
              <w:right w:val="nil"/>
            </w:tcBorders>
            <w:shd w:val="clear" w:color="auto" w:fill="auto"/>
            <w:noWrap/>
            <w:vAlign w:val="bottom"/>
            <w:hideMark/>
          </w:tcPr>
          <w:p w14:paraId="6CF139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88,74</w:t>
            </w:r>
          </w:p>
        </w:tc>
        <w:tc>
          <w:tcPr>
            <w:tcW w:w="946" w:type="dxa"/>
            <w:tcBorders>
              <w:top w:val="nil"/>
              <w:left w:val="nil"/>
              <w:bottom w:val="single" w:sz="4" w:space="0" w:color="auto"/>
              <w:right w:val="single" w:sz="4" w:space="0" w:color="auto"/>
            </w:tcBorders>
            <w:shd w:val="clear" w:color="auto" w:fill="auto"/>
            <w:noWrap/>
            <w:vAlign w:val="center"/>
            <w:hideMark/>
          </w:tcPr>
          <w:p w14:paraId="7D3A8A40" w14:textId="71341D7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038" w:type="dxa"/>
            <w:tcBorders>
              <w:top w:val="nil"/>
              <w:left w:val="nil"/>
              <w:bottom w:val="single" w:sz="4" w:space="0" w:color="auto"/>
              <w:right w:val="nil"/>
            </w:tcBorders>
            <w:shd w:val="clear" w:color="auto" w:fill="auto"/>
            <w:noWrap/>
            <w:vAlign w:val="bottom"/>
            <w:hideMark/>
          </w:tcPr>
          <w:p w14:paraId="49D6AEF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19,86</w:t>
            </w:r>
          </w:p>
        </w:tc>
        <w:tc>
          <w:tcPr>
            <w:tcW w:w="1082" w:type="dxa"/>
            <w:tcBorders>
              <w:top w:val="nil"/>
              <w:left w:val="nil"/>
              <w:bottom w:val="single" w:sz="4" w:space="0" w:color="auto"/>
              <w:right w:val="nil"/>
            </w:tcBorders>
            <w:shd w:val="clear" w:color="auto" w:fill="auto"/>
            <w:noWrap/>
            <w:vAlign w:val="center"/>
            <w:hideMark/>
          </w:tcPr>
          <w:p w14:paraId="4C02FAFE" w14:textId="3491305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r>
      <w:tr w:rsidR="008430BD" w:rsidRPr="001C3EC8" w14:paraId="3B066E66" w14:textId="77777777" w:rsidTr="00E077F3">
        <w:trPr>
          <w:trHeight w:val="315"/>
        </w:trPr>
        <w:tc>
          <w:tcPr>
            <w:tcW w:w="2040" w:type="dxa"/>
            <w:tcBorders>
              <w:top w:val="nil"/>
              <w:left w:val="nil"/>
              <w:bottom w:val="single" w:sz="4" w:space="0" w:color="auto"/>
              <w:right w:val="nil"/>
            </w:tcBorders>
            <w:shd w:val="clear" w:color="auto" w:fill="auto"/>
            <w:noWrap/>
            <w:vAlign w:val="bottom"/>
            <w:hideMark/>
          </w:tcPr>
          <w:p w14:paraId="7368085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34" w:type="dxa"/>
            <w:tcBorders>
              <w:top w:val="nil"/>
              <w:left w:val="nil"/>
              <w:bottom w:val="single" w:sz="4" w:space="0" w:color="auto"/>
              <w:right w:val="nil"/>
            </w:tcBorders>
            <w:shd w:val="clear" w:color="auto" w:fill="auto"/>
            <w:noWrap/>
            <w:vAlign w:val="bottom"/>
            <w:hideMark/>
          </w:tcPr>
          <w:p w14:paraId="7915EA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105,93</w:t>
            </w:r>
          </w:p>
        </w:tc>
        <w:tc>
          <w:tcPr>
            <w:tcW w:w="947" w:type="dxa"/>
            <w:tcBorders>
              <w:top w:val="nil"/>
              <w:left w:val="nil"/>
              <w:bottom w:val="single" w:sz="4" w:space="0" w:color="auto"/>
              <w:right w:val="nil"/>
            </w:tcBorders>
            <w:shd w:val="clear" w:color="auto" w:fill="auto"/>
            <w:noWrap/>
            <w:vAlign w:val="center"/>
            <w:hideMark/>
          </w:tcPr>
          <w:p w14:paraId="58E315DD"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-16 %</w:t>
            </w:r>
          </w:p>
        </w:tc>
        <w:tc>
          <w:tcPr>
            <w:tcW w:w="1233" w:type="dxa"/>
            <w:tcBorders>
              <w:top w:val="nil"/>
              <w:left w:val="single" w:sz="4" w:space="0" w:color="auto"/>
              <w:bottom w:val="single" w:sz="4" w:space="0" w:color="auto"/>
              <w:right w:val="nil"/>
            </w:tcBorders>
            <w:shd w:val="clear" w:color="auto" w:fill="auto"/>
            <w:noWrap/>
            <w:vAlign w:val="bottom"/>
            <w:hideMark/>
          </w:tcPr>
          <w:p w14:paraId="1ACA91E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107,58</w:t>
            </w:r>
          </w:p>
        </w:tc>
        <w:tc>
          <w:tcPr>
            <w:tcW w:w="946" w:type="dxa"/>
            <w:tcBorders>
              <w:top w:val="nil"/>
              <w:left w:val="nil"/>
              <w:bottom w:val="single" w:sz="4" w:space="0" w:color="auto"/>
              <w:right w:val="single" w:sz="4" w:space="0" w:color="auto"/>
            </w:tcBorders>
            <w:shd w:val="clear" w:color="auto" w:fill="auto"/>
            <w:noWrap/>
            <w:vAlign w:val="center"/>
            <w:hideMark/>
          </w:tcPr>
          <w:p w14:paraId="684D3EB6" w14:textId="6E9DA19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1038" w:type="dxa"/>
            <w:tcBorders>
              <w:top w:val="nil"/>
              <w:left w:val="nil"/>
              <w:bottom w:val="single" w:sz="4" w:space="0" w:color="auto"/>
              <w:right w:val="nil"/>
            </w:tcBorders>
            <w:shd w:val="clear" w:color="auto" w:fill="auto"/>
            <w:noWrap/>
            <w:vAlign w:val="bottom"/>
            <w:hideMark/>
          </w:tcPr>
          <w:p w14:paraId="766BB1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12,54</w:t>
            </w:r>
          </w:p>
        </w:tc>
        <w:tc>
          <w:tcPr>
            <w:tcW w:w="1082" w:type="dxa"/>
            <w:tcBorders>
              <w:top w:val="nil"/>
              <w:left w:val="nil"/>
              <w:bottom w:val="single" w:sz="4" w:space="0" w:color="auto"/>
              <w:right w:val="nil"/>
            </w:tcBorders>
            <w:shd w:val="clear" w:color="auto" w:fill="auto"/>
            <w:noWrap/>
            <w:vAlign w:val="center"/>
            <w:hideMark/>
          </w:tcPr>
          <w:p w14:paraId="1C8525C3" w14:textId="091C744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8430BD" w:rsidRPr="001C3EC8" w14:paraId="54CE2DBA" w14:textId="77777777" w:rsidTr="00E077F3">
        <w:trPr>
          <w:trHeight w:val="315"/>
        </w:trPr>
        <w:tc>
          <w:tcPr>
            <w:tcW w:w="2040" w:type="dxa"/>
            <w:tcBorders>
              <w:top w:val="nil"/>
              <w:left w:val="nil"/>
              <w:bottom w:val="single" w:sz="4" w:space="0" w:color="auto"/>
              <w:right w:val="nil"/>
            </w:tcBorders>
            <w:shd w:val="clear" w:color="auto" w:fill="auto"/>
            <w:noWrap/>
            <w:vAlign w:val="bottom"/>
            <w:hideMark/>
          </w:tcPr>
          <w:p w14:paraId="00C6209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34" w:type="dxa"/>
            <w:tcBorders>
              <w:top w:val="nil"/>
              <w:left w:val="nil"/>
              <w:bottom w:val="single" w:sz="4" w:space="0" w:color="auto"/>
              <w:right w:val="nil"/>
            </w:tcBorders>
            <w:shd w:val="clear" w:color="auto" w:fill="auto"/>
            <w:noWrap/>
            <w:vAlign w:val="bottom"/>
            <w:hideMark/>
          </w:tcPr>
          <w:p w14:paraId="4BDDED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91,92</w:t>
            </w:r>
          </w:p>
        </w:tc>
        <w:tc>
          <w:tcPr>
            <w:tcW w:w="947" w:type="dxa"/>
            <w:tcBorders>
              <w:top w:val="nil"/>
              <w:left w:val="nil"/>
              <w:bottom w:val="single" w:sz="4" w:space="0" w:color="auto"/>
              <w:right w:val="nil"/>
            </w:tcBorders>
            <w:shd w:val="clear" w:color="auto" w:fill="auto"/>
            <w:noWrap/>
            <w:vAlign w:val="center"/>
            <w:hideMark/>
          </w:tcPr>
          <w:p w14:paraId="1BEEC46B"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-17 %</w:t>
            </w:r>
          </w:p>
        </w:tc>
        <w:tc>
          <w:tcPr>
            <w:tcW w:w="1233" w:type="dxa"/>
            <w:tcBorders>
              <w:top w:val="nil"/>
              <w:left w:val="single" w:sz="4" w:space="0" w:color="auto"/>
              <w:bottom w:val="single" w:sz="4" w:space="0" w:color="auto"/>
              <w:right w:val="nil"/>
            </w:tcBorders>
            <w:shd w:val="clear" w:color="auto" w:fill="auto"/>
            <w:noWrap/>
            <w:vAlign w:val="bottom"/>
            <w:hideMark/>
          </w:tcPr>
          <w:p w14:paraId="31F1F06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95,34</w:t>
            </w:r>
          </w:p>
        </w:tc>
        <w:tc>
          <w:tcPr>
            <w:tcW w:w="946" w:type="dxa"/>
            <w:tcBorders>
              <w:top w:val="nil"/>
              <w:left w:val="nil"/>
              <w:bottom w:val="single" w:sz="4" w:space="0" w:color="auto"/>
              <w:right w:val="single" w:sz="4" w:space="0" w:color="auto"/>
            </w:tcBorders>
            <w:shd w:val="clear" w:color="auto" w:fill="auto"/>
            <w:noWrap/>
            <w:vAlign w:val="center"/>
            <w:hideMark/>
          </w:tcPr>
          <w:p w14:paraId="29A137E0" w14:textId="19FBEB5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1038" w:type="dxa"/>
            <w:tcBorders>
              <w:top w:val="nil"/>
              <w:left w:val="nil"/>
              <w:bottom w:val="single" w:sz="4" w:space="0" w:color="auto"/>
              <w:right w:val="nil"/>
            </w:tcBorders>
            <w:shd w:val="clear" w:color="auto" w:fill="auto"/>
            <w:noWrap/>
            <w:vAlign w:val="bottom"/>
            <w:hideMark/>
          </w:tcPr>
          <w:p w14:paraId="28E961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33,62</w:t>
            </w:r>
          </w:p>
        </w:tc>
        <w:tc>
          <w:tcPr>
            <w:tcW w:w="1082" w:type="dxa"/>
            <w:tcBorders>
              <w:top w:val="nil"/>
              <w:left w:val="nil"/>
              <w:bottom w:val="single" w:sz="4" w:space="0" w:color="auto"/>
              <w:right w:val="nil"/>
            </w:tcBorders>
            <w:shd w:val="clear" w:color="auto" w:fill="auto"/>
            <w:noWrap/>
            <w:vAlign w:val="center"/>
            <w:hideMark/>
          </w:tcPr>
          <w:p w14:paraId="1C53C58B" w14:textId="02A48B0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8430BD" w:rsidRPr="001C3EC8" w14:paraId="5AD03718" w14:textId="77777777" w:rsidTr="00E077F3">
        <w:trPr>
          <w:trHeight w:val="330"/>
        </w:trPr>
        <w:tc>
          <w:tcPr>
            <w:tcW w:w="2040" w:type="dxa"/>
            <w:tcBorders>
              <w:top w:val="nil"/>
              <w:left w:val="nil"/>
              <w:bottom w:val="double" w:sz="6" w:space="0" w:color="auto"/>
              <w:right w:val="nil"/>
            </w:tcBorders>
            <w:shd w:val="clear" w:color="auto" w:fill="auto"/>
            <w:noWrap/>
            <w:vAlign w:val="bottom"/>
            <w:hideMark/>
          </w:tcPr>
          <w:p w14:paraId="04BD164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34" w:type="dxa"/>
            <w:tcBorders>
              <w:top w:val="nil"/>
              <w:left w:val="nil"/>
              <w:bottom w:val="double" w:sz="6" w:space="0" w:color="auto"/>
              <w:right w:val="nil"/>
            </w:tcBorders>
            <w:shd w:val="clear" w:color="auto" w:fill="auto"/>
            <w:noWrap/>
            <w:vAlign w:val="bottom"/>
            <w:hideMark/>
          </w:tcPr>
          <w:p w14:paraId="650D911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175,09</w:t>
            </w:r>
          </w:p>
        </w:tc>
        <w:tc>
          <w:tcPr>
            <w:tcW w:w="947" w:type="dxa"/>
            <w:tcBorders>
              <w:top w:val="nil"/>
              <w:left w:val="nil"/>
              <w:bottom w:val="double" w:sz="6" w:space="0" w:color="auto"/>
              <w:right w:val="nil"/>
            </w:tcBorders>
            <w:shd w:val="clear" w:color="auto" w:fill="auto"/>
            <w:noWrap/>
            <w:vAlign w:val="center"/>
            <w:hideMark/>
          </w:tcPr>
          <w:p w14:paraId="548408A1" w14:textId="777777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-5 %</w:t>
            </w:r>
          </w:p>
        </w:tc>
        <w:tc>
          <w:tcPr>
            <w:tcW w:w="1233" w:type="dxa"/>
            <w:tcBorders>
              <w:top w:val="nil"/>
              <w:left w:val="single" w:sz="4" w:space="0" w:color="auto"/>
              <w:bottom w:val="double" w:sz="6" w:space="0" w:color="auto"/>
              <w:right w:val="nil"/>
            </w:tcBorders>
            <w:shd w:val="clear" w:color="auto" w:fill="auto"/>
            <w:noWrap/>
            <w:vAlign w:val="bottom"/>
            <w:hideMark/>
          </w:tcPr>
          <w:p w14:paraId="684BEA3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162,61</w:t>
            </w:r>
          </w:p>
        </w:tc>
        <w:tc>
          <w:tcPr>
            <w:tcW w:w="946" w:type="dxa"/>
            <w:tcBorders>
              <w:top w:val="nil"/>
              <w:left w:val="nil"/>
              <w:bottom w:val="double" w:sz="6" w:space="0" w:color="auto"/>
              <w:right w:val="single" w:sz="4" w:space="0" w:color="auto"/>
            </w:tcBorders>
            <w:shd w:val="clear" w:color="auto" w:fill="auto"/>
            <w:noWrap/>
            <w:vAlign w:val="center"/>
            <w:hideMark/>
          </w:tcPr>
          <w:p w14:paraId="4364549C" w14:textId="5A9C581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c>
          <w:tcPr>
            <w:tcW w:w="1038" w:type="dxa"/>
            <w:tcBorders>
              <w:top w:val="nil"/>
              <w:left w:val="nil"/>
              <w:bottom w:val="double" w:sz="6" w:space="0" w:color="auto"/>
              <w:right w:val="nil"/>
            </w:tcBorders>
            <w:shd w:val="clear" w:color="auto" w:fill="auto"/>
            <w:noWrap/>
            <w:vAlign w:val="bottom"/>
            <w:hideMark/>
          </w:tcPr>
          <w:p w14:paraId="7B0EB35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47,50</w:t>
            </w:r>
          </w:p>
        </w:tc>
        <w:tc>
          <w:tcPr>
            <w:tcW w:w="1082" w:type="dxa"/>
            <w:tcBorders>
              <w:top w:val="nil"/>
              <w:left w:val="nil"/>
              <w:bottom w:val="double" w:sz="6" w:space="0" w:color="auto"/>
              <w:right w:val="nil"/>
            </w:tcBorders>
            <w:shd w:val="clear" w:color="auto" w:fill="auto"/>
            <w:noWrap/>
            <w:vAlign w:val="center"/>
            <w:hideMark/>
          </w:tcPr>
          <w:p w14:paraId="7E032C87" w14:textId="1060B91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r>
      <w:tr w:rsidR="008430BD" w:rsidRPr="001C3EC8" w14:paraId="2D39F292" w14:textId="77777777" w:rsidTr="00E077F3">
        <w:trPr>
          <w:trHeight w:val="345"/>
        </w:trPr>
        <w:tc>
          <w:tcPr>
            <w:tcW w:w="2040" w:type="dxa"/>
            <w:tcBorders>
              <w:top w:val="nil"/>
              <w:left w:val="nil"/>
              <w:bottom w:val="double" w:sz="6" w:space="0" w:color="auto"/>
              <w:right w:val="nil"/>
            </w:tcBorders>
            <w:shd w:val="clear" w:color="auto" w:fill="auto"/>
            <w:noWrap/>
            <w:vAlign w:val="bottom"/>
            <w:hideMark/>
          </w:tcPr>
          <w:p w14:paraId="00DE7DE5"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34" w:type="dxa"/>
            <w:tcBorders>
              <w:top w:val="nil"/>
              <w:left w:val="nil"/>
              <w:bottom w:val="double" w:sz="6" w:space="0" w:color="auto"/>
              <w:right w:val="nil"/>
            </w:tcBorders>
            <w:shd w:val="clear" w:color="auto" w:fill="auto"/>
            <w:noWrap/>
            <w:vAlign w:val="bottom"/>
            <w:hideMark/>
          </w:tcPr>
          <w:p w14:paraId="72907C6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116,86</w:t>
            </w:r>
          </w:p>
        </w:tc>
        <w:tc>
          <w:tcPr>
            <w:tcW w:w="947" w:type="dxa"/>
            <w:tcBorders>
              <w:top w:val="nil"/>
              <w:left w:val="nil"/>
              <w:bottom w:val="double" w:sz="6" w:space="0" w:color="auto"/>
              <w:right w:val="nil"/>
            </w:tcBorders>
            <w:shd w:val="clear" w:color="auto" w:fill="auto"/>
            <w:noWrap/>
            <w:vAlign w:val="center"/>
            <w:hideMark/>
          </w:tcPr>
          <w:p w14:paraId="2C025152" w14:textId="7777777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-9 %</w:t>
            </w:r>
          </w:p>
        </w:tc>
        <w:tc>
          <w:tcPr>
            <w:tcW w:w="1233" w:type="dxa"/>
            <w:tcBorders>
              <w:top w:val="nil"/>
              <w:left w:val="single" w:sz="4" w:space="0" w:color="auto"/>
              <w:bottom w:val="double" w:sz="6" w:space="0" w:color="auto"/>
              <w:right w:val="nil"/>
            </w:tcBorders>
            <w:shd w:val="clear" w:color="auto" w:fill="auto"/>
            <w:noWrap/>
            <w:vAlign w:val="bottom"/>
            <w:hideMark/>
          </w:tcPr>
          <w:p w14:paraId="6FF66F3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116,06</w:t>
            </w:r>
          </w:p>
        </w:tc>
        <w:tc>
          <w:tcPr>
            <w:tcW w:w="946" w:type="dxa"/>
            <w:tcBorders>
              <w:top w:val="nil"/>
              <w:left w:val="nil"/>
              <w:bottom w:val="double" w:sz="6" w:space="0" w:color="auto"/>
              <w:right w:val="single" w:sz="4" w:space="0" w:color="auto"/>
            </w:tcBorders>
            <w:shd w:val="clear" w:color="auto" w:fill="auto"/>
            <w:noWrap/>
            <w:vAlign w:val="center"/>
            <w:hideMark/>
          </w:tcPr>
          <w:p w14:paraId="5C153BD7" w14:textId="50768D09"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-12 </w:t>
            </w:r>
            <w:r w:rsidR="00B07E76">
              <w:rPr>
                <w:rFonts w:eastAsia="Times New Roman"/>
                <w:b/>
                <w:bCs/>
                <w:color w:val="000000" w:themeColor="text1"/>
                <w:sz w:val="20"/>
                <w:szCs w:val="20"/>
                <w:lang w:eastAsia="cs-CZ"/>
              </w:rPr>
              <w:t>%</w:t>
            </w:r>
          </w:p>
        </w:tc>
        <w:tc>
          <w:tcPr>
            <w:tcW w:w="1038" w:type="dxa"/>
            <w:tcBorders>
              <w:top w:val="nil"/>
              <w:left w:val="nil"/>
              <w:bottom w:val="double" w:sz="6" w:space="0" w:color="auto"/>
              <w:right w:val="nil"/>
            </w:tcBorders>
            <w:shd w:val="clear" w:color="auto" w:fill="auto"/>
            <w:noWrap/>
            <w:vAlign w:val="bottom"/>
            <w:hideMark/>
          </w:tcPr>
          <w:p w14:paraId="35A57D0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23,09</w:t>
            </w:r>
          </w:p>
        </w:tc>
        <w:tc>
          <w:tcPr>
            <w:tcW w:w="1082" w:type="dxa"/>
            <w:tcBorders>
              <w:top w:val="nil"/>
              <w:left w:val="nil"/>
              <w:bottom w:val="double" w:sz="6" w:space="0" w:color="auto"/>
              <w:right w:val="nil"/>
            </w:tcBorders>
            <w:shd w:val="clear" w:color="auto" w:fill="auto"/>
            <w:noWrap/>
            <w:vAlign w:val="center"/>
            <w:hideMark/>
          </w:tcPr>
          <w:p w14:paraId="28BB1C50" w14:textId="739421D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+4 </w:t>
            </w:r>
            <w:r w:rsidR="00B07E76">
              <w:rPr>
                <w:rFonts w:eastAsia="Times New Roman"/>
                <w:b/>
                <w:bCs/>
                <w:color w:val="000000" w:themeColor="text1"/>
                <w:sz w:val="20"/>
                <w:szCs w:val="20"/>
                <w:lang w:eastAsia="cs-CZ"/>
              </w:rPr>
              <w:t>%</w:t>
            </w:r>
          </w:p>
        </w:tc>
      </w:tr>
    </w:tbl>
    <w:p w14:paraId="231B85C9" w14:textId="77777777" w:rsidR="008430BD" w:rsidRPr="001C3EC8" w:rsidRDefault="008430BD" w:rsidP="008430BD">
      <w:pPr>
        <w:rPr>
          <w:color w:val="000000" w:themeColor="text1"/>
          <w:highlight w:val="yellow"/>
        </w:rPr>
      </w:pPr>
    </w:p>
    <w:p w14:paraId="71E83314" w14:textId="77777777" w:rsidR="008430BD" w:rsidRPr="001C3EC8" w:rsidRDefault="008430BD" w:rsidP="008430BD">
      <w:pPr>
        <w:pStyle w:val="Nadpis3"/>
        <w:numPr>
          <w:ilvl w:val="2"/>
          <w:numId w:val="1"/>
        </w:numPr>
        <w:rPr>
          <w:color w:val="000000" w:themeColor="text1"/>
        </w:rPr>
      </w:pPr>
      <w:bookmarkStart w:id="487" w:name="_Toc41058973"/>
      <w:bookmarkStart w:id="488" w:name="_Toc515871256"/>
      <w:bookmarkStart w:id="489" w:name="_Toc75952096"/>
      <w:bookmarkEnd w:id="487"/>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488"/>
      <w:proofErr w:type="spellEnd"/>
      <w:r w:rsidRPr="001C3EC8">
        <w:rPr>
          <w:color w:val="000000" w:themeColor="text1"/>
        </w:rPr>
        <w:t xml:space="preserve"> (dispoziční čas)</w:t>
      </w:r>
      <w:bookmarkEnd w:id="489"/>
    </w:p>
    <w:p w14:paraId="73FC75E8" w14:textId="21678BF0" w:rsidR="008430BD" w:rsidRPr="001C3EC8" w:rsidRDefault="008430BD" w:rsidP="008430BD">
      <w:pPr>
        <w:pStyle w:val="OdstavecASR"/>
        <w:rPr>
          <w:color w:val="000000" w:themeColor="text1"/>
        </w:rPr>
      </w:pPr>
      <w:r w:rsidRPr="001C3EC8">
        <w:rPr>
          <w:color w:val="000000" w:themeColor="text1"/>
        </w:rPr>
        <w:t xml:space="preserve">Připomeňme, že se jedná </w:t>
      </w:r>
      <w:r w:rsidR="0014150C" w:rsidRPr="001C3EC8">
        <w:rPr>
          <w:color w:val="000000" w:themeColor="text1"/>
        </w:rPr>
        <w:t>o</w:t>
      </w:r>
      <w:r w:rsidR="0014150C">
        <w:rPr>
          <w:color w:val="000000" w:themeColor="text1"/>
        </w:rPr>
        <w:t> </w:t>
      </w:r>
      <w:r w:rsidRPr="001C3EC8">
        <w:rPr>
          <w:color w:val="000000" w:themeColor="text1"/>
        </w:rPr>
        <w:t xml:space="preserve">ukazatel efektivnosti vyřizování věcí </w:t>
      </w:r>
      <w:r w:rsidR="0014150C" w:rsidRPr="001C3EC8">
        <w:rPr>
          <w:color w:val="000000" w:themeColor="text1"/>
        </w:rPr>
        <w:t>a</w:t>
      </w:r>
      <w:r w:rsidR="0014150C">
        <w:rPr>
          <w:color w:val="000000" w:themeColor="text1"/>
        </w:rPr>
        <w:t> </w:t>
      </w:r>
      <w:r w:rsidRPr="001C3EC8">
        <w:rPr>
          <w:color w:val="000000" w:themeColor="text1"/>
        </w:rPr>
        <w:t xml:space="preserve">vyjadřuje, za kolik dní by daný soud vyřídil nevyřízené věci již ležící na soudu, pokud by neměl žádný nový nápad </w:t>
      </w:r>
      <w:r w:rsidR="0014150C" w:rsidRPr="001C3EC8">
        <w:rPr>
          <w:color w:val="000000" w:themeColor="text1"/>
        </w:rPr>
        <w:t>a</w:t>
      </w:r>
      <w:r w:rsidR="0014150C">
        <w:rPr>
          <w:color w:val="000000" w:themeColor="text1"/>
        </w:rPr>
        <w:t> </w:t>
      </w:r>
      <w:r w:rsidRPr="001C3EC8">
        <w:rPr>
          <w:color w:val="000000" w:themeColor="text1"/>
        </w:rPr>
        <w:t>pracoval stejným tempem.</w:t>
      </w:r>
    </w:p>
    <w:p w14:paraId="374437FF" w14:textId="1851EA55" w:rsidR="008430BD" w:rsidRPr="001C3EC8" w:rsidRDefault="008430BD" w:rsidP="008430BD">
      <w:pPr>
        <w:pStyle w:val="OdstavecASR"/>
        <w:rPr>
          <w:color w:val="000000" w:themeColor="text1"/>
        </w:rPr>
      </w:pPr>
      <w:r w:rsidRPr="001C3EC8">
        <w:rPr>
          <w:color w:val="000000" w:themeColor="text1"/>
        </w:rPr>
        <w:t xml:space="preserve">DT se v letech 2017–2018 mírně prodlužoval, což bylo způsobeno tím, že rychlé vyřizování věcí se neodráží ve stejně rychlém ubývání nevyřízených věcí v daném roce. V roce 2019 se DT díky signifikantnímu poklesu v počtu nevyřízených věcí snížil na úroveň </w:t>
      </w:r>
      <w:r w:rsidR="00230055" w:rsidRPr="001C3EC8">
        <w:rPr>
          <w:color w:val="000000" w:themeColor="text1"/>
        </w:rPr>
        <w:t>roku</w:t>
      </w:r>
      <w:r w:rsidRPr="001C3EC8">
        <w:rPr>
          <w:color w:val="000000" w:themeColor="text1"/>
        </w:rPr>
        <w:t xml:space="preserve"> 2016, tj. </w:t>
      </w:r>
      <w:r w:rsidR="00230055" w:rsidRPr="001C3EC8">
        <w:rPr>
          <w:color w:val="000000" w:themeColor="text1"/>
        </w:rPr>
        <w:t xml:space="preserve">na </w:t>
      </w:r>
      <w:r w:rsidRPr="001C3EC8">
        <w:rPr>
          <w:color w:val="000000" w:themeColor="text1"/>
        </w:rPr>
        <w:t xml:space="preserve">nejnižší </w:t>
      </w:r>
      <w:r w:rsidR="00230055" w:rsidRPr="001C3EC8">
        <w:rPr>
          <w:color w:val="000000" w:themeColor="text1"/>
        </w:rPr>
        <w:t xml:space="preserve">úroveň </w:t>
      </w:r>
      <w:r w:rsidRPr="001C3EC8">
        <w:rPr>
          <w:color w:val="000000" w:themeColor="text1"/>
        </w:rPr>
        <w:t xml:space="preserve">za celé sledované období. V roce 2020 pak DT narostl, což plyne především z poklesu nápadu, </w:t>
      </w:r>
      <w:r w:rsidR="0014150C" w:rsidRPr="001C3EC8">
        <w:rPr>
          <w:color w:val="000000" w:themeColor="text1"/>
        </w:rPr>
        <w:t>a</w:t>
      </w:r>
      <w:r w:rsidR="0014150C">
        <w:rPr>
          <w:color w:val="000000" w:themeColor="text1"/>
        </w:rPr>
        <w:t> </w:t>
      </w:r>
      <w:r w:rsidRPr="001C3EC8">
        <w:rPr>
          <w:color w:val="000000" w:themeColor="text1"/>
        </w:rPr>
        <w:t>tedy poklesu v počtu vyřízených věcí.</w:t>
      </w:r>
    </w:p>
    <w:p w14:paraId="4F250F12" w14:textId="27D40BCF" w:rsidR="008430BD" w:rsidRPr="001C3EC8" w:rsidRDefault="008430BD" w:rsidP="008430BD">
      <w:pPr>
        <w:pStyle w:val="OdstavecASR"/>
        <w:rPr>
          <w:color w:val="000000" w:themeColor="text1"/>
        </w:rPr>
      </w:pPr>
      <w:r w:rsidRPr="001C3EC8">
        <w:rPr>
          <w:color w:val="000000" w:themeColor="text1"/>
        </w:rPr>
        <w:t xml:space="preserve">Stejně jako v ostatních agendách existují v odvolací civilní agendě u krajských soudů velké rozdíly mezi soudy </w:t>
      </w:r>
      <w:r w:rsidR="0014150C" w:rsidRPr="001C3EC8">
        <w:rPr>
          <w:color w:val="000000" w:themeColor="text1"/>
        </w:rPr>
        <w:t>a</w:t>
      </w:r>
      <w:r w:rsidR="0014150C">
        <w:rPr>
          <w:color w:val="000000" w:themeColor="text1"/>
        </w:rPr>
        <w:t> </w:t>
      </w:r>
      <w:r w:rsidRPr="001C3EC8">
        <w:rPr>
          <w:color w:val="000000" w:themeColor="text1"/>
        </w:rPr>
        <w:t xml:space="preserve">také v rámci soudu lze v časových řadách registrovat více či méně pravidelné odchylky. V roce 2020 se DT zhoršil </w:t>
      </w:r>
      <w:r w:rsidR="0014150C" w:rsidRPr="001C3EC8">
        <w:rPr>
          <w:color w:val="000000" w:themeColor="text1"/>
        </w:rPr>
        <w:t>u</w:t>
      </w:r>
      <w:r w:rsidR="0014150C">
        <w:rPr>
          <w:color w:val="000000" w:themeColor="text1"/>
        </w:rPr>
        <w:t> </w:t>
      </w:r>
      <w:r w:rsidRPr="001C3EC8">
        <w:rPr>
          <w:color w:val="000000" w:themeColor="text1"/>
        </w:rPr>
        <w:t xml:space="preserve">všech soudů, </w:t>
      </w:r>
      <w:r w:rsidR="0014150C" w:rsidRPr="001C3EC8">
        <w:rPr>
          <w:color w:val="000000" w:themeColor="text1"/>
        </w:rPr>
        <w:t>u</w:t>
      </w:r>
      <w:r w:rsidR="0014150C">
        <w:rPr>
          <w:color w:val="000000" w:themeColor="text1"/>
        </w:rPr>
        <w:t> </w:t>
      </w:r>
      <w:r w:rsidRPr="001C3EC8">
        <w:rPr>
          <w:color w:val="000000" w:themeColor="text1"/>
        </w:rPr>
        <w:t xml:space="preserve">některých více, </w:t>
      </w:r>
      <w:r w:rsidR="0014150C" w:rsidRPr="001C3EC8">
        <w:rPr>
          <w:color w:val="000000" w:themeColor="text1"/>
        </w:rPr>
        <w:t>u</w:t>
      </w:r>
      <w:r w:rsidR="0014150C">
        <w:rPr>
          <w:color w:val="000000" w:themeColor="text1"/>
        </w:rPr>
        <w:t> </w:t>
      </w:r>
      <w:r w:rsidRPr="001C3EC8">
        <w:rPr>
          <w:color w:val="000000" w:themeColor="text1"/>
        </w:rPr>
        <w:t xml:space="preserve">některých méně. Největší nárůst je logicky </w:t>
      </w:r>
      <w:r w:rsidR="0014150C" w:rsidRPr="001C3EC8">
        <w:rPr>
          <w:color w:val="000000" w:themeColor="text1"/>
        </w:rPr>
        <w:t>u</w:t>
      </w:r>
      <w:r w:rsidR="0014150C">
        <w:rPr>
          <w:color w:val="000000" w:themeColor="text1"/>
        </w:rPr>
        <w:t> </w:t>
      </w:r>
      <w:r w:rsidRPr="001C3EC8">
        <w:rPr>
          <w:color w:val="000000" w:themeColor="text1"/>
        </w:rPr>
        <w:t>KS v Ostravě kvůli velkému nárůstu v počtu nevyřízených věcí.</w:t>
      </w:r>
    </w:p>
    <w:p w14:paraId="5BC012C8" w14:textId="13917A61" w:rsidR="008430BD" w:rsidRPr="001C3EC8" w:rsidRDefault="008430BD" w:rsidP="008430BD">
      <w:pPr>
        <w:pStyle w:val="OdstavecASR"/>
        <w:rPr>
          <w:color w:val="000000" w:themeColor="text1"/>
        </w:rPr>
      </w:pPr>
      <w:r w:rsidRPr="001C3EC8">
        <w:rPr>
          <w:color w:val="000000" w:themeColor="text1"/>
        </w:rPr>
        <w:t xml:space="preserve">Závěrem lze konstatovat, že délky řízení i DT </w:t>
      </w:r>
      <w:r w:rsidR="0014150C" w:rsidRPr="001C3EC8">
        <w:rPr>
          <w:color w:val="000000" w:themeColor="text1"/>
        </w:rPr>
        <w:t>u</w:t>
      </w:r>
      <w:r w:rsidR="0014150C">
        <w:rPr>
          <w:color w:val="000000" w:themeColor="text1"/>
        </w:rPr>
        <w:t> </w:t>
      </w:r>
      <w:r w:rsidRPr="001C3EC8">
        <w:rPr>
          <w:color w:val="000000" w:themeColor="text1"/>
        </w:rPr>
        <w:t xml:space="preserve">odvolací civilní agendy </w:t>
      </w:r>
      <w:r w:rsidR="0014150C" w:rsidRPr="001C3EC8">
        <w:rPr>
          <w:color w:val="000000" w:themeColor="text1"/>
        </w:rPr>
        <w:t>u</w:t>
      </w:r>
      <w:r w:rsidR="0014150C">
        <w:rPr>
          <w:color w:val="000000" w:themeColor="text1"/>
        </w:rPr>
        <w:t> </w:t>
      </w:r>
      <w:r w:rsidRPr="001C3EC8">
        <w:rPr>
          <w:color w:val="000000" w:themeColor="text1"/>
        </w:rPr>
        <w:t xml:space="preserve">krajských soudů jsou v průměru nízké a agenda je z tohoto hlediska poměrně bezproblémová. Určité problémy má dlouhodobě především KS Brno, kde je úroveň DT násobně vyšší než </w:t>
      </w:r>
      <w:r w:rsidR="0014150C" w:rsidRPr="001C3EC8">
        <w:rPr>
          <w:color w:val="000000" w:themeColor="text1"/>
        </w:rPr>
        <w:t>u</w:t>
      </w:r>
      <w:r w:rsidR="0014150C">
        <w:rPr>
          <w:color w:val="000000" w:themeColor="text1"/>
        </w:rPr>
        <w:t> </w:t>
      </w:r>
      <w:r w:rsidRPr="001C3EC8">
        <w:rPr>
          <w:color w:val="000000" w:themeColor="text1"/>
        </w:rPr>
        <w:t xml:space="preserve">některých krajských soudů, </w:t>
      </w:r>
      <w:r w:rsidR="0014150C" w:rsidRPr="001C3EC8">
        <w:rPr>
          <w:color w:val="000000" w:themeColor="text1"/>
        </w:rPr>
        <w:t>a</w:t>
      </w:r>
      <w:r w:rsidR="0014150C">
        <w:rPr>
          <w:color w:val="000000" w:themeColor="text1"/>
        </w:rPr>
        <w:t> </w:t>
      </w:r>
      <w:r w:rsidRPr="001C3EC8">
        <w:rPr>
          <w:color w:val="000000" w:themeColor="text1"/>
        </w:rPr>
        <w:t xml:space="preserve">částečně KS Ústí nad Labem. Problémy nyní vykázal </w:t>
      </w:r>
      <w:r w:rsidR="0014150C" w:rsidRPr="001C3EC8">
        <w:rPr>
          <w:color w:val="000000" w:themeColor="text1"/>
        </w:rPr>
        <w:t>i</w:t>
      </w:r>
      <w:r w:rsidR="0014150C">
        <w:rPr>
          <w:color w:val="000000" w:themeColor="text1"/>
        </w:rPr>
        <w:t> </w:t>
      </w:r>
      <w:r w:rsidRPr="001C3EC8">
        <w:rPr>
          <w:color w:val="000000" w:themeColor="text1"/>
        </w:rPr>
        <w:t xml:space="preserve">KS Ostrava. Situace se nicméně z dlouhodobého hlediska zlepšuje </w:t>
      </w:r>
      <w:r w:rsidR="0014150C" w:rsidRPr="001C3EC8">
        <w:rPr>
          <w:color w:val="000000" w:themeColor="text1"/>
        </w:rPr>
        <w:t>a</w:t>
      </w:r>
      <w:r w:rsidR="0014150C">
        <w:rPr>
          <w:color w:val="000000" w:themeColor="text1"/>
        </w:rPr>
        <w:t> </w:t>
      </w:r>
      <w:r w:rsidRPr="001C3EC8">
        <w:rPr>
          <w:color w:val="000000" w:themeColor="text1"/>
        </w:rPr>
        <w:t>t</w:t>
      </w:r>
      <w:r w:rsidR="00230055" w:rsidRPr="001C3EC8">
        <w:rPr>
          <w:color w:val="000000" w:themeColor="text1"/>
        </w:rPr>
        <w:t>u</w:t>
      </w:r>
      <w:r w:rsidRPr="001C3EC8">
        <w:rPr>
          <w:color w:val="000000" w:themeColor="text1"/>
        </w:rPr>
        <w:t>to agend</w:t>
      </w:r>
      <w:r w:rsidR="00230055" w:rsidRPr="001C3EC8">
        <w:rPr>
          <w:color w:val="000000" w:themeColor="text1"/>
        </w:rPr>
        <w:t>u</w:t>
      </w:r>
      <w:r w:rsidRPr="001C3EC8">
        <w:rPr>
          <w:color w:val="000000" w:themeColor="text1"/>
        </w:rPr>
        <w:t xml:space="preserve"> nelze označit jako problematick</w:t>
      </w:r>
      <w:r w:rsidR="00230055" w:rsidRPr="001C3EC8">
        <w:rPr>
          <w:color w:val="000000" w:themeColor="text1"/>
        </w:rPr>
        <w:t>ou</w:t>
      </w:r>
      <w:r w:rsidRPr="001C3EC8">
        <w:rPr>
          <w:color w:val="000000" w:themeColor="text1"/>
        </w:rPr>
        <w:t>.</w:t>
      </w:r>
    </w:p>
    <w:p w14:paraId="729D7C69" w14:textId="768AC795" w:rsidR="008430BD" w:rsidRPr="001C3EC8" w:rsidRDefault="008430BD" w:rsidP="008430BD">
      <w:pPr>
        <w:pStyle w:val="Podnadpis"/>
        <w:rPr>
          <w:color w:val="000000" w:themeColor="text1"/>
        </w:rPr>
      </w:pPr>
      <w:bookmarkStart w:id="490" w:name="_Toc515871388"/>
      <w:bookmarkStart w:id="491" w:name="_Toc11135119"/>
      <w:bookmarkStart w:id="492" w:name="_Toc43841438"/>
      <w:bookmarkStart w:id="493" w:name="_Toc75952241"/>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61</w:t>
      </w:r>
      <w:r w:rsidRPr="001C3EC8">
        <w:rPr>
          <w:noProof/>
          <w:color w:val="000000" w:themeColor="text1"/>
        </w:rPr>
        <w:fldChar w:fldCharType="end"/>
      </w:r>
      <w:r w:rsidRPr="001C3EC8">
        <w:rPr>
          <w:color w:val="000000" w:themeColor="text1"/>
        </w:rPr>
        <w:t>: KS – DT odvolacího civilního řízení v letech 2008–20</w:t>
      </w:r>
      <w:bookmarkEnd w:id="490"/>
      <w:bookmarkEnd w:id="491"/>
      <w:bookmarkEnd w:id="492"/>
      <w:r w:rsidRPr="001C3EC8">
        <w:rPr>
          <w:color w:val="000000" w:themeColor="text1"/>
        </w:rPr>
        <w:t>20</w:t>
      </w:r>
      <w:bookmarkEnd w:id="493"/>
    </w:p>
    <w:p w14:paraId="1EBACEB8"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B535A89" wp14:editId="07C4FCAF">
            <wp:extent cx="5114925" cy="3743325"/>
            <wp:effectExtent l="0" t="0" r="0" b="952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F992502" w14:textId="77777777" w:rsidR="008430BD" w:rsidRPr="001C3EC8" w:rsidRDefault="008430BD" w:rsidP="008430BD">
      <w:pPr>
        <w:spacing w:line="240" w:lineRule="auto"/>
        <w:jc w:val="left"/>
        <w:rPr>
          <w:rFonts w:eastAsia="Times New Roman"/>
          <w:b/>
          <w:iCs/>
          <w:color w:val="000000" w:themeColor="text1"/>
          <w:spacing w:val="15"/>
          <w:szCs w:val="24"/>
        </w:rPr>
      </w:pPr>
    </w:p>
    <w:p w14:paraId="312DB876" w14:textId="2F8577DE" w:rsidR="008430BD" w:rsidRPr="001C3EC8" w:rsidRDefault="008430BD" w:rsidP="008430BD">
      <w:pPr>
        <w:pStyle w:val="Podnadpis"/>
        <w:rPr>
          <w:color w:val="000000" w:themeColor="text1"/>
        </w:rPr>
      </w:pPr>
      <w:bookmarkStart w:id="494" w:name="_Toc43931224"/>
      <w:bookmarkStart w:id="495" w:name="_Toc75952357"/>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54</w:t>
      </w:r>
      <w:r w:rsidRPr="001C3EC8">
        <w:rPr>
          <w:noProof/>
          <w:color w:val="000000" w:themeColor="text1"/>
        </w:rPr>
        <w:fldChar w:fldCharType="end"/>
      </w:r>
      <w:r w:rsidRPr="001C3EC8">
        <w:rPr>
          <w:color w:val="000000" w:themeColor="text1"/>
        </w:rPr>
        <w:t>: KS – DT v civilním odvolacím řízení dle soudů</w:t>
      </w:r>
      <w:bookmarkEnd w:id="494"/>
      <w:bookmarkEnd w:id="495"/>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2767D63B"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20A4EB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207AF077"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23FE64DB"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5592567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6A0C2C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w:t>
            </w:r>
          </w:p>
        </w:tc>
        <w:tc>
          <w:tcPr>
            <w:tcW w:w="1927" w:type="dxa"/>
            <w:tcBorders>
              <w:top w:val="nil"/>
              <w:left w:val="nil"/>
              <w:bottom w:val="single" w:sz="4" w:space="0" w:color="auto"/>
              <w:right w:val="nil"/>
            </w:tcBorders>
            <w:shd w:val="clear" w:color="auto" w:fill="auto"/>
            <w:noWrap/>
            <w:vAlign w:val="center"/>
            <w:hideMark/>
          </w:tcPr>
          <w:p w14:paraId="7023AF06" w14:textId="6628A70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8430BD" w:rsidRPr="001C3EC8" w14:paraId="5E51A2E1"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16FD9C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6B02BE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w:t>
            </w:r>
          </w:p>
        </w:tc>
        <w:tc>
          <w:tcPr>
            <w:tcW w:w="1927" w:type="dxa"/>
            <w:tcBorders>
              <w:top w:val="nil"/>
              <w:left w:val="nil"/>
              <w:bottom w:val="single" w:sz="4" w:space="0" w:color="auto"/>
              <w:right w:val="nil"/>
            </w:tcBorders>
            <w:shd w:val="clear" w:color="auto" w:fill="auto"/>
            <w:noWrap/>
            <w:vAlign w:val="center"/>
            <w:hideMark/>
          </w:tcPr>
          <w:p w14:paraId="6358BCD8" w14:textId="30C1478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r>
      <w:tr w:rsidR="008430BD" w:rsidRPr="001C3EC8" w14:paraId="16D73A9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CE2679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14AD85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w:t>
            </w:r>
          </w:p>
        </w:tc>
        <w:tc>
          <w:tcPr>
            <w:tcW w:w="1927" w:type="dxa"/>
            <w:tcBorders>
              <w:top w:val="nil"/>
              <w:left w:val="nil"/>
              <w:bottom w:val="single" w:sz="4" w:space="0" w:color="auto"/>
              <w:right w:val="nil"/>
            </w:tcBorders>
            <w:shd w:val="clear" w:color="auto" w:fill="auto"/>
            <w:noWrap/>
            <w:vAlign w:val="center"/>
            <w:hideMark/>
          </w:tcPr>
          <w:p w14:paraId="5FDF5BF2" w14:textId="4208C30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+48 </w:t>
            </w:r>
            <w:r w:rsidR="00B07E76">
              <w:rPr>
                <w:rFonts w:eastAsia="Times New Roman"/>
                <w:color w:val="000000" w:themeColor="text1"/>
                <w:sz w:val="20"/>
                <w:szCs w:val="20"/>
                <w:lang w:eastAsia="cs-CZ"/>
              </w:rPr>
              <w:t>%</w:t>
            </w:r>
          </w:p>
        </w:tc>
      </w:tr>
      <w:tr w:rsidR="008430BD" w:rsidRPr="001C3EC8" w14:paraId="33DD229B"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9F081D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7AB2B3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1927" w:type="dxa"/>
            <w:tcBorders>
              <w:top w:val="nil"/>
              <w:left w:val="nil"/>
              <w:bottom w:val="single" w:sz="4" w:space="0" w:color="auto"/>
              <w:right w:val="nil"/>
            </w:tcBorders>
            <w:shd w:val="clear" w:color="auto" w:fill="auto"/>
            <w:noWrap/>
            <w:vAlign w:val="center"/>
            <w:hideMark/>
          </w:tcPr>
          <w:p w14:paraId="3490D8E2" w14:textId="66763DA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68FCA9C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585593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27BD7D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w:t>
            </w:r>
          </w:p>
        </w:tc>
        <w:tc>
          <w:tcPr>
            <w:tcW w:w="1927" w:type="dxa"/>
            <w:tcBorders>
              <w:top w:val="nil"/>
              <w:left w:val="nil"/>
              <w:bottom w:val="single" w:sz="4" w:space="0" w:color="auto"/>
              <w:right w:val="nil"/>
            </w:tcBorders>
            <w:shd w:val="clear" w:color="auto" w:fill="auto"/>
            <w:noWrap/>
            <w:vAlign w:val="center"/>
            <w:hideMark/>
          </w:tcPr>
          <w:p w14:paraId="2B86AF37" w14:textId="4F78F42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15CA7AFB"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009CDC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5327EB4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1927" w:type="dxa"/>
            <w:tcBorders>
              <w:top w:val="nil"/>
              <w:left w:val="nil"/>
              <w:bottom w:val="single" w:sz="4" w:space="0" w:color="auto"/>
              <w:right w:val="nil"/>
            </w:tcBorders>
            <w:shd w:val="clear" w:color="auto" w:fill="auto"/>
            <w:noWrap/>
            <w:vAlign w:val="center"/>
            <w:hideMark/>
          </w:tcPr>
          <w:p w14:paraId="3D7A3EDD" w14:textId="26FAE10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8430BD" w:rsidRPr="001C3EC8" w14:paraId="2100D15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3DCA8B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1341D4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129</w:t>
            </w:r>
          </w:p>
        </w:tc>
        <w:tc>
          <w:tcPr>
            <w:tcW w:w="1927" w:type="dxa"/>
            <w:tcBorders>
              <w:top w:val="nil"/>
              <w:left w:val="nil"/>
              <w:bottom w:val="single" w:sz="4" w:space="0" w:color="auto"/>
              <w:right w:val="nil"/>
            </w:tcBorders>
            <w:shd w:val="clear" w:color="auto" w:fill="auto"/>
            <w:noWrap/>
            <w:vAlign w:val="center"/>
            <w:hideMark/>
          </w:tcPr>
          <w:p w14:paraId="5F8589B5" w14:textId="3F2D997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36B1630B"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376B3E8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284BD2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c>
          <w:tcPr>
            <w:tcW w:w="1927" w:type="dxa"/>
            <w:tcBorders>
              <w:top w:val="nil"/>
              <w:left w:val="nil"/>
              <w:bottom w:val="double" w:sz="6" w:space="0" w:color="auto"/>
              <w:right w:val="nil"/>
            </w:tcBorders>
            <w:shd w:val="clear" w:color="auto" w:fill="auto"/>
            <w:noWrap/>
            <w:vAlign w:val="center"/>
            <w:hideMark/>
          </w:tcPr>
          <w:p w14:paraId="7FE60742" w14:textId="699EC0F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+60 </w:t>
            </w:r>
            <w:r w:rsidR="00B07E76">
              <w:rPr>
                <w:rFonts w:eastAsia="Times New Roman"/>
                <w:color w:val="000000" w:themeColor="text1"/>
                <w:sz w:val="20"/>
                <w:szCs w:val="20"/>
                <w:lang w:eastAsia="cs-CZ"/>
              </w:rPr>
              <w:t>%</w:t>
            </w:r>
          </w:p>
        </w:tc>
      </w:tr>
      <w:tr w:rsidR="008430BD" w:rsidRPr="001C3EC8" w14:paraId="492F9BAE"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4E315E6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56FFAB9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73</w:t>
            </w:r>
          </w:p>
        </w:tc>
        <w:tc>
          <w:tcPr>
            <w:tcW w:w="1927" w:type="dxa"/>
            <w:tcBorders>
              <w:top w:val="nil"/>
              <w:left w:val="nil"/>
              <w:bottom w:val="double" w:sz="6" w:space="0" w:color="auto"/>
              <w:right w:val="nil"/>
            </w:tcBorders>
            <w:shd w:val="clear" w:color="auto" w:fill="auto"/>
            <w:noWrap/>
            <w:vAlign w:val="center"/>
            <w:hideMark/>
          </w:tcPr>
          <w:p w14:paraId="2966008B" w14:textId="53F4691C"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+18 </w:t>
            </w:r>
            <w:r w:rsidR="00B07E76">
              <w:rPr>
                <w:rFonts w:eastAsia="Times New Roman"/>
                <w:b/>
                <w:bCs/>
                <w:color w:val="000000" w:themeColor="text1"/>
                <w:sz w:val="20"/>
                <w:szCs w:val="20"/>
                <w:lang w:eastAsia="cs-CZ"/>
              </w:rPr>
              <w:t>%</w:t>
            </w:r>
          </w:p>
        </w:tc>
      </w:tr>
    </w:tbl>
    <w:p w14:paraId="42742B1E" w14:textId="77777777" w:rsidR="008430BD" w:rsidRPr="001C3EC8" w:rsidRDefault="008430BD" w:rsidP="008430BD">
      <w:pPr>
        <w:spacing w:line="240" w:lineRule="auto"/>
        <w:jc w:val="left"/>
        <w:rPr>
          <w:rFonts w:eastAsia="Times New Roman"/>
          <w:b/>
          <w:iCs/>
          <w:color w:val="000000" w:themeColor="text1"/>
          <w:spacing w:val="15"/>
          <w:szCs w:val="24"/>
        </w:rPr>
      </w:pPr>
      <w:r w:rsidRPr="001C3EC8">
        <w:rPr>
          <w:rFonts w:eastAsia="Times New Roman"/>
          <w:b/>
          <w:iCs/>
          <w:color w:val="000000" w:themeColor="text1"/>
          <w:spacing w:val="15"/>
          <w:szCs w:val="24"/>
        </w:rPr>
        <w:br w:type="page"/>
      </w:r>
    </w:p>
    <w:p w14:paraId="7DA6ED9E" w14:textId="77777777" w:rsidR="008430BD" w:rsidRPr="001C3EC8" w:rsidRDefault="008430BD" w:rsidP="008430BD">
      <w:pPr>
        <w:pStyle w:val="Nadpis2"/>
        <w:numPr>
          <w:ilvl w:val="1"/>
          <w:numId w:val="1"/>
        </w:numPr>
        <w:spacing w:before="120"/>
      </w:pPr>
      <w:bookmarkStart w:id="496" w:name="_Toc515871257"/>
      <w:bookmarkStart w:id="497" w:name="_Toc75952097"/>
      <w:r w:rsidRPr="001C3EC8">
        <w:lastRenderedPageBreak/>
        <w:t>Trestní prvostupňová agenda</w:t>
      </w:r>
      <w:bookmarkEnd w:id="496"/>
      <w:bookmarkEnd w:id="497"/>
    </w:p>
    <w:p w14:paraId="07F6D0CB" w14:textId="77777777" w:rsidR="008430BD" w:rsidRPr="001C3EC8" w:rsidRDefault="008430BD" w:rsidP="008430BD">
      <w:pPr>
        <w:pStyle w:val="OdstavecASR"/>
        <w:rPr>
          <w:color w:val="000000" w:themeColor="text1"/>
        </w:rPr>
      </w:pPr>
      <w:r w:rsidRPr="001C3EC8">
        <w:rPr>
          <w:color w:val="000000" w:themeColor="text1"/>
        </w:rPr>
        <w:t>Situace v prvostupňové trestní agendě je z hlediska statistického sledování jednoduchá. Zkoumáme hlavní trestní agendu – rejstříky T a </w:t>
      </w:r>
      <w:proofErr w:type="spellStart"/>
      <w:r w:rsidRPr="001C3EC8">
        <w:rPr>
          <w:color w:val="000000" w:themeColor="text1"/>
        </w:rPr>
        <w:t>Tm</w:t>
      </w:r>
      <w:proofErr w:type="spellEnd"/>
      <w:r w:rsidRPr="001C3EC8">
        <w:rPr>
          <w:color w:val="000000" w:themeColor="text1"/>
        </w:rPr>
        <w:t>. K žádným významným změnám ve vedení statistik v trestní agendě nedošlo a nemusíme se tedy obávat zkreslení v časových řadách. Na rozdíl od OS také není nutné očišťovat data o věci vyřízené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vymezených trestných činech.</w:t>
      </w:r>
    </w:p>
    <w:p w14:paraId="22B4C21B" w14:textId="77777777" w:rsidR="008430BD" w:rsidRPr="001C3EC8" w:rsidRDefault="008430BD" w:rsidP="008430BD">
      <w:pPr>
        <w:pStyle w:val="Nadpis3"/>
        <w:numPr>
          <w:ilvl w:val="2"/>
          <w:numId w:val="1"/>
        </w:numPr>
        <w:rPr>
          <w:color w:val="000000" w:themeColor="text1"/>
        </w:rPr>
      </w:pPr>
      <w:bookmarkStart w:id="498" w:name="_Toc43903065"/>
      <w:bookmarkStart w:id="499" w:name="_Toc75952098"/>
      <w:r w:rsidRPr="001C3EC8">
        <w:rPr>
          <w:color w:val="000000" w:themeColor="text1"/>
        </w:rPr>
        <w:t>Délka řízení</w:t>
      </w:r>
      <w:bookmarkEnd w:id="498"/>
      <w:bookmarkEnd w:id="499"/>
    </w:p>
    <w:p w14:paraId="0B874ECB" w14:textId="5A70B5C0" w:rsidR="008430BD" w:rsidRPr="001C3EC8" w:rsidRDefault="008430BD" w:rsidP="008430BD">
      <w:pPr>
        <w:pStyle w:val="Podnadpis"/>
        <w:rPr>
          <w:color w:val="000000" w:themeColor="text1"/>
        </w:rPr>
      </w:pPr>
      <w:bookmarkStart w:id="500" w:name="_Toc515871389"/>
      <w:bookmarkStart w:id="501" w:name="_Toc11135120"/>
      <w:bookmarkStart w:id="502" w:name="_Toc43841439"/>
      <w:bookmarkStart w:id="503" w:name="_Toc75952242"/>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62</w:t>
      </w:r>
      <w:r w:rsidRPr="001C3EC8">
        <w:rPr>
          <w:noProof/>
          <w:color w:val="000000" w:themeColor="text1"/>
        </w:rPr>
        <w:fldChar w:fldCharType="end"/>
      </w:r>
      <w:r w:rsidRPr="001C3EC8">
        <w:rPr>
          <w:color w:val="000000" w:themeColor="text1"/>
        </w:rPr>
        <w:t>: KS – délka prvostupňového trestního řízení v letech 2008–</w:t>
      </w:r>
      <w:bookmarkEnd w:id="500"/>
      <w:r w:rsidRPr="001C3EC8">
        <w:rPr>
          <w:color w:val="000000" w:themeColor="text1"/>
        </w:rPr>
        <w:t>20</w:t>
      </w:r>
      <w:bookmarkEnd w:id="501"/>
      <w:bookmarkEnd w:id="502"/>
      <w:r w:rsidRPr="001C3EC8">
        <w:rPr>
          <w:color w:val="000000" w:themeColor="text1"/>
        </w:rPr>
        <w:t>20</w:t>
      </w:r>
      <w:bookmarkEnd w:id="503"/>
    </w:p>
    <w:p w14:paraId="60E67213"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B1E80EB" wp14:editId="4C448BD1">
            <wp:extent cx="5114925" cy="374332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BFEA1CB" w14:textId="5A1EA064" w:rsidR="00B07E76" w:rsidRDefault="008430BD" w:rsidP="008430BD">
      <w:pPr>
        <w:pStyle w:val="OdstavecASR"/>
        <w:rPr>
          <w:color w:val="000000" w:themeColor="text1"/>
        </w:rPr>
      </w:pPr>
      <w:r w:rsidRPr="001C3EC8">
        <w:rPr>
          <w:color w:val="000000" w:themeColor="text1"/>
        </w:rPr>
        <w:t xml:space="preserve">V letech 2017 až 2019 poměrně výrazně vzrostl průměr a velmi dramaticky také devadesátý percentil, který po několika letech přestal klesat. V roce 2019 narostl rovněž medián. V roce 2020 mírně narostl medián, ale průměr </w:t>
      </w:r>
      <w:r w:rsidR="0014150C" w:rsidRPr="001C3EC8">
        <w:rPr>
          <w:color w:val="000000" w:themeColor="text1"/>
        </w:rPr>
        <w:t>a</w:t>
      </w:r>
      <w:r w:rsidR="0014150C">
        <w:rPr>
          <w:color w:val="000000" w:themeColor="text1"/>
        </w:rPr>
        <w:t> </w:t>
      </w:r>
      <w:r w:rsidRPr="001C3EC8">
        <w:rPr>
          <w:color w:val="000000" w:themeColor="text1"/>
        </w:rPr>
        <w:t xml:space="preserve">percentil 90 výrazně klesly. Percentil 90 klesl </w:t>
      </w:r>
      <w:r w:rsidR="0014150C" w:rsidRPr="001C3EC8">
        <w:rPr>
          <w:color w:val="000000" w:themeColor="text1"/>
        </w:rPr>
        <w:t>o</w:t>
      </w:r>
      <w:r w:rsidR="0014150C">
        <w:rPr>
          <w:color w:val="000000" w:themeColor="text1"/>
        </w:rPr>
        <w:t> </w:t>
      </w:r>
      <w:r w:rsidRPr="001C3EC8">
        <w:rPr>
          <w:color w:val="000000" w:themeColor="text1"/>
        </w:rPr>
        <w:t xml:space="preserve">572 dnů, tedy asi </w:t>
      </w:r>
      <w:r w:rsidR="0014150C" w:rsidRPr="001C3EC8">
        <w:rPr>
          <w:color w:val="000000" w:themeColor="text1"/>
        </w:rPr>
        <w:t>o</w:t>
      </w:r>
      <w:r w:rsidR="0014150C">
        <w:rPr>
          <w:color w:val="000000" w:themeColor="text1"/>
        </w:rPr>
        <w:t> </w:t>
      </w:r>
      <w:r w:rsidRPr="001C3EC8">
        <w:rPr>
          <w:color w:val="000000" w:themeColor="text1"/>
        </w:rPr>
        <w:t xml:space="preserve">rok </w:t>
      </w:r>
      <w:r w:rsidR="0014150C" w:rsidRPr="001C3EC8">
        <w:rPr>
          <w:color w:val="000000" w:themeColor="text1"/>
        </w:rPr>
        <w:t>a</w:t>
      </w:r>
      <w:r w:rsidR="0014150C">
        <w:rPr>
          <w:color w:val="000000" w:themeColor="text1"/>
        </w:rPr>
        <w:t> </w:t>
      </w:r>
      <w:r w:rsidRPr="001C3EC8">
        <w:rPr>
          <w:color w:val="000000" w:themeColor="text1"/>
        </w:rPr>
        <w:t>půl. Oba ukazatele se tak dostal</w:t>
      </w:r>
      <w:r w:rsidR="00ED6972" w:rsidRPr="001C3EC8">
        <w:rPr>
          <w:color w:val="000000" w:themeColor="text1"/>
        </w:rPr>
        <w:t>y</w:t>
      </w:r>
      <w:r w:rsidRPr="001C3EC8">
        <w:rPr>
          <w:color w:val="000000" w:themeColor="text1"/>
        </w:rPr>
        <w:t xml:space="preserve"> na úroveň před růstem v roce 2017. </w:t>
      </w:r>
      <w:r w:rsidR="00ED6972" w:rsidRPr="001C3EC8">
        <w:rPr>
          <w:color w:val="000000" w:themeColor="text1"/>
        </w:rPr>
        <w:t>To ukazuje, že se rychlost vyřizování „rychle“ vyřízených věcí nezměnila.</w:t>
      </w:r>
      <w:r w:rsidRPr="001C3EC8">
        <w:rPr>
          <w:color w:val="000000" w:themeColor="text1"/>
        </w:rPr>
        <w:t xml:space="preserve"> Výrazně ale ubyly věci, které se „táhnou“ opravdu dlouho. Zároveň je třeba uvést, že podíl věcí nevyřízených přes </w:t>
      </w:r>
      <w:r w:rsidR="0014150C" w:rsidRPr="001C3EC8">
        <w:rPr>
          <w:color w:val="000000" w:themeColor="text1"/>
        </w:rPr>
        <w:t>2</w:t>
      </w:r>
      <w:r w:rsidR="0014150C">
        <w:rPr>
          <w:color w:val="000000" w:themeColor="text1"/>
        </w:rPr>
        <w:t> </w:t>
      </w:r>
      <w:r w:rsidRPr="001C3EC8">
        <w:rPr>
          <w:color w:val="000000" w:themeColor="text1"/>
        </w:rPr>
        <w:t xml:space="preserve">roky se jen velmi mírně zvýšil. Pokles v délkách řízení tedy není dán tím, že by soudy vyřídily věci, které jsou </w:t>
      </w:r>
      <w:r w:rsidR="0014150C" w:rsidRPr="001C3EC8">
        <w:rPr>
          <w:color w:val="000000" w:themeColor="text1"/>
        </w:rPr>
        <w:t>u</w:t>
      </w:r>
      <w:r w:rsidR="0014150C">
        <w:rPr>
          <w:color w:val="000000" w:themeColor="text1"/>
        </w:rPr>
        <w:t> </w:t>
      </w:r>
      <w:r w:rsidRPr="001C3EC8">
        <w:rPr>
          <w:color w:val="000000" w:themeColor="text1"/>
        </w:rPr>
        <w:t>soudu relativně kratší dobu.</w:t>
      </w:r>
    </w:p>
    <w:p w14:paraId="0A4B4C39" w14:textId="566F4806" w:rsidR="008430BD" w:rsidRPr="001C3EC8" w:rsidRDefault="008430BD" w:rsidP="008430BD">
      <w:pPr>
        <w:pStyle w:val="OdstavecASR"/>
        <w:rPr>
          <w:color w:val="000000" w:themeColor="text1"/>
        </w:rPr>
      </w:pPr>
      <w:r w:rsidRPr="001C3EC8">
        <w:rPr>
          <w:color w:val="000000" w:themeColor="text1"/>
        </w:rPr>
        <w:t xml:space="preserve">Délky řízení jsou u krajských soudů výrazně vyšší než u soudů okresních. Vzhledem ke složitosti vyřizované agendy je to zcela logický výsledek. Délky řízení v tomto roce více či méně narostly ve všech krajích alespoň </w:t>
      </w:r>
      <w:r w:rsidR="0014150C" w:rsidRPr="001C3EC8">
        <w:rPr>
          <w:color w:val="000000" w:themeColor="text1"/>
        </w:rPr>
        <w:t>u</w:t>
      </w:r>
      <w:r w:rsidR="0014150C">
        <w:rPr>
          <w:color w:val="000000" w:themeColor="text1"/>
        </w:rPr>
        <w:t> </w:t>
      </w:r>
      <w:r w:rsidRPr="001C3EC8">
        <w:rPr>
          <w:color w:val="000000" w:themeColor="text1"/>
        </w:rPr>
        <w:t>jednoho z ukazatelů.</w:t>
      </w:r>
    </w:p>
    <w:p w14:paraId="4FB725A6" w14:textId="487A73F1" w:rsidR="00B07E76" w:rsidRDefault="008430BD" w:rsidP="008430BD">
      <w:pPr>
        <w:pStyle w:val="OdstavecASR"/>
        <w:rPr>
          <w:color w:val="000000" w:themeColor="text1"/>
        </w:rPr>
      </w:pPr>
      <w:r w:rsidRPr="001C3EC8">
        <w:rPr>
          <w:color w:val="000000" w:themeColor="text1"/>
        </w:rPr>
        <w:lastRenderedPageBreak/>
        <w:t xml:space="preserve">Rychlé změny délek řízení </w:t>
      </w:r>
      <w:r w:rsidR="0014150C" w:rsidRPr="001C3EC8">
        <w:rPr>
          <w:color w:val="000000" w:themeColor="text1"/>
        </w:rPr>
        <w:t>u</w:t>
      </w:r>
      <w:r w:rsidR="0014150C">
        <w:rPr>
          <w:color w:val="000000" w:themeColor="text1"/>
        </w:rPr>
        <w:t> </w:t>
      </w:r>
      <w:r w:rsidRPr="001C3EC8">
        <w:rPr>
          <w:color w:val="000000" w:themeColor="text1"/>
        </w:rPr>
        <w:t>jednotlivých soudů (</w:t>
      </w:r>
      <w:r w:rsidR="0014150C" w:rsidRPr="001C3EC8">
        <w:rPr>
          <w:color w:val="000000" w:themeColor="text1"/>
        </w:rPr>
        <w:t>a</w:t>
      </w:r>
      <w:r w:rsidR="0014150C">
        <w:rPr>
          <w:color w:val="000000" w:themeColor="text1"/>
        </w:rPr>
        <w:t> </w:t>
      </w:r>
      <w:r w:rsidRPr="001C3EC8">
        <w:rPr>
          <w:color w:val="000000" w:themeColor="text1"/>
        </w:rPr>
        <w:t xml:space="preserve">vlastně </w:t>
      </w:r>
      <w:r w:rsidR="0014150C" w:rsidRPr="001C3EC8">
        <w:rPr>
          <w:color w:val="000000" w:themeColor="text1"/>
        </w:rPr>
        <w:t>i</w:t>
      </w:r>
      <w:r w:rsidR="0014150C">
        <w:rPr>
          <w:color w:val="000000" w:themeColor="text1"/>
        </w:rPr>
        <w:t> </w:t>
      </w:r>
      <w:r w:rsidRPr="001C3EC8">
        <w:rPr>
          <w:color w:val="000000" w:themeColor="text1"/>
        </w:rPr>
        <w:t>rozdíly mezi soudy) jsou dány velmi malým počtem pozorování. Vliv má také to, že všechny kauzy jsou náročné na vyřízení (ve srovnání s OS), ale v náročnosti jednotlivých případů existují významné rozdíly. Změny se v minulosti vzájemně obvykle vykompenzovaly, takže změny v celorepublikové délce řízení nebyly tak významné.</w:t>
      </w:r>
    </w:p>
    <w:p w14:paraId="7AE09BBB" w14:textId="2291D578" w:rsidR="008430BD" w:rsidRPr="001C3EC8" w:rsidRDefault="008430BD" w:rsidP="008430BD">
      <w:pPr>
        <w:pStyle w:val="Podnadpis"/>
        <w:rPr>
          <w:color w:val="000000" w:themeColor="text1"/>
        </w:rPr>
      </w:pPr>
      <w:bookmarkStart w:id="504" w:name="_Toc515871478"/>
      <w:bookmarkStart w:id="505" w:name="_Toc11133246"/>
      <w:bookmarkStart w:id="506" w:name="_Toc43931225"/>
      <w:bookmarkStart w:id="507" w:name="_Toc75952358"/>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55</w:t>
      </w:r>
      <w:r w:rsidRPr="001C3EC8">
        <w:rPr>
          <w:noProof/>
          <w:color w:val="000000" w:themeColor="text1"/>
        </w:rPr>
        <w:fldChar w:fldCharType="end"/>
      </w:r>
      <w:r w:rsidRPr="001C3EC8">
        <w:rPr>
          <w:color w:val="000000" w:themeColor="text1"/>
        </w:rPr>
        <w:t>: KS – délky prvostupňového trestního řízení dle soudů</w:t>
      </w:r>
      <w:bookmarkEnd w:id="504"/>
      <w:bookmarkEnd w:id="505"/>
      <w:bookmarkEnd w:id="506"/>
      <w:bookmarkEnd w:id="507"/>
    </w:p>
    <w:tbl>
      <w:tblPr>
        <w:tblW w:w="6380" w:type="dxa"/>
        <w:tblCellMar>
          <w:left w:w="70" w:type="dxa"/>
          <w:right w:w="70" w:type="dxa"/>
        </w:tblCellMar>
        <w:tblLook w:val="04A0" w:firstRow="1" w:lastRow="0" w:firstColumn="1" w:lastColumn="0" w:noHBand="0" w:noVBand="1"/>
      </w:tblPr>
      <w:tblGrid>
        <w:gridCol w:w="2480"/>
        <w:gridCol w:w="1094"/>
        <w:gridCol w:w="1119"/>
        <w:gridCol w:w="1687"/>
      </w:tblGrid>
      <w:tr w:rsidR="008430BD" w:rsidRPr="001C3EC8" w14:paraId="57F2034F"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5C35CB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02C8445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16B5C7A7"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7A75E1C3"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1762F48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4A4C585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6DE5749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6C2259AD"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6B9179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15CA4E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443</w:t>
            </w:r>
          </w:p>
        </w:tc>
        <w:tc>
          <w:tcPr>
            <w:tcW w:w="1119" w:type="dxa"/>
            <w:tcBorders>
              <w:top w:val="single" w:sz="4" w:space="0" w:color="auto"/>
              <w:left w:val="nil"/>
              <w:bottom w:val="single" w:sz="4" w:space="0" w:color="auto"/>
              <w:right w:val="nil"/>
            </w:tcBorders>
            <w:shd w:val="clear" w:color="auto" w:fill="auto"/>
            <w:noWrap/>
            <w:vAlign w:val="bottom"/>
            <w:hideMark/>
          </w:tcPr>
          <w:p w14:paraId="0D2AA90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273</w:t>
            </w:r>
          </w:p>
        </w:tc>
        <w:tc>
          <w:tcPr>
            <w:tcW w:w="1687" w:type="dxa"/>
            <w:tcBorders>
              <w:top w:val="single" w:sz="4" w:space="0" w:color="auto"/>
              <w:left w:val="nil"/>
              <w:bottom w:val="single" w:sz="4" w:space="0" w:color="auto"/>
              <w:right w:val="nil"/>
            </w:tcBorders>
            <w:shd w:val="clear" w:color="auto" w:fill="auto"/>
            <w:noWrap/>
            <w:vAlign w:val="bottom"/>
            <w:hideMark/>
          </w:tcPr>
          <w:p w14:paraId="38A34F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993</w:t>
            </w:r>
          </w:p>
        </w:tc>
      </w:tr>
      <w:tr w:rsidR="008430BD" w:rsidRPr="001C3EC8" w14:paraId="1657B69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CD72F3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663C3E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328</w:t>
            </w:r>
          </w:p>
        </w:tc>
        <w:tc>
          <w:tcPr>
            <w:tcW w:w="1119" w:type="dxa"/>
            <w:tcBorders>
              <w:top w:val="nil"/>
              <w:left w:val="nil"/>
              <w:bottom w:val="single" w:sz="4" w:space="0" w:color="auto"/>
              <w:right w:val="nil"/>
            </w:tcBorders>
            <w:shd w:val="clear" w:color="auto" w:fill="auto"/>
            <w:noWrap/>
            <w:vAlign w:val="bottom"/>
            <w:hideMark/>
          </w:tcPr>
          <w:p w14:paraId="30442F9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126</w:t>
            </w:r>
          </w:p>
        </w:tc>
        <w:tc>
          <w:tcPr>
            <w:tcW w:w="1687" w:type="dxa"/>
            <w:tcBorders>
              <w:top w:val="nil"/>
              <w:left w:val="nil"/>
              <w:bottom w:val="single" w:sz="4" w:space="0" w:color="auto"/>
              <w:right w:val="nil"/>
            </w:tcBorders>
            <w:shd w:val="clear" w:color="auto" w:fill="auto"/>
            <w:noWrap/>
            <w:vAlign w:val="bottom"/>
            <w:hideMark/>
          </w:tcPr>
          <w:p w14:paraId="42E2EAD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568</w:t>
            </w:r>
          </w:p>
        </w:tc>
      </w:tr>
      <w:tr w:rsidR="008430BD" w:rsidRPr="001C3EC8" w14:paraId="5A4E7E9E"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E045DB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488C7C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494</w:t>
            </w:r>
          </w:p>
        </w:tc>
        <w:tc>
          <w:tcPr>
            <w:tcW w:w="1119" w:type="dxa"/>
            <w:tcBorders>
              <w:top w:val="nil"/>
              <w:left w:val="nil"/>
              <w:bottom w:val="single" w:sz="4" w:space="0" w:color="auto"/>
              <w:right w:val="nil"/>
            </w:tcBorders>
            <w:shd w:val="clear" w:color="auto" w:fill="auto"/>
            <w:noWrap/>
            <w:vAlign w:val="bottom"/>
            <w:hideMark/>
          </w:tcPr>
          <w:p w14:paraId="508252A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279</w:t>
            </w:r>
          </w:p>
        </w:tc>
        <w:tc>
          <w:tcPr>
            <w:tcW w:w="1687" w:type="dxa"/>
            <w:tcBorders>
              <w:top w:val="nil"/>
              <w:left w:val="nil"/>
              <w:bottom w:val="single" w:sz="4" w:space="0" w:color="auto"/>
              <w:right w:val="nil"/>
            </w:tcBorders>
            <w:shd w:val="clear" w:color="auto" w:fill="auto"/>
            <w:noWrap/>
            <w:vAlign w:val="bottom"/>
            <w:hideMark/>
          </w:tcPr>
          <w:p w14:paraId="32AAB780" w14:textId="196C1FD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287</w:t>
            </w:r>
          </w:p>
        </w:tc>
      </w:tr>
      <w:tr w:rsidR="008430BD" w:rsidRPr="001C3EC8" w14:paraId="2B76F97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05C5A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4205D8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524</w:t>
            </w:r>
          </w:p>
        </w:tc>
        <w:tc>
          <w:tcPr>
            <w:tcW w:w="1119" w:type="dxa"/>
            <w:tcBorders>
              <w:top w:val="nil"/>
              <w:left w:val="nil"/>
              <w:bottom w:val="single" w:sz="4" w:space="0" w:color="auto"/>
              <w:right w:val="nil"/>
            </w:tcBorders>
            <w:shd w:val="clear" w:color="auto" w:fill="auto"/>
            <w:noWrap/>
            <w:vAlign w:val="bottom"/>
            <w:hideMark/>
          </w:tcPr>
          <w:p w14:paraId="753F07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331</w:t>
            </w:r>
          </w:p>
        </w:tc>
        <w:tc>
          <w:tcPr>
            <w:tcW w:w="1687" w:type="dxa"/>
            <w:tcBorders>
              <w:top w:val="nil"/>
              <w:left w:val="nil"/>
              <w:bottom w:val="single" w:sz="4" w:space="0" w:color="auto"/>
              <w:right w:val="nil"/>
            </w:tcBorders>
            <w:shd w:val="clear" w:color="auto" w:fill="auto"/>
            <w:noWrap/>
            <w:vAlign w:val="bottom"/>
            <w:hideMark/>
          </w:tcPr>
          <w:p w14:paraId="0E10897B" w14:textId="18D0B2E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061</w:t>
            </w:r>
          </w:p>
        </w:tc>
      </w:tr>
      <w:tr w:rsidR="008430BD" w:rsidRPr="001C3EC8" w14:paraId="7487D721"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E4C420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1E8D3E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608</w:t>
            </w:r>
          </w:p>
        </w:tc>
        <w:tc>
          <w:tcPr>
            <w:tcW w:w="1119" w:type="dxa"/>
            <w:tcBorders>
              <w:top w:val="nil"/>
              <w:left w:val="nil"/>
              <w:bottom w:val="single" w:sz="4" w:space="0" w:color="auto"/>
              <w:right w:val="nil"/>
            </w:tcBorders>
            <w:shd w:val="clear" w:color="auto" w:fill="auto"/>
            <w:noWrap/>
            <w:vAlign w:val="bottom"/>
            <w:hideMark/>
          </w:tcPr>
          <w:p w14:paraId="2B9F38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285</w:t>
            </w:r>
          </w:p>
        </w:tc>
        <w:tc>
          <w:tcPr>
            <w:tcW w:w="1687" w:type="dxa"/>
            <w:tcBorders>
              <w:top w:val="nil"/>
              <w:left w:val="nil"/>
              <w:bottom w:val="single" w:sz="4" w:space="0" w:color="auto"/>
              <w:right w:val="nil"/>
            </w:tcBorders>
            <w:shd w:val="clear" w:color="auto" w:fill="auto"/>
            <w:noWrap/>
            <w:vAlign w:val="bottom"/>
            <w:hideMark/>
          </w:tcPr>
          <w:p w14:paraId="1655CC35" w14:textId="4C7AA9C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852</w:t>
            </w:r>
          </w:p>
        </w:tc>
      </w:tr>
      <w:tr w:rsidR="008430BD" w:rsidRPr="001C3EC8" w14:paraId="7D692B5A"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A5510F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4C779C1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409</w:t>
            </w:r>
          </w:p>
        </w:tc>
        <w:tc>
          <w:tcPr>
            <w:tcW w:w="1119" w:type="dxa"/>
            <w:tcBorders>
              <w:top w:val="nil"/>
              <w:left w:val="nil"/>
              <w:bottom w:val="single" w:sz="4" w:space="0" w:color="auto"/>
              <w:right w:val="nil"/>
            </w:tcBorders>
            <w:shd w:val="clear" w:color="auto" w:fill="auto"/>
            <w:noWrap/>
            <w:vAlign w:val="bottom"/>
            <w:hideMark/>
          </w:tcPr>
          <w:p w14:paraId="23ABA3C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160</w:t>
            </w:r>
          </w:p>
        </w:tc>
        <w:tc>
          <w:tcPr>
            <w:tcW w:w="1687" w:type="dxa"/>
            <w:tcBorders>
              <w:top w:val="nil"/>
              <w:left w:val="nil"/>
              <w:bottom w:val="single" w:sz="4" w:space="0" w:color="auto"/>
              <w:right w:val="nil"/>
            </w:tcBorders>
            <w:shd w:val="clear" w:color="auto" w:fill="auto"/>
            <w:noWrap/>
            <w:vAlign w:val="bottom"/>
            <w:hideMark/>
          </w:tcPr>
          <w:p w14:paraId="0AB5D997" w14:textId="341CB5E4"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262</w:t>
            </w:r>
          </w:p>
        </w:tc>
      </w:tr>
      <w:tr w:rsidR="008430BD" w:rsidRPr="001C3EC8" w14:paraId="04ED036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6B1100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11C1EC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428</w:t>
            </w:r>
          </w:p>
        </w:tc>
        <w:tc>
          <w:tcPr>
            <w:tcW w:w="1119" w:type="dxa"/>
            <w:tcBorders>
              <w:top w:val="nil"/>
              <w:left w:val="nil"/>
              <w:bottom w:val="single" w:sz="4" w:space="0" w:color="auto"/>
              <w:right w:val="nil"/>
            </w:tcBorders>
            <w:shd w:val="clear" w:color="auto" w:fill="auto"/>
            <w:noWrap/>
            <w:vAlign w:val="bottom"/>
            <w:hideMark/>
          </w:tcPr>
          <w:p w14:paraId="57A3C7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287</w:t>
            </w:r>
          </w:p>
        </w:tc>
        <w:tc>
          <w:tcPr>
            <w:tcW w:w="1687" w:type="dxa"/>
            <w:tcBorders>
              <w:top w:val="nil"/>
              <w:left w:val="nil"/>
              <w:bottom w:val="single" w:sz="4" w:space="0" w:color="auto"/>
              <w:right w:val="nil"/>
            </w:tcBorders>
            <w:shd w:val="clear" w:color="auto" w:fill="auto"/>
            <w:noWrap/>
            <w:vAlign w:val="bottom"/>
            <w:hideMark/>
          </w:tcPr>
          <w:p w14:paraId="412D60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991</w:t>
            </w:r>
          </w:p>
        </w:tc>
      </w:tr>
      <w:tr w:rsidR="008430BD" w:rsidRPr="001C3EC8" w14:paraId="274036AA"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13A73D1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11DF4C3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365</w:t>
            </w:r>
          </w:p>
        </w:tc>
        <w:tc>
          <w:tcPr>
            <w:tcW w:w="1119" w:type="dxa"/>
            <w:tcBorders>
              <w:top w:val="nil"/>
              <w:left w:val="nil"/>
              <w:bottom w:val="double" w:sz="6" w:space="0" w:color="auto"/>
              <w:right w:val="nil"/>
            </w:tcBorders>
            <w:shd w:val="clear" w:color="auto" w:fill="auto"/>
            <w:noWrap/>
            <w:vAlign w:val="bottom"/>
            <w:hideMark/>
          </w:tcPr>
          <w:p w14:paraId="3E7B779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221</w:t>
            </w:r>
          </w:p>
        </w:tc>
        <w:tc>
          <w:tcPr>
            <w:tcW w:w="1687" w:type="dxa"/>
            <w:tcBorders>
              <w:top w:val="nil"/>
              <w:left w:val="nil"/>
              <w:bottom w:val="double" w:sz="6" w:space="0" w:color="auto"/>
              <w:right w:val="nil"/>
            </w:tcBorders>
            <w:shd w:val="clear" w:color="auto" w:fill="auto"/>
            <w:noWrap/>
            <w:vAlign w:val="bottom"/>
            <w:hideMark/>
          </w:tcPr>
          <w:p w14:paraId="21A738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765</w:t>
            </w:r>
          </w:p>
        </w:tc>
      </w:tr>
      <w:tr w:rsidR="008430BD" w:rsidRPr="001C3EC8" w14:paraId="7458A574"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657DEBA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2AC7367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445</w:t>
            </w:r>
          </w:p>
        </w:tc>
        <w:tc>
          <w:tcPr>
            <w:tcW w:w="1119" w:type="dxa"/>
            <w:tcBorders>
              <w:top w:val="nil"/>
              <w:left w:val="nil"/>
              <w:bottom w:val="double" w:sz="6" w:space="0" w:color="auto"/>
              <w:right w:val="nil"/>
            </w:tcBorders>
            <w:shd w:val="clear" w:color="auto" w:fill="auto"/>
            <w:noWrap/>
            <w:vAlign w:val="bottom"/>
            <w:hideMark/>
          </w:tcPr>
          <w:p w14:paraId="378185A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271</w:t>
            </w:r>
          </w:p>
        </w:tc>
        <w:tc>
          <w:tcPr>
            <w:tcW w:w="1687" w:type="dxa"/>
            <w:tcBorders>
              <w:top w:val="nil"/>
              <w:left w:val="nil"/>
              <w:bottom w:val="double" w:sz="6" w:space="0" w:color="auto"/>
              <w:right w:val="nil"/>
            </w:tcBorders>
            <w:shd w:val="clear" w:color="auto" w:fill="auto"/>
            <w:noWrap/>
            <w:vAlign w:val="bottom"/>
            <w:hideMark/>
          </w:tcPr>
          <w:p w14:paraId="7EF0BB91" w14:textId="640D248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061</w:t>
            </w:r>
          </w:p>
        </w:tc>
      </w:tr>
    </w:tbl>
    <w:p w14:paraId="07D0560B" w14:textId="77777777" w:rsidR="008430BD" w:rsidRPr="001C3EC8" w:rsidRDefault="008430BD" w:rsidP="008430BD">
      <w:pPr>
        <w:pStyle w:val="OdstavecASR"/>
        <w:rPr>
          <w:color w:val="000000" w:themeColor="text1"/>
          <w:highlight w:val="yellow"/>
        </w:rPr>
      </w:pPr>
    </w:p>
    <w:p w14:paraId="5E81A40F" w14:textId="55903505" w:rsidR="008430BD" w:rsidRPr="001C3EC8" w:rsidRDefault="003A2AD4" w:rsidP="008430BD">
      <w:pPr>
        <w:pStyle w:val="OdstavecASR"/>
        <w:rPr>
          <w:color w:val="000000" w:themeColor="text1"/>
        </w:rPr>
      </w:pPr>
      <w:r w:rsidRPr="001C3EC8">
        <w:rPr>
          <w:color w:val="000000" w:themeColor="text1"/>
        </w:rPr>
        <w:t xml:space="preserve">V této souvislosti je </w:t>
      </w:r>
      <w:r w:rsidR="008430BD" w:rsidRPr="001C3EC8">
        <w:rPr>
          <w:color w:val="000000" w:themeColor="text1"/>
        </w:rPr>
        <w:t>namístě zdůraznit, že krajské soudy vyřizují velmi složitou prvostupňovou trestní agendu. Z podstaty složitosti a rozsahu trestních věcí projednávaných v prvním stupni u krajských soudů vyplývá, že jsou mnohdy časově náročnější</w:t>
      </w:r>
      <w:r w:rsidRPr="001C3EC8">
        <w:rPr>
          <w:color w:val="000000" w:themeColor="text1"/>
        </w:rPr>
        <w:t xml:space="preserve">, ať už </w:t>
      </w:r>
      <w:r w:rsidR="008430BD" w:rsidRPr="001C3EC8">
        <w:rPr>
          <w:color w:val="000000" w:themeColor="text1"/>
        </w:rPr>
        <w:t>na samotné studium spisu soudcem</w:t>
      </w:r>
      <w:r w:rsidRPr="001C3EC8">
        <w:rPr>
          <w:color w:val="000000" w:themeColor="text1"/>
        </w:rPr>
        <w:t xml:space="preserve">, </w:t>
      </w:r>
      <w:r w:rsidR="008430BD" w:rsidRPr="001C3EC8">
        <w:rPr>
          <w:color w:val="000000" w:themeColor="text1"/>
        </w:rPr>
        <w:t xml:space="preserve">či </w:t>
      </w:r>
      <w:r w:rsidRPr="001C3EC8">
        <w:rPr>
          <w:color w:val="000000" w:themeColor="text1"/>
        </w:rPr>
        <w:t xml:space="preserve">na </w:t>
      </w:r>
      <w:r w:rsidR="008430BD" w:rsidRPr="001C3EC8">
        <w:rPr>
          <w:color w:val="000000" w:themeColor="text1"/>
        </w:rPr>
        <w:t>následný větší počet hlavních líčení. Výjimkou nejsou ani sofistikované obstrukční procesní postupy obhájců.</w:t>
      </w:r>
    </w:p>
    <w:p w14:paraId="2E7FB8E7" w14:textId="77777777" w:rsidR="008430BD" w:rsidRPr="001C3EC8" w:rsidRDefault="008430BD" w:rsidP="008430BD">
      <w:pPr>
        <w:pStyle w:val="Nadpis3"/>
        <w:numPr>
          <w:ilvl w:val="2"/>
          <w:numId w:val="1"/>
        </w:numPr>
        <w:rPr>
          <w:color w:val="000000" w:themeColor="text1"/>
        </w:rPr>
      </w:pPr>
      <w:bookmarkStart w:id="508" w:name="_Toc41058977"/>
      <w:bookmarkStart w:id="509" w:name="_Toc515871259"/>
      <w:bookmarkStart w:id="510" w:name="_Toc75952099"/>
      <w:bookmarkEnd w:id="508"/>
      <w:r w:rsidRPr="001C3EC8">
        <w:rPr>
          <w:color w:val="000000" w:themeColor="text1"/>
        </w:rPr>
        <w:t>Vyřizování věcí</w:t>
      </w:r>
      <w:bookmarkEnd w:id="509"/>
      <w:bookmarkEnd w:id="510"/>
    </w:p>
    <w:p w14:paraId="74E54D82" w14:textId="77777777" w:rsidR="008430BD" w:rsidRPr="001C3EC8" w:rsidRDefault="008430BD" w:rsidP="008430BD">
      <w:pPr>
        <w:pStyle w:val="OdstavecASR"/>
        <w:rPr>
          <w:color w:val="000000" w:themeColor="text1"/>
        </w:rPr>
      </w:pPr>
      <w:r w:rsidRPr="001C3EC8">
        <w:rPr>
          <w:color w:val="000000" w:themeColor="text1"/>
        </w:rPr>
        <w:t>Na následujícím grafu vidíme vývoj v počtu napadlých + obživlých, vyřízených a nevyřízených věcí.</w:t>
      </w:r>
    </w:p>
    <w:p w14:paraId="1BDB5B08" w14:textId="6B522349" w:rsidR="008430BD" w:rsidRPr="001C3EC8" w:rsidRDefault="008430BD" w:rsidP="008430BD">
      <w:pPr>
        <w:pStyle w:val="OdstavecASR"/>
        <w:rPr>
          <w:color w:val="000000" w:themeColor="text1"/>
        </w:rPr>
      </w:pPr>
      <w:bookmarkStart w:id="511" w:name="_Toc515871391"/>
      <w:bookmarkStart w:id="512" w:name="_Toc11135122"/>
      <w:bookmarkStart w:id="513" w:name="_Toc43841440"/>
      <w:r w:rsidRPr="001C3EC8">
        <w:rPr>
          <w:color w:val="000000" w:themeColor="text1"/>
        </w:rPr>
        <w:t xml:space="preserve">Zatímco u okresních soudů je zřejmý jednoznačný klesající trend, u závažnějších trestných činů vyřizovaných krajskými soudy tomu tak není. Počet napadlých a vyřízených věcí se dlouhodobě pohybuje mezi 1 200 a 1 300 věcmi. V roce 2019 došlo k citelnému poklesu </w:t>
      </w:r>
      <w:r w:rsidR="0014150C" w:rsidRPr="001C3EC8">
        <w:rPr>
          <w:color w:val="000000" w:themeColor="text1"/>
        </w:rPr>
        <w:t>a</w:t>
      </w:r>
      <w:r w:rsidR="0014150C">
        <w:rPr>
          <w:color w:val="000000" w:themeColor="text1"/>
        </w:rPr>
        <w:t> </w:t>
      </w:r>
      <w:r w:rsidRPr="001C3EC8">
        <w:rPr>
          <w:color w:val="000000" w:themeColor="text1"/>
        </w:rPr>
        <w:t xml:space="preserve">počet příchozích věcí byl nejmenší od roku 2008. V roce 2020 se počet příchozích věcí meziročně víceméně nezměnil. To ukazuje na to, že na závažnou kriminalitu neměla pandemie </w:t>
      </w:r>
      <w:r w:rsidR="000C3B1E">
        <w:rPr>
          <w:color w:val="000000" w:themeColor="text1"/>
        </w:rPr>
        <w:t>COVID</w:t>
      </w:r>
      <w:r w:rsidR="000C3B1E">
        <w:rPr>
          <w:color w:val="000000" w:themeColor="text1"/>
        </w:rPr>
        <w:noBreakHyphen/>
        <w:t>19</w:t>
      </w:r>
      <w:r w:rsidRPr="001C3EC8">
        <w:rPr>
          <w:color w:val="000000" w:themeColor="text1"/>
        </w:rPr>
        <w:t xml:space="preserve"> vliv (na</w:t>
      </w:r>
      <w:r w:rsidR="00EA455C" w:rsidRPr="001C3EC8">
        <w:rPr>
          <w:color w:val="000000" w:themeColor="text1"/>
        </w:rPr>
        <w:t xml:space="preserve"> </w:t>
      </w:r>
      <w:r w:rsidRPr="001C3EC8">
        <w:rPr>
          <w:color w:val="000000" w:themeColor="text1"/>
        </w:rPr>
        <w:t xml:space="preserve">rozdíl od agendy okresních soudů, </w:t>
      </w:r>
      <w:r w:rsidR="003A2AD4" w:rsidRPr="001C3EC8">
        <w:rPr>
          <w:color w:val="000000" w:themeColor="text1"/>
        </w:rPr>
        <w:t xml:space="preserve">která zahrnuje </w:t>
      </w:r>
      <w:r w:rsidRPr="001C3EC8">
        <w:rPr>
          <w:color w:val="000000" w:themeColor="text1"/>
        </w:rPr>
        <w:t>méně závažnou kriminalitu). To dává smysl, protože agenda trestních soudů zahrnuje závažnou finanční kriminalitu, vraždy či rozsáhlé podvody. Tyto trestné činy nijak pandemií ovlivněny nebyly.</w:t>
      </w:r>
      <w:r w:rsidR="00563800" w:rsidRPr="001C3EC8">
        <w:rPr>
          <w:color w:val="000000" w:themeColor="text1"/>
        </w:rPr>
        <w:t xml:space="preserve"> Zároveň </w:t>
      </w:r>
      <w:r w:rsidR="0014150C" w:rsidRPr="001C3EC8">
        <w:rPr>
          <w:color w:val="000000" w:themeColor="text1"/>
        </w:rPr>
        <w:t>u</w:t>
      </w:r>
      <w:r w:rsidR="0014150C">
        <w:rPr>
          <w:color w:val="000000" w:themeColor="text1"/>
        </w:rPr>
        <w:t> </w:t>
      </w:r>
      <w:r w:rsidR="00563800" w:rsidRPr="001C3EC8">
        <w:rPr>
          <w:color w:val="000000" w:themeColor="text1"/>
        </w:rPr>
        <w:t xml:space="preserve">mnohých z nich platí, že od spáchání trestného činu do podání obžaloby uplyne (na rozdíl od banální trestné činnosti řešené typicky ve zkráceném přípravném řízení) dlouhá doba </w:t>
      </w:r>
      <w:r w:rsidR="0014150C" w:rsidRPr="001C3EC8">
        <w:rPr>
          <w:color w:val="000000" w:themeColor="text1"/>
        </w:rPr>
        <w:t>i</w:t>
      </w:r>
      <w:r w:rsidR="0014150C">
        <w:rPr>
          <w:color w:val="000000" w:themeColor="text1"/>
        </w:rPr>
        <w:t> </w:t>
      </w:r>
      <w:r w:rsidR="00563800" w:rsidRPr="001C3EC8">
        <w:rPr>
          <w:color w:val="000000" w:themeColor="text1"/>
        </w:rPr>
        <w:t>několika let; eventuální propad takové kriminality v roce 2020 by se tak projevil až s odstupem.</w:t>
      </w:r>
    </w:p>
    <w:p w14:paraId="493FFD79" w14:textId="4A267534" w:rsidR="008430BD" w:rsidRPr="001C3EC8" w:rsidRDefault="008430BD" w:rsidP="008430BD">
      <w:pPr>
        <w:pStyle w:val="OdstavecASR"/>
        <w:rPr>
          <w:color w:val="000000" w:themeColor="text1"/>
        </w:rPr>
      </w:pPr>
      <w:r w:rsidRPr="001C3EC8">
        <w:rPr>
          <w:color w:val="000000" w:themeColor="text1"/>
        </w:rPr>
        <w:t xml:space="preserve">Počet příchozích prvostupňových věcí u KS byl tedy v roce 2020 54krát menší než počet příchozích věcí </w:t>
      </w:r>
      <w:r w:rsidR="0014150C" w:rsidRPr="001C3EC8">
        <w:rPr>
          <w:color w:val="000000" w:themeColor="text1"/>
        </w:rPr>
        <w:t>u</w:t>
      </w:r>
      <w:r w:rsidR="0014150C">
        <w:rPr>
          <w:color w:val="000000" w:themeColor="text1"/>
        </w:rPr>
        <w:t> </w:t>
      </w:r>
      <w:r w:rsidRPr="001C3EC8">
        <w:rPr>
          <w:color w:val="000000" w:themeColor="text1"/>
        </w:rPr>
        <w:t xml:space="preserve">OS, v roce 2019 asi 63krát menší než počet příchozích věcí u OS </w:t>
      </w:r>
      <w:r w:rsidR="0014150C" w:rsidRPr="001C3EC8">
        <w:rPr>
          <w:color w:val="000000" w:themeColor="text1"/>
        </w:rPr>
        <w:t>a</w:t>
      </w:r>
      <w:r w:rsidR="0014150C">
        <w:rPr>
          <w:color w:val="000000" w:themeColor="text1"/>
        </w:rPr>
        <w:t> </w:t>
      </w:r>
      <w:r w:rsidRPr="001C3EC8">
        <w:rPr>
          <w:color w:val="000000" w:themeColor="text1"/>
        </w:rPr>
        <w:t>v roce 2018 56krát. U nejmenších krajských soudů (KS České Budějovice, KS Plzeň a KS Praha) napadne ročně méně než 100 prvostupňových trestních věcí.</w:t>
      </w:r>
    </w:p>
    <w:p w14:paraId="36EBF44F" w14:textId="037C7E3B" w:rsidR="008430BD" w:rsidRPr="001C3EC8" w:rsidRDefault="008430BD" w:rsidP="008430BD">
      <w:pPr>
        <w:pStyle w:val="OdstavecASR"/>
        <w:rPr>
          <w:color w:val="000000" w:themeColor="text1"/>
        </w:rPr>
      </w:pPr>
      <w:r w:rsidRPr="001C3EC8">
        <w:rPr>
          <w:color w:val="000000" w:themeColor="text1"/>
        </w:rPr>
        <w:lastRenderedPageBreak/>
        <w:t xml:space="preserve">Od roku 2012 do roku 2016 byl počet příchozích věcí vyšší než počet vyřízených věcí. Počet nevyřízených věcí se tedy velmi pomalu zvyšoval. Tento stav se přerušil v roce 2017, aby se v roce 2018 opět obnovil. V roce 2019 pak zřejmě díky poklesu v počtu příchozích věcí byl počet vyřízených věcí větší než počet věcí příchozích. V roce 2019 rovněž klesl počet věcí nevyřízených déle než </w:t>
      </w:r>
      <w:r w:rsidR="0014150C" w:rsidRPr="001C3EC8">
        <w:rPr>
          <w:color w:val="000000" w:themeColor="text1"/>
        </w:rPr>
        <w:t>2</w:t>
      </w:r>
      <w:r w:rsidR="0014150C">
        <w:rPr>
          <w:color w:val="000000" w:themeColor="text1"/>
        </w:rPr>
        <w:t> </w:t>
      </w:r>
      <w:r w:rsidRPr="001C3EC8">
        <w:rPr>
          <w:color w:val="000000" w:themeColor="text1"/>
        </w:rPr>
        <w:t xml:space="preserve">roky. Zde uvedené údaje tedy mírní pesimismus, který by mohl plynout z části </w:t>
      </w:r>
      <w:r w:rsidR="0014150C" w:rsidRPr="001C3EC8">
        <w:rPr>
          <w:color w:val="000000" w:themeColor="text1"/>
        </w:rPr>
        <w:t>o</w:t>
      </w:r>
      <w:r w:rsidR="0014150C">
        <w:rPr>
          <w:color w:val="000000" w:themeColor="text1"/>
        </w:rPr>
        <w:t> </w:t>
      </w:r>
      <w:r w:rsidRPr="001C3EC8">
        <w:rPr>
          <w:color w:val="000000" w:themeColor="text1"/>
        </w:rPr>
        <w:t>délkách řízení. V roce 2020 v zásadě k žádné změně nedošlo.</w:t>
      </w:r>
    </w:p>
    <w:p w14:paraId="15083D04" w14:textId="18923A00" w:rsidR="008430BD" w:rsidRPr="001C3EC8" w:rsidRDefault="008430BD" w:rsidP="008430BD">
      <w:pPr>
        <w:pStyle w:val="Podnadpis"/>
        <w:keepNext w:val="0"/>
        <w:rPr>
          <w:color w:val="000000" w:themeColor="text1"/>
        </w:rPr>
      </w:pPr>
      <w:bookmarkStart w:id="514" w:name="_Toc7595224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63</w:t>
      </w:r>
      <w:r w:rsidRPr="001C3EC8">
        <w:rPr>
          <w:noProof/>
          <w:color w:val="000000" w:themeColor="text1"/>
        </w:rPr>
        <w:fldChar w:fldCharType="end"/>
      </w:r>
      <w:r w:rsidRPr="001C3EC8">
        <w:rPr>
          <w:color w:val="000000" w:themeColor="text1"/>
        </w:rPr>
        <w:t>: KS – vyřizování prvostupňových trestních věcí v letech 2008–20</w:t>
      </w:r>
      <w:bookmarkEnd w:id="511"/>
      <w:bookmarkEnd w:id="512"/>
      <w:bookmarkEnd w:id="513"/>
      <w:r w:rsidRPr="001C3EC8">
        <w:rPr>
          <w:color w:val="000000" w:themeColor="text1"/>
        </w:rPr>
        <w:t>20</w:t>
      </w:r>
      <w:bookmarkEnd w:id="514"/>
    </w:p>
    <w:p w14:paraId="78196C69" w14:textId="77777777" w:rsidR="008430BD" w:rsidRPr="001C3EC8" w:rsidRDefault="008430BD" w:rsidP="008430BD">
      <w:pPr>
        <w:pStyle w:val="Podnadpis"/>
        <w:keepNext w:val="0"/>
        <w:rPr>
          <w:color w:val="000000" w:themeColor="text1"/>
        </w:rPr>
      </w:pPr>
      <w:r w:rsidRPr="001C3EC8">
        <w:rPr>
          <w:noProof/>
          <w:color w:val="000000" w:themeColor="text1"/>
          <w:lang w:eastAsia="cs-CZ"/>
        </w:rPr>
        <w:drawing>
          <wp:inline distT="0" distB="0" distL="0" distR="0" wp14:anchorId="7CB49F99" wp14:editId="385BA625">
            <wp:extent cx="5114925" cy="3743325"/>
            <wp:effectExtent l="0" t="0" r="0" b="9525"/>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260ED90" w14:textId="77777777" w:rsidR="008430BD" w:rsidRPr="001C3EC8" w:rsidRDefault="008430BD" w:rsidP="008430BD">
      <w:pPr>
        <w:pStyle w:val="Podnadpis"/>
        <w:rPr>
          <w:color w:val="000000" w:themeColor="text1"/>
        </w:rPr>
      </w:pPr>
      <w:bookmarkStart w:id="515" w:name="_Toc515871480"/>
      <w:bookmarkStart w:id="516" w:name="_Toc11133248"/>
      <w:bookmarkStart w:id="517" w:name="_Toc43931226"/>
    </w:p>
    <w:p w14:paraId="5B8652B3" w14:textId="3A61001F" w:rsidR="008430BD" w:rsidRPr="001C3EC8" w:rsidRDefault="008430BD" w:rsidP="008430BD">
      <w:pPr>
        <w:pStyle w:val="Podnadpis"/>
        <w:rPr>
          <w:color w:val="000000" w:themeColor="text1"/>
          <w:highlight w:val="yellow"/>
        </w:rPr>
      </w:pPr>
      <w:bookmarkStart w:id="518" w:name="_Toc7595235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56</w:t>
      </w:r>
      <w:r w:rsidRPr="001C3EC8">
        <w:rPr>
          <w:noProof/>
          <w:color w:val="000000" w:themeColor="text1"/>
        </w:rPr>
        <w:fldChar w:fldCharType="end"/>
      </w:r>
      <w:r w:rsidRPr="001C3EC8">
        <w:rPr>
          <w:color w:val="000000" w:themeColor="text1"/>
        </w:rPr>
        <w:t>: KS – vyřizování prvostupňových trestních věcí dle soudů</w:t>
      </w:r>
      <w:bookmarkEnd w:id="515"/>
      <w:bookmarkEnd w:id="516"/>
      <w:bookmarkEnd w:id="517"/>
      <w:bookmarkEnd w:id="518"/>
    </w:p>
    <w:tbl>
      <w:tblPr>
        <w:tblW w:w="9140" w:type="dxa"/>
        <w:tblCellMar>
          <w:left w:w="70" w:type="dxa"/>
          <w:right w:w="70" w:type="dxa"/>
        </w:tblCellMar>
        <w:tblLook w:val="04A0" w:firstRow="1" w:lastRow="0" w:firstColumn="1" w:lastColumn="0" w:noHBand="0" w:noVBand="1"/>
      </w:tblPr>
      <w:tblGrid>
        <w:gridCol w:w="2020"/>
        <w:gridCol w:w="841"/>
        <w:gridCol w:w="1068"/>
        <w:gridCol w:w="841"/>
        <w:gridCol w:w="1068"/>
        <w:gridCol w:w="694"/>
        <w:gridCol w:w="1068"/>
        <w:gridCol w:w="1540"/>
      </w:tblGrid>
      <w:tr w:rsidR="008430BD" w:rsidRPr="001C3EC8" w14:paraId="388D6CAD"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B1F8F5F" w14:textId="48426700"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14CC010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715081B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510F7847"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248EF401"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909" w:type="dxa"/>
            <w:gridSpan w:val="2"/>
            <w:tcBorders>
              <w:top w:val="nil"/>
              <w:left w:val="nil"/>
              <w:bottom w:val="double" w:sz="6" w:space="0" w:color="auto"/>
              <w:right w:val="nil"/>
            </w:tcBorders>
            <w:shd w:val="clear" w:color="auto" w:fill="auto"/>
            <w:noWrap/>
            <w:vAlign w:val="center"/>
            <w:hideMark/>
          </w:tcPr>
          <w:p w14:paraId="1B3384F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0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280867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762" w:type="dxa"/>
            <w:gridSpan w:val="2"/>
            <w:tcBorders>
              <w:top w:val="nil"/>
              <w:left w:val="nil"/>
              <w:bottom w:val="double" w:sz="6" w:space="0" w:color="auto"/>
              <w:right w:val="single" w:sz="4" w:space="0" w:color="000000"/>
            </w:tcBorders>
            <w:shd w:val="clear" w:color="auto" w:fill="auto"/>
            <w:noWrap/>
            <w:vAlign w:val="center"/>
            <w:hideMark/>
          </w:tcPr>
          <w:p w14:paraId="37B4614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1E056C11"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64EE1449"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59862D2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41" w:type="dxa"/>
            <w:tcBorders>
              <w:top w:val="single" w:sz="4" w:space="0" w:color="auto"/>
              <w:left w:val="nil"/>
              <w:bottom w:val="single" w:sz="4" w:space="0" w:color="auto"/>
              <w:right w:val="nil"/>
            </w:tcBorders>
            <w:shd w:val="clear" w:color="auto" w:fill="auto"/>
            <w:noWrap/>
            <w:vAlign w:val="bottom"/>
            <w:hideMark/>
          </w:tcPr>
          <w:p w14:paraId="0B7F50E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287</w:t>
            </w:r>
          </w:p>
        </w:tc>
        <w:tc>
          <w:tcPr>
            <w:tcW w:w="1068" w:type="dxa"/>
            <w:tcBorders>
              <w:top w:val="single" w:sz="4" w:space="0" w:color="auto"/>
              <w:left w:val="nil"/>
              <w:bottom w:val="single" w:sz="4" w:space="0" w:color="auto"/>
              <w:right w:val="nil"/>
            </w:tcBorders>
            <w:shd w:val="clear" w:color="auto" w:fill="auto"/>
            <w:noWrap/>
            <w:vAlign w:val="center"/>
            <w:hideMark/>
          </w:tcPr>
          <w:p w14:paraId="2E5004BD" w14:textId="2F1E077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41" w:type="dxa"/>
            <w:tcBorders>
              <w:top w:val="single" w:sz="4" w:space="0" w:color="auto"/>
              <w:left w:val="single" w:sz="4" w:space="0" w:color="auto"/>
              <w:bottom w:val="single" w:sz="4" w:space="0" w:color="auto"/>
              <w:right w:val="nil"/>
            </w:tcBorders>
            <w:shd w:val="clear" w:color="auto" w:fill="auto"/>
            <w:noWrap/>
            <w:vAlign w:val="bottom"/>
            <w:hideMark/>
          </w:tcPr>
          <w:p w14:paraId="4ED2976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283</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0084FD3" w14:textId="70A0FAF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694" w:type="dxa"/>
            <w:tcBorders>
              <w:top w:val="single" w:sz="4" w:space="0" w:color="auto"/>
              <w:left w:val="nil"/>
              <w:bottom w:val="single" w:sz="4" w:space="0" w:color="auto"/>
              <w:right w:val="nil"/>
            </w:tcBorders>
            <w:shd w:val="clear" w:color="auto" w:fill="auto"/>
            <w:noWrap/>
            <w:vAlign w:val="bottom"/>
            <w:hideMark/>
          </w:tcPr>
          <w:p w14:paraId="59EB049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81C7592" w14:textId="2DCDFF5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6D7192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98,6 %</w:t>
            </w:r>
          </w:p>
        </w:tc>
      </w:tr>
      <w:tr w:rsidR="008430BD" w:rsidRPr="001C3EC8" w14:paraId="577B734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1C8D2A2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41" w:type="dxa"/>
            <w:tcBorders>
              <w:top w:val="nil"/>
              <w:left w:val="nil"/>
              <w:bottom w:val="single" w:sz="4" w:space="0" w:color="auto"/>
              <w:right w:val="nil"/>
            </w:tcBorders>
            <w:shd w:val="clear" w:color="auto" w:fill="auto"/>
            <w:noWrap/>
            <w:vAlign w:val="bottom"/>
            <w:hideMark/>
          </w:tcPr>
          <w:p w14:paraId="6E9721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77</w:t>
            </w:r>
          </w:p>
        </w:tc>
        <w:tc>
          <w:tcPr>
            <w:tcW w:w="1068" w:type="dxa"/>
            <w:tcBorders>
              <w:top w:val="nil"/>
              <w:left w:val="nil"/>
              <w:bottom w:val="single" w:sz="4" w:space="0" w:color="auto"/>
              <w:right w:val="nil"/>
            </w:tcBorders>
            <w:shd w:val="clear" w:color="auto" w:fill="auto"/>
            <w:noWrap/>
            <w:vAlign w:val="center"/>
            <w:hideMark/>
          </w:tcPr>
          <w:p w14:paraId="36DE348C" w14:textId="156EB52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41" w:type="dxa"/>
            <w:tcBorders>
              <w:top w:val="nil"/>
              <w:left w:val="single" w:sz="4" w:space="0" w:color="auto"/>
              <w:bottom w:val="single" w:sz="4" w:space="0" w:color="auto"/>
              <w:right w:val="nil"/>
            </w:tcBorders>
            <w:shd w:val="clear" w:color="auto" w:fill="auto"/>
            <w:noWrap/>
            <w:vAlign w:val="bottom"/>
            <w:hideMark/>
          </w:tcPr>
          <w:p w14:paraId="05929E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w:t>
            </w:r>
          </w:p>
        </w:tc>
        <w:tc>
          <w:tcPr>
            <w:tcW w:w="1068" w:type="dxa"/>
            <w:tcBorders>
              <w:top w:val="nil"/>
              <w:left w:val="nil"/>
              <w:bottom w:val="single" w:sz="4" w:space="0" w:color="auto"/>
              <w:right w:val="single" w:sz="4" w:space="0" w:color="auto"/>
            </w:tcBorders>
            <w:shd w:val="clear" w:color="auto" w:fill="auto"/>
            <w:noWrap/>
            <w:vAlign w:val="center"/>
            <w:hideMark/>
          </w:tcPr>
          <w:p w14:paraId="64DC29B4" w14:textId="5B2E398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694" w:type="dxa"/>
            <w:tcBorders>
              <w:top w:val="nil"/>
              <w:left w:val="nil"/>
              <w:bottom w:val="single" w:sz="4" w:space="0" w:color="auto"/>
              <w:right w:val="nil"/>
            </w:tcBorders>
            <w:shd w:val="clear" w:color="auto" w:fill="auto"/>
            <w:noWrap/>
            <w:vAlign w:val="bottom"/>
            <w:hideMark/>
          </w:tcPr>
          <w:p w14:paraId="6D38C6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c>
          <w:tcPr>
            <w:tcW w:w="1068" w:type="dxa"/>
            <w:tcBorders>
              <w:top w:val="nil"/>
              <w:left w:val="nil"/>
              <w:bottom w:val="single" w:sz="4" w:space="0" w:color="auto"/>
              <w:right w:val="single" w:sz="4" w:space="0" w:color="auto"/>
            </w:tcBorders>
            <w:shd w:val="clear" w:color="auto" w:fill="auto"/>
            <w:noWrap/>
            <w:vAlign w:val="center"/>
            <w:hideMark/>
          </w:tcPr>
          <w:p w14:paraId="3622A889" w14:textId="311453B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AA8596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106,5 %</w:t>
            </w:r>
          </w:p>
        </w:tc>
      </w:tr>
      <w:tr w:rsidR="008430BD" w:rsidRPr="001C3EC8" w14:paraId="113D43DA"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36024BF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41" w:type="dxa"/>
            <w:tcBorders>
              <w:top w:val="nil"/>
              <w:left w:val="nil"/>
              <w:bottom w:val="single" w:sz="4" w:space="0" w:color="auto"/>
              <w:right w:val="nil"/>
            </w:tcBorders>
            <w:shd w:val="clear" w:color="auto" w:fill="auto"/>
            <w:noWrap/>
            <w:vAlign w:val="bottom"/>
            <w:hideMark/>
          </w:tcPr>
          <w:p w14:paraId="11297F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w:t>
            </w:r>
          </w:p>
        </w:tc>
        <w:tc>
          <w:tcPr>
            <w:tcW w:w="1068" w:type="dxa"/>
            <w:tcBorders>
              <w:top w:val="nil"/>
              <w:left w:val="nil"/>
              <w:bottom w:val="single" w:sz="4" w:space="0" w:color="auto"/>
              <w:right w:val="nil"/>
            </w:tcBorders>
            <w:shd w:val="clear" w:color="auto" w:fill="auto"/>
            <w:noWrap/>
            <w:vAlign w:val="center"/>
            <w:hideMark/>
          </w:tcPr>
          <w:p w14:paraId="001A935C" w14:textId="18C5DDD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841" w:type="dxa"/>
            <w:tcBorders>
              <w:top w:val="nil"/>
              <w:left w:val="single" w:sz="4" w:space="0" w:color="auto"/>
              <w:bottom w:val="single" w:sz="4" w:space="0" w:color="auto"/>
              <w:right w:val="nil"/>
            </w:tcBorders>
            <w:shd w:val="clear" w:color="auto" w:fill="auto"/>
            <w:noWrap/>
            <w:vAlign w:val="bottom"/>
            <w:hideMark/>
          </w:tcPr>
          <w:p w14:paraId="1693D6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w:t>
            </w:r>
          </w:p>
        </w:tc>
        <w:tc>
          <w:tcPr>
            <w:tcW w:w="1068" w:type="dxa"/>
            <w:tcBorders>
              <w:top w:val="nil"/>
              <w:left w:val="nil"/>
              <w:bottom w:val="single" w:sz="4" w:space="0" w:color="auto"/>
              <w:right w:val="single" w:sz="4" w:space="0" w:color="auto"/>
            </w:tcBorders>
            <w:shd w:val="clear" w:color="auto" w:fill="auto"/>
            <w:noWrap/>
            <w:vAlign w:val="center"/>
            <w:hideMark/>
          </w:tcPr>
          <w:p w14:paraId="409DF71E" w14:textId="03D0947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694" w:type="dxa"/>
            <w:tcBorders>
              <w:top w:val="nil"/>
              <w:left w:val="nil"/>
              <w:bottom w:val="single" w:sz="4" w:space="0" w:color="auto"/>
              <w:right w:val="nil"/>
            </w:tcBorders>
            <w:shd w:val="clear" w:color="auto" w:fill="auto"/>
            <w:noWrap/>
            <w:vAlign w:val="bottom"/>
            <w:hideMark/>
          </w:tcPr>
          <w:p w14:paraId="071E222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w:t>
            </w:r>
          </w:p>
        </w:tc>
        <w:tc>
          <w:tcPr>
            <w:tcW w:w="1068" w:type="dxa"/>
            <w:tcBorders>
              <w:top w:val="nil"/>
              <w:left w:val="nil"/>
              <w:bottom w:val="single" w:sz="4" w:space="0" w:color="auto"/>
              <w:right w:val="single" w:sz="4" w:space="0" w:color="auto"/>
            </w:tcBorders>
            <w:shd w:val="clear" w:color="auto" w:fill="auto"/>
            <w:noWrap/>
            <w:vAlign w:val="center"/>
            <w:hideMark/>
          </w:tcPr>
          <w:p w14:paraId="2A121A6D" w14:textId="43D390E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138C87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107,5 %</w:t>
            </w:r>
          </w:p>
        </w:tc>
      </w:tr>
      <w:tr w:rsidR="008430BD" w:rsidRPr="001C3EC8" w14:paraId="64757A91"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660B36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41" w:type="dxa"/>
            <w:tcBorders>
              <w:top w:val="nil"/>
              <w:left w:val="nil"/>
              <w:bottom w:val="single" w:sz="4" w:space="0" w:color="auto"/>
              <w:right w:val="nil"/>
            </w:tcBorders>
            <w:shd w:val="clear" w:color="auto" w:fill="auto"/>
            <w:noWrap/>
            <w:vAlign w:val="bottom"/>
            <w:hideMark/>
          </w:tcPr>
          <w:p w14:paraId="76D01D0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w:t>
            </w:r>
          </w:p>
        </w:tc>
        <w:tc>
          <w:tcPr>
            <w:tcW w:w="1068" w:type="dxa"/>
            <w:tcBorders>
              <w:top w:val="nil"/>
              <w:left w:val="nil"/>
              <w:bottom w:val="single" w:sz="4" w:space="0" w:color="auto"/>
              <w:right w:val="nil"/>
            </w:tcBorders>
            <w:shd w:val="clear" w:color="auto" w:fill="auto"/>
            <w:noWrap/>
            <w:vAlign w:val="center"/>
            <w:hideMark/>
          </w:tcPr>
          <w:p w14:paraId="28F6C434" w14:textId="5182436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41" w:type="dxa"/>
            <w:tcBorders>
              <w:top w:val="nil"/>
              <w:left w:val="single" w:sz="4" w:space="0" w:color="auto"/>
              <w:bottom w:val="single" w:sz="4" w:space="0" w:color="auto"/>
              <w:right w:val="nil"/>
            </w:tcBorders>
            <w:shd w:val="clear" w:color="auto" w:fill="auto"/>
            <w:noWrap/>
            <w:vAlign w:val="bottom"/>
            <w:hideMark/>
          </w:tcPr>
          <w:p w14:paraId="1DD1C1F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w:t>
            </w:r>
          </w:p>
        </w:tc>
        <w:tc>
          <w:tcPr>
            <w:tcW w:w="1068" w:type="dxa"/>
            <w:tcBorders>
              <w:top w:val="nil"/>
              <w:left w:val="nil"/>
              <w:bottom w:val="single" w:sz="4" w:space="0" w:color="auto"/>
              <w:right w:val="single" w:sz="4" w:space="0" w:color="auto"/>
            </w:tcBorders>
            <w:shd w:val="clear" w:color="auto" w:fill="auto"/>
            <w:noWrap/>
            <w:vAlign w:val="center"/>
            <w:hideMark/>
          </w:tcPr>
          <w:p w14:paraId="130A76EC" w14:textId="3A7B814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694" w:type="dxa"/>
            <w:tcBorders>
              <w:top w:val="nil"/>
              <w:left w:val="nil"/>
              <w:bottom w:val="single" w:sz="4" w:space="0" w:color="auto"/>
              <w:right w:val="nil"/>
            </w:tcBorders>
            <w:shd w:val="clear" w:color="auto" w:fill="auto"/>
            <w:noWrap/>
            <w:vAlign w:val="bottom"/>
            <w:hideMark/>
          </w:tcPr>
          <w:p w14:paraId="138107F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w:t>
            </w:r>
          </w:p>
        </w:tc>
        <w:tc>
          <w:tcPr>
            <w:tcW w:w="1068" w:type="dxa"/>
            <w:tcBorders>
              <w:top w:val="nil"/>
              <w:left w:val="nil"/>
              <w:bottom w:val="single" w:sz="4" w:space="0" w:color="auto"/>
              <w:right w:val="single" w:sz="4" w:space="0" w:color="auto"/>
            </w:tcBorders>
            <w:shd w:val="clear" w:color="auto" w:fill="auto"/>
            <w:noWrap/>
            <w:vAlign w:val="center"/>
            <w:hideMark/>
          </w:tcPr>
          <w:p w14:paraId="581A519C" w14:textId="4B871B7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04B9BC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90,8 %</w:t>
            </w:r>
          </w:p>
        </w:tc>
      </w:tr>
      <w:tr w:rsidR="008430BD" w:rsidRPr="001C3EC8" w14:paraId="64EE4E43"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09EBF38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41" w:type="dxa"/>
            <w:tcBorders>
              <w:top w:val="nil"/>
              <w:left w:val="nil"/>
              <w:bottom w:val="single" w:sz="4" w:space="0" w:color="auto"/>
              <w:right w:val="nil"/>
            </w:tcBorders>
            <w:shd w:val="clear" w:color="auto" w:fill="auto"/>
            <w:noWrap/>
            <w:vAlign w:val="bottom"/>
            <w:hideMark/>
          </w:tcPr>
          <w:p w14:paraId="3BEB511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162</w:t>
            </w:r>
          </w:p>
        </w:tc>
        <w:tc>
          <w:tcPr>
            <w:tcW w:w="1068" w:type="dxa"/>
            <w:tcBorders>
              <w:top w:val="nil"/>
              <w:left w:val="nil"/>
              <w:bottom w:val="single" w:sz="4" w:space="0" w:color="auto"/>
              <w:right w:val="nil"/>
            </w:tcBorders>
            <w:shd w:val="clear" w:color="auto" w:fill="auto"/>
            <w:noWrap/>
            <w:vAlign w:val="center"/>
            <w:hideMark/>
          </w:tcPr>
          <w:p w14:paraId="4D93F77D" w14:textId="1C8C9A9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41" w:type="dxa"/>
            <w:tcBorders>
              <w:top w:val="nil"/>
              <w:left w:val="single" w:sz="4" w:space="0" w:color="auto"/>
              <w:bottom w:val="single" w:sz="4" w:space="0" w:color="auto"/>
              <w:right w:val="nil"/>
            </w:tcBorders>
            <w:shd w:val="clear" w:color="auto" w:fill="auto"/>
            <w:noWrap/>
            <w:vAlign w:val="bottom"/>
            <w:hideMark/>
          </w:tcPr>
          <w:p w14:paraId="408A5F7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150</w:t>
            </w:r>
          </w:p>
        </w:tc>
        <w:tc>
          <w:tcPr>
            <w:tcW w:w="1068" w:type="dxa"/>
            <w:tcBorders>
              <w:top w:val="nil"/>
              <w:left w:val="nil"/>
              <w:bottom w:val="single" w:sz="4" w:space="0" w:color="auto"/>
              <w:right w:val="single" w:sz="4" w:space="0" w:color="auto"/>
            </w:tcBorders>
            <w:shd w:val="clear" w:color="auto" w:fill="auto"/>
            <w:noWrap/>
            <w:vAlign w:val="center"/>
            <w:hideMark/>
          </w:tcPr>
          <w:p w14:paraId="177CFEAC" w14:textId="3DC0F6E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694" w:type="dxa"/>
            <w:tcBorders>
              <w:top w:val="nil"/>
              <w:left w:val="nil"/>
              <w:bottom w:val="single" w:sz="4" w:space="0" w:color="auto"/>
              <w:right w:val="nil"/>
            </w:tcBorders>
            <w:shd w:val="clear" w:color="auto" w:fill="auto"/>
            <w:noWrap/>
            <w:vAlign w:val="bottom"/>
            <w:hideMark/>
          </w:tcPr>
          <w:p w14:paraId="3142C6E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136</w:t>
            </w:r>
          </w:p>
        </w:tc>
        <w:tc>
          <w:tcPr>
            <w:tcW w:w="1068" w:type="dxa"/>
            <w:tcBorders>
              <w:top w:val="nil"/>
              <w:left w:val="nil"/>
              <w:bottom w:val="single" w:sz="4" w:space="0" w:color="auto"/>
              <w:right w:val="single" w:sz="4" w:space="0" w:color="auto"/>
            </w:tcBorders>
            <w:shd w:val="clear" w:color="auto" w:fill="auto"/>
            <w:noWrap/>
            <w:vAlign w:val="center"/>
            <w:hideMark/>
          </w:tcPr>
          <w:p w14:paraId="69D66602" w14:textId="25707AB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1145A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92,6 %</w:t>
            </w:r>
          </w:p>
        </w:tc>
      </w:tr>
      <w:tr w:rsidR="008430BD" w:rsidRPr="001C3EC8" w14:paraId="78692785"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253D3DD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41" w:type="dxa"/>
            <w:tcBorders>
              <w:top w:val="nil"/>
              <w:left w:val="nil"/>
              <w:bottom w:val="single" w:sz="4" w:space="0" w:color="auto"/>
              <w:right w:val="nil"/>
            </w:tcBorders>
            <w:shd w:val="clear" w:color="auto" w:fill="auto"/>
            <w:noWrap/>
            <w:vAlign w:val="bottom"/>
            <w:hideMark/>
          </w:tcPr>
          <w:p w14:paraId="397AA20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w:t>
            </w:r>
          </w:p>
        </w:tc>
        <w:tc>
          <w:tcPr>
            <w:tcW w:w="1068" w:type="dxa"/>
            <w:tcBorders>
              <w:top w:val="nil"/>
              <w:left w:val="nil"/>
              <w:bottom w:val="single" w:sz="4" w:space="0" w:color="auto"/>
              <w:right w:val="nil"/>
            </w:tcBorders>
            <w:shd w:val="clear" w:color="auto" w:fill="auto"/>
            <w:noWrap/>
            <w:vAlign w:val="center"/>
            <w:hideMark/>
          </w:tcPr>
          <w:p w14:paraId="30A775A3" w14:textId="594682D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41" w:type="dxa"/>
            <w:tcBorders>
              <w:top w:val="nil"/>
              <w:left w:val="single" w:sz="4" w:space="0" w:color="auto"/>
              <w:bottom w:val="single" w:sz="4" w:space="0" w:color="auto"/>
              <w:right w:val="nil"/>
            </w:tcBorders>
            <w:shd w:val="clear" w:color="auto" w:fill="auto"/>
            <w:noWrap/>
            <w:vAlign w:val="bottom"/>
            <w:hideMark/>
          </w:tcPr>
          <w:p w14:paraId="2358A87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w:t>
            </w:r>
          </w:p>
        </w:tc>
        <w:tc>
          <w:tcPr>
            <w:tcW w:w="1068" w:type="dxa"/>
            <w:tcBorders>
              <w:top w:val="nil"/>
              <w:left w:val="nil"/>
              <w:bottom w:val="single" w:sz="4" w:space="0" w:color="auto"/>
              <w:right w:val="single" w:sz="4" w:space="0" w:color="auto"/>
            </w:tcBorders>
            <w:shd w:val="clear" w:color="auto" w:fill="auto"/>
            <w:noWrap/>
            <w:vAlign w:val="center"/>
            <w:hideMark/>
          </w:tcPr>
          <w:p w14:paraId="1B428956" w14:textId="3C2D724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694" w:type="dxa"/>
            <w:tcBorders>
              <w:top w:val="nil"/>
              <w:left w:val="nil"/>
              <w:bottom w:val="single" w:sz="4" w:space="0" w:color="auto"/>
              <w:right w:val="nil"/>
            </w:tcBorders>
            <w:shd w:val="clear" w:color="auto" w:fill="auto"/>
            <w:noWrap/>
            <w:vAlign w:val="bottom"/>
            <w:hideMark/>
          </w:tcPr>
          <w:p w14:paraId="629B680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068" w:type="dxa"/>
            <w:tcBorders>
              <w:top w:val="nil"/>
              <w:left w:val="nil"/>
              <w:bottom w:val="single" w:sz="4" w:space="0" w:color="auto"/>
              <w:right w:val="single" w:sz="4" w:space="0" w:color="auto"/>
            </w:tcBorders>
            <w:shd w:val="clear" w:color="auto" w:fill="auto"/>
            <w:noWrap/>
            <w:vAlign w:val="center"/>
            <w:hideMark/>
          </w:tcPr>
          <w:p w14:paraId="7EF1DE4D" w14:textId="2276D74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+30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1FEA3E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92,7 %</w:t>
            </w:r>
          </w:p>
        </w:tc>
      </w:tr>
      <w:tr w:rsidR="008430BD" w:rsidRPr="001C3EC8" w14:paraId="3C30601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51E104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41" w:type="dxa"/>
            <w:tcBorders>
              <w:top w:val="nil"/>
              <w:left w:val="nil"/>
              <w:bottom w:val="single" w:sz="4" w:space="0" w:color="auto"/>
              <w:right w:val="nil"/>
            </w:tcBorders>
            <w:shd w:val="clear" w:color="auto" w:fill="auto"/>
            <w:noWrap/>
            <w:vAlign w:val="bottom"/>
            <w:hideMark/>
          </w:tcPr>
          <w:p w14:paraId="1D6444E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249</w:t>
            </w:r>
          </w:p>
        </w:tc>
        <w:tc>
          <w:tcPr>
            <w:tcW w:w="1068" w:type="dxa"/>
            <w:tcBorders>
              <w:top w:val="nil"/>
              <w:left w:val="nil"/>
              <w:bottom w:val="single" w:sz="4" w:space="0" w:color="auto"/>
              <w:right w:val="nil"/>
            </w:tcBorders>
            <w:shd w:val="clear" w:color="auto" w:fill="auto"/>
            <w:noWrap/>
            <w:vAlign w:val="center"/>
            <w:hideMark/>
          </w:tcPr>
          <w:p w14:paraId="2AB3E6D3" w14:textId="7AAB4FA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841" w:type="dxa"/>
            <w:tcBorders>
              <w:top w:val="nil"/>
              <w:left w:val="single" w:sz="4" w:space="0" w:color="auto"/>
              <w:bottom w:val="single" w:sz="4" w:space="0" w:color="auto"/>
              <w:right w:val="nil"/>
            </w:tcBorders>
            <w:shd w:val="clear" w:color="auto" w:fill="auto"/>
            <w:noWrap/>
            <w:vAlign w:val="bottom"/>
            <w:hideMark/>
          </w:tcPr>
          <w:p w14:paraId="52AAFA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260</w:t>
            </w:r>
          </w:p>
        </w:tc>
        <w:tc>
          <w:tcPr>
            <w:tcW w:w="1068" w:type="dxa"/>
            <w:tcBorders>
              <w:top w:val="nil"/>
              <w:left w:val="nil"/>
              <w:bottom w:val="single" w:sz="4" w:space="0" w:color="auto"/>
              <w:right w:val="single" w:sz="4" w:space="0" w:color="auto"/>
            </w:tcBorders>
            <w:shd w:val="clear" w:color="auto" w:fill="auto"/>
            <w:noWrap/>
            <w:vAlign w:val="center"/>
            <w:hideMark/>
          </w:tcPr>
          <w:p w14:paraId="044A96CA" w14:textId="7461078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694" w:type="dxa"/>
            <w:tcBorders>
              <w:top w:val="nil"/>
              <w:left w:val="nil"/>
              <w:bottom w:val="single" w:sz="4" w:space="0" w:color="auto"/>
              <w:right w:val="nil"/>
            </w:tcBorders>
            <w:shd w:val="clear" w:color="auto" w:fill="auto"/>
            <w:noWrap/>
            <w:vAlign w:val="bottom"/>
            <w:hideMark/>
          </w:tcPr>
          <w:p w14:paraId="3C876BD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153</w:t>
            </w:r>
          </w:p>
        </w:tc>
        <w:tc>
          <w:tcPr>
            <w:tcW w:w="1068" w:type="dxa"/>
            <w:tcBorders>
              <w:top w:val="nil"/>
              <w:left w:val="nil"/>
              <w:bottom w:val="single" w:sz="4" w:space="0" w:color="auto"/>
              <w:right w:val="single" w:sz="4" w:space="0" w:color="auto"/>
            </w:tcBorders>
            <w:shd w:val="clear" w:color="auto" w:fill="auto"/>
            <w:noWrap/>
            <w:vAlign w:val="center"/>
            <w:hideMark/>
          </w:tcPr>
          <w:p w14:paraId="32411A9B" w14:textId="07C6EAC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06A67DA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104,4 %</w:t>
            </w:r>
          </w:p>
        </w:tc>
      </w:tr>
      <w:tr w:rsidR="008430BD" w:rsidRPr="001C3EC8" w14:paraId="3BF89E8B"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26E3311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41" w:type="dxa"/>
            <w:tcBorders>
              <w:top w:val="nil"/>
              <w:left w:val="nil"/>
              <w:bottom w:val="double" w:sz="6" w:space="0" w:color="auto"/>
              <w:right w:val="nil"/>
            </w:tcBorders>
            <w:shd w:val="clear" w:color="auto" w:fill="auto"/>
            <w:noWrap/>
            <w:vAlign w:val="bottom"/>
            <w:hideMark/>
          </w:tcPr>
          <w:p w14:paraId="74DE23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c>
          <w:tcPr>
            <w:tcW w:w="1068" w:type="dxa"/>
            <w:tcBorders>
              <w:top w:val="nil"/>
              <w:left w:val="nil"/>
              <w:bottom w:val="double" w:sz="6" w:space="0" w:color="auto"/>
              <w:right w:val="nil"/>
            </w:tcBorders>
            <w:shd w:val="clear" w:color="auto" w:fill="auto"/>
            <w:noWrap/>
            <w:vAlign w:val="center"/>
            <w:hideMark/>
          </w:tcPr>
          <w:p w14:paraId="09020D07" w14:textId="4D76DC6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41" w:type="dxa"/>
            <w:tcBorders>
              <w:top w:val="nil"/>
              <w:left w:val="single" w:sz="4" w:space="0" w:color="auto"/>
              <w:bottom w:val="double" w:sz="6" w:space="0" w:color="auto"/>
              <w:right w:val="nil"/>
            </w:tcBorders>
            <w:shd w:val="clear" w:color="auto" w:fill="auto"/>
            <w:noWrap/>
            <w:vAlign w:val="bottom"/>
            <w:hideMark/>
          </w:tcPr>
          <w:p w14:paraId="2EBA85E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152</w:t>
            </w:r>
          </w:p>
        </w:tc>
        <w:tc>
          <w:tcPr>
            <w:tcW w:w="1068" w:type="dxa"/>
            <w:tcBorders>
              <w:top w:val="nil"/>
              <w:left w:val="nil"/>
              <w:bottom w:val="double" w:sz="6" w:space="0" w:color="auto"/>
              <w:right w:val="single" w:sz="4" w:space="0" w:color="auto"/>
            </w:tcBorders>
            <w:shd w:val="clear" w:color="auto" w:fill="auto"/>
            <w:noWrap/>
            <w:vAlign w:val="center"/>
            <w:hideMark/>
          </w:tcPr>
          <w:p w14:paraId="44AFF03F" w14:textId="3AAA4CF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c>
          <w:tcPr>
            <w:tcW w:w="694" w:type="dxa"/>
            <w:tcBorders>
              <w:top w:val="nil"/>
              <w:left w:val="nil"/>
              <w:bottom w:val="double" w:sz="6" w:space="0" w:color="auto"/>
              <w:right w:val="nil"/>
            </w:tcBorders>
            <w:shd w:val="clear" w:color="auto" w:fill="auto"/>
            <w:noWrap/>
            <w:vAlign w:val="bottom"/>
            <w:hideMark/>
          </w:tcPr>
          <w:p w14:paraId="2CA067F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1068" w:type="dxa"/>
            <w:tcBorders>
              <w:top w:val="nil"/>
              <w:left w:val="nil"/>
              <w:bottom w:val="double" w:sz="6" w:space="0" w:color="auto"/>
              <w:right w:val="single" w:sz="4" w:space="0" w:color="auto"/>
            </w:tcBorders>
            <w:shd w:val="clear" w:color="auto" w:fill="auto"/>
            <w:noWrap/>
            <w:vAlign w:val="center"/>
            <w:hideMark/>
          </w:tcPr>
          <w:p w14:paraId="20C26393" w14:textId="064978C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5C72D23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103,4 %</w:t>
            </w:r>
          </w:p>
        </w:tc>
      </w:tr>
      <w:tr w:rsidR="008430BD" w:rsidRPr="001C3EC8" w14:paraId="0A2B48AF"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4BE7044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41" w:type="dxa"/>
            <w:tcBorders>
              <w:top w:val="nil"/>
              <w:left w:val="nil"/>
              <w:bottom w:val="double" w:sz="6" w:space="0" w:color="auto"/>
              <w:right w:val="nil"/>
            </w:tcBorders>
            <w:shd w:val="clear" w:color="auto" w:fill="auto"/>
            <w:noWrap/>
            <w:vAlign w:val="bottom"/>
            <w:hideMark/>
          </w:tcPr>
          <w:p w14:paraId="789CD496" w14:textId="673E8709"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183</w:t>
            </w:r>
          </w:p>
        </w:tc>
        <w:tc>
          <w:tcPr>
            <w:tcW w:w="1068" w:type="dxa"/>
            <w:tcBorders>
              <w:top w:val="nil"/>
              <w:left w:val="nil"/>
              <w:bottom w:val="double" w:sz="6" w:space="0" w:color="auto"/>
              <w:right w:val="nil"/>
            </w:tcBorders>
            <w:shd w:val="clear" w:color="auto" w:fill="auto"/>
            <w:noWrap/>
            <w:vAlign w:val="center"/>
            <w:hideMark/>
          </w:tcPr>
          <w:p w14:paraId="33947DCC" w14:textId="21768F1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841" w:type="dxa"/>
            <w:tcBorders>
              <w:top w:val="nil"/>
              <w:left w:val="single" w:sz="4" w:space="0" w:color="auto"/>
              <w:bottom w:val="double" w:sz="6" w:space="0" w:color="auto"/>
              <w:right w:val="nil"/>
            </w:tcBorders>
            <w:shd w:val="clear" w:color="auto" w:fill="auto"/>
            <w:noWrap/>
            <w:vAlign w:val="bottom"/>
            <w:hideMark/>
          </w:tcPr>
          <w:p w14:paraId="62AAC5F6" w14:textId="64CF4F1E"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175</w:t>
            </w:r>
          </w:p>
        </w:tc>
        <w:tc>
          <w:tcPr>
            <w:tcW w:w="1068" w:type="dxa"/>
            <w:tcBorders>
              <w:top w:val="nil"/>
              <w:left w:val="nil"/>
              <w:bottom w:val="double" w:sz="6" w:space="0" w:color="auto"/>
              <w:right w:val="single" w:sz="4" w:space="0" w:color="auto"/>
            </w:tcBorders>
            <w:shd w:val="clear" w:color="auto" w:fill="auto"/>
            <w:noWrap/>
            <w:vAlign w:val="center"/>
            <w:hideMark/>
          </w:tcPr>
          <w:p w14:paraId="4C7959D0" w14:textId="3BD98D6E"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694" w:type="dxa"/>
            <w:tcBorders>
              <w:top w:val="nil"/>
              <w:left w:val="nil"/>
              <w:bottom w:val="double" w:sz="6" w:space="0" w:color="auto"/>
              <w:right w:val="nil"/>
            </w:tcBorders>
            <w:shd w:val="clear" w:color="auto" w:fill="auto"/>
            <w:noWrap/>
            <w:vAlign w:val="bottom"/>
            <w:hideMark/>
          </w:tcPr>
          <w:p w14:paraId="66776C8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758</w:t>
            </w:r>
          </w:p>
        </w:tc>
        <w:tc>
          <w:tcPr>
            <w:tcW w:w="1068" w:type="dxa"/>
            <w:tcBorders>
              <w:top w:val="nil"/>
              <w:left w:val="nil"/>
              <w:bottom w:val="double" w:sz="6" w:space="0" w:color="auto"/>
              <w:right w:val="single" w:sz="4" w:space="0" w:color="auto"/>
            </w:tcBorders>
            <w:shd w:val="clear" w:color="auto" w:fill="auto"/>
            <w:noWrap/>
            <w:vAlign w:val="center"/>
            <w:hideMark/>
          </w:tcPr>
          <w:p w14:paraId="0E8B93CC" w14:textId="1CA7E82A"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1BB1AC4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99,3 %</w:t>
            </w:r>
          </w:p>
        </w:tc>
      </w:tr>
    </w:tbl>
    <w:p w14:paraId="39902516" w14:textId="77777777" w:rsidR="008430BD" w:rsidRPr="001C3EC8" w:rsidRDefault="008430BD" w:rsidP="008430BD">
      <w:pPr>
        <w:rPr>
          <w:color w:val="000000" w:themeColor="text1"/>
          <w:highlight w:val="yellow"/>
        </w:rPr>
      </w:pPr>
    </w:p>
    <w:p w14:paraId="69EB89B7" w14:textId="77777777" w:rsidR="008430BD" w:rsidRPr="001C3EC8" w:rsidRDefault="008430BD" w:rsidP="008430BD">
      <w:pPr>
        <w:pStyle w:val="OdstavecASR"/>
        <w:rPr>
          <w:color w:val="000000" w:themeColor="text1"/>
        </w:rPr>
      </w:pPr>
      <w:r w:rsidRPr="001C3EC8">
        <w:rPr>
          <w:color w:val="000000" w:themeColor="text1"/>
        </w:rPr>
        <w:t xml:space="preserve">Z tabulky vyčteme, že některé soudy měly více příchozích věcí (nápad + obživa) než věcí vyřízených, u jiných byla situace opačná. Rozdíly v absolutních číslech však byly vždy velmi malé. </w:t>
      </w:r>
      <w:r w:rsidRPr="001C3EC8">
        <w:rPr>
          <w:color w:val="000000" w:themeColor="text1"/>
        </w:rPr>
        <w:lastRenderedPageBreak/>
        <w:t>Rozdíl mezi mírou vyřizování 95 % a mírou vyřizování 105 % může představovat jen několik vyřízených věcí. Pro ilustraci, pokud by KS České Budějovice vyřídil jen o 4 věci méně, vykázal by míru vyřizování 100 %. Důvodem je, že počet věcí v této agendě je velmi malý.</w:t>
      </w:r>
    </w:p>
    <w:p w14:paraId="0C0F31B0" w14:textId="0E9D8900" w:rsidR="008430BD" w:rsidRPr="001C3EC8" w:rsidRDefault="008430BD" w:rsidP="008430BD">
      <w:pPr>
        <w:pStyle w:val="OdstavecASR"/>
        <w:rPr>
          <w:color w:val="000000" w:themeColor="text1"/>
        </w:rPr>
      </w:pPr>
      <w:r w:rsidRPr="001C3EC8">
        <w:rPr>
          <w:color w:val="000000" w:themeColor="text1"/>
        </w:rPr>
        <w:t>Počet příchozích, vyřízených a nevyřízených věcí samozřejmě úzce souvisí s velikostí soudu. Pro lepší porovnání soudů je tedy v příštích podkapitolách</w:t>
      </w:r>
      <w:r w:rsidRPr="001C3EC8" w:rsidDel="00EA1996">
        <w:rPr>
          <w:color w:val="000000" w:themeColor="text1"/>
        </w:rPr>
        <w:t xml:space="preserve"> </w:t>
      </w:r>
      <w:r w:rsidRPr="001C3EC8">
        <w:rPr>
          <w:color w:val="000000" w:themeColor="text1"/>
        </w:rPr>
        <w:t xml:space="preserve">opět využit přepočet na soudce </w:t>
      </w:r>
      <w:r w:rsidR="0014150C" w:rsidRPr="001C3EC8">
        <w:rPr>
          <w:color w:val="000000" w:themeColor="text1"/>
        </w:rPr>
        <w:t>a</w:t>
      </w:r>
      <w:r w:rsidR="0014150C">
        <w:rPr>
          <w:color w:val="000000" w:themeColor="text1"/>
        </w:rPr>
        <w:t>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w:t>
      </w:r>
      <w:r w:rsidR="0014150C" w:rsidRPr="001C3EC8">
        <w:rPr>
          <w:color w:val="000000" w:themeColor="text1"/>
        </w:rPr>
        <w:t>I</w:t>
      </w:r>
      <w:r w:rsidR="0014150C">
        <w:rPr>
          <w:color w:val="000000" w:themeColor="text1"/>
        </w:rPr>
        <w:t> </w:t>
      </w:r>
      <w:r w:rsidR="0014150C" w:rsidRPr="001C3EC8">
        <w:rPr>
          <w:color w:val="000000" w:themeColor="text1"/>
        </w:rPr>
        <w:t>u</w:t>
      </w:r>
      <w:r w:rsidR="0014150C">
        <w:rPr>
          <w:color w:val="000000" w:themeColor="text1"/>
        </w:rPr>
        <w:t> </w:t>
      </w:r>
      <w:r w:rsidRPr="001C3EC8">
        <w:rPr>
          <w:color w:val="000000" w:themeColor="text1"/>
        </w:rPr>
        <w:t>těchto ukazatelů však hraje roli malý počet pozorování.</w:t>
      </w:r>
    </w:p>
    <w:p w14:paraId="3DF1D83F" w14:textId="77777777" w:rsidR="008430BD" w:rsidRPr="001C3EC8" w:rsidRDefault="008430BD" w:rsidP="008430BD">
      <w:pPr>
        <w:pStyle w:val="Nadpis3"/>
        <w:numPr>
          <w:ilvl w:val="2"/>
          <w:numId w:val="1"/>
        </w:numPr>
        <w:rPr>
          <w:color w:val="000000" w:themeColor="text1"/>
        </w:rPr>
      </w:pPr>
      <w:bookmarkStart w:id="519" w:name="_Toc43903067"/>
      <w:bookmarkStart w:id="520" w:name="_Toc75952100"/>
      <w:r w:rsidRPr="001C3EC8">
        <w:rPr>
          <w:color w:val="000000" w:themeColor="text1"/>
        </w:rPr>
        <w:t>Vyřizování v přepočtu na soudce</w:t>
      </w:r>
      <w:bookmarkEnd w:id="519"/>
      <w:bookmarkEnd w:id="520"/>
    </w:p>
    <w:p w14:paraId="0201C248" w14:textId="77777777" w:rsidR="008430BD" w:rsidRPr="001C3EC8" w:rsidRDefault="008430BD" w:rsidP="008430BD">
      <w:pPr>
        <w:rPr>
          <w:color w:val="000000" w:themeColor="text1"/>
        </w:rPr>
      </w:pPr>
      <w:r w:rsidRPr="001C3EC8">
        <w:rPr>
          <w:color w:val="000000" w:themeColor="text1"/>
        </w:rPr>
        <w:t>V tabulce níže je uveden přepočet na soudce získaný díky novým datům.</w:t>
      </w:r>
    </w:p>
    <w:p w14:paraId="10881DFF" w14:textId="67F84409" w:rsidR="009F6F12" w:rsidRPr="001C3EC8" w:rsidRDefault="008430BD" w:rsidP="009F6F12">
      <w:pPr>
        <w:pStyle w:val="Podnadpis"/>
        <w:rPr>
          <w:color w:val="000000" w:themeColor="text1"/>
        </w:rPr>
      </w:pPr>
      <w:bookmarkStart w:id="521" w:name="_Toc43931227"/>
      <w:bookmarkStart w:id="522" w:name="_Toc75952360"/>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57</w:t>
      </w:r>
      <w:r w:rsidRPr="001C3EC8">
        <w:rPr>
          <w:noProof/>
          <w:color w:val="000000" w:themeColor="text1"/>
        </w:rPr>
        <w:fldChar w:fldCharType="end"/>
      </w:r>
      <w:r w:rsidRPr="001C3EC8">
        <w:rPr>
          <w:color w:val="000000" w:themeColor="text1"/>
        </w:rPr>
        <w:t xml:space="preserve">: KS – </w:t>
      </w:r>
      <w:proofErr w:type="spellStart"/>
      <w:r w:rsidRPr="001C3EC8">
        <w:rPr>
          <w:color w:val="000000" w:themeColor="text1"/>
        </w:rPr>
        <w:t>vyřiz</w:t>
      </w:r>
      <w:proofErr w:type="spellEnd"/>
      <w:r w:rsidRPr="001C3EC8">
        <w:rPr>
          <w:color w:val="000000" w:themeColor="text1"/>
        </w:rPr>
        <w:t xml:space="preserve">. prvostupňových trestních </w:t>
      </w:r>
      <w:bookmarkEnd w:id="521"/>
      <w:r w:rsidR="009F6F12" w:rsidRPr="001C3EC8">
        <w:rPr>
          <w:color w:val="000000" w:themeColor="text1"/>
        </w:rPr>
        <w:t>věcí na skutečný úvazek dle soudů</w:t>
      </w:r>
      <w:bookmarkEnd w:id="522"/>
    </w:p>
    <w:tbl>
      <w:tblPr>
        <w:tblW w:w="9000" w:type="dxa"/>
        <w:tblCellMar>
          <w:left w:w="70" w:type="dxa"/>
          <w:right w:w="70" w:type="dxa"/>
        </w:tblCellMar>
        <w:tblLook w:val="04A0" w:firstRow="1" w:lastRow="0" w:firstColumn="1" w:lastColumn="0" w:noHBand="0" w:noVBand="1"/>
      </w:tblPr>
      <w:tblGrid>
        <w:gridCol w:w="1820"/>
        <w:gridCol w:w="1060"/>
        <w:gridCol w:w="989"/>
        <w:gridCol w:w="1051"/>
        <w:gridCol w:w="989"/>
        <w:gridCol w:w="1051"/>
        <w:gridCol w:w="989"/>
        <w:gridCol w:w="1051"/>
      </w:tblGrid>
      <w:tr w:rsidR="009F6F12" w:rsidRPr="001C3EC8" w14:paraId="6D5E8A2B" w14:textId="77777777" w:rsidTr="009F6F12">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1BEFAEBA" w14:textId="77777777" w:rsidR="009F6F12" w:rsidRPr="001C3EC8" w:rsidRDefault="009F6F12" w:rsidP="009F6F12">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550EE957"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6120" w:type="dxa"/>
            <w:gridSpan w:val="6"/>
            <w:tcBorders>
              <w:top w:val="double" w:sz="6" w:space="0" w:color="auto"/>
              <w:left w:val="nil"/>
              <w:bottom w:val="nil"/>
              <w:right w:val="nil"/>
            </w:tcBorders>
            <w:shd w:val="clear" w:color="auto" w:fill="auto"/>
            <w:noWrap/>
            <w:vAlign w:val="center"/>
            <w:hideMark/>
          </w:tcPr>
          <w:p w14:paraId="381A8B4B" w14:textId="47A6ABCE" w:rsidR="009F6F12" w:rsidRPr="001C3EC8" w:rsidRDefault="00A46239"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 na úvazek</w:t>
            </w:r>
          </w:p>
        </w:tc>
      </w:tr>
      <w:tr w:rsidR="009F6F12" w:rsidRPr="001C3EC8" w14:paraId="26B9E2FD" w14:textId="77777777" w:rsidTr="009F6F12">
        <w:trPr>
          <w:trHeight w:val="330"/>
        </w:trPr>
        <w:tc>
          <w:tcPr>
            <w:tcW w:w="1820" w:type="dxa"/>
            <w:vMerge/>
            <w:tcBorders>
              <w:top w:val="double" w:sz="6" w:space="0" w:color="auto"/>
              <w:left w:val="nil"/>
              <w:bottom w:val="double" w:sz="6" w:space="0" w:color="000000"/>
              <w:right w:val="nil"/>
            </w:tcBorders>
            <w:vAlign w:val="center"/>
            <w:hideMark/>
          </w:tcPr>
          <w:p w14:paraId="5EE7903A" w14:textId="77777777" w:rsidR="009F6F12" w:rsidRPr="001C3EC8" w:rsidRDefault="009F6F12" w:rsidP="009F6F12">
            <w:pPr>
              <w:spacing w:line="240" w:lineRule="auto"/>
              <w:jc w:val="left"/>
              <w:rPr>
                <w:rFonts w:eastAsia="Times New Roman"/>
                <w:b/>
                <w:bCs/>
                <w:color w:val="000000" w:themeColor="text1"/>
                <w:szCs w:val="24"/>
                <w:lang w:eastAsia="cs-CZ"/>
              </w:rPr>
            </w:pPr>
          </w:p>
        </w:tc>
        <w:tc>
          <w:tcPr>
            <w:tcW w:w="1060" w:type="dxa"/>
            <w:vMerge/>
            <w:tcBorders>
              <w:top w:val="double" w:sz="6" w:space="0" w:color="auto"/>
              <w:left w:val="nil"/>
              <w:bottom w:val="double" w:sz="6" w:space="0" w:color="000000"/>
              <w:right w:val="nil"/>
            </w:tcBorders>
            <w:vAlign w:val="center"/>
            <w:hideMark/>
          </w:tcPr>
          <w:p w14:paraId="7494DD9B" w14:textId="77777777" w:rsidR="009F6F12" w:rsidRPr="001C3EC8" w:rsidRDefault="009F6F12" w:rsidP="009F6F12">
            <w:pPr>
              <w:spacing w:line="240" w:lineRule="auto"/>
              <w:jc w:val="left"/>
              <w:rPr>
                <w:rFonts w:eastAsia="Times New Roman"/>
                <w:b/>
                <w:bCs/>
                <w:color w:val="000000" w:themeColor="text1"/>
                <w:szCs w:val="24"/>
                <w:lang w:eastAsia="cs-CZ"/>
              </w:rPr>
            </w:pPr>
          </w:p>
        </w:tc>
        <w:tc>
          <w:tcPr>
            <w:tcW w:w="2040" w:type="dxa"/>
            <w:gridSpan w:val="2"/>
            <w:tcBorders>
              <w:top w:val="nil"/>
              <w:left w:val="nil"/>
              <w:bottom w:val="double" w:sz="6" w:space="0" w:color="auto"/>
              <w:right w:val="nil"/>
            </w:tcBorders>
            <w:shd w:val="clear" w:color="auto" w:fill="auto"/>
            <w:noWrap/>
            <w:vAlign w:val="center"/>
            <w:hideMark/>
          </w:tcPr>
          <w:p w14:paraId="0E0669AA"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204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7105708"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2040" w:type="dxa"/>
            <w:gridSpan w:val="2"/>
            <w:tcBorders>
              <w:top w:val="nil"/>
              <w:left w:val="nil"/>
              <w:bottom w:val="double" w:sz="6" w:space="0" w:color="auto"/>
              <w:right w:val="nil"/>
            </w:tcBorders>
            <w:shd w:val="clear" w:color="auto" w:fill="auto"/>
            <w:noWrap/>
            <w:vAlign w:val="center"/>
            <w:hideMark/>
          </w:tcPr>
          <w:p w14:paraId="38E79131" w14:textId="77777777"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9F6F12" w:rsidRPr="001C3EC8" w14:paraId="22E9BE68" w14:textId="77777777" w:rsidTr="009F6F12">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4445C3C0"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bottom"/>
            <w:hideMark/>
          </w:tcPr>
          <w:p w14:paraId="43736D4C" w14:textId="0FF66608"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20,25</w:t>
            </w:r>
          </w:p>
        </w:tc>
        <w:tc>
          <w:tcPr>
            <w:tcW w:w="989" w:type="dxa"/>
            <w:tcBorders>
              <w:top w:val="single" w:sz="4" w:space="0" w:color="auto"/>
              <w:left w:val="nil"/>
              <w:bottom w:val="single" w:sz="4" w:space="0" w:color="auto"/>
              <w:right w:val="nil"/>
            </w:tcBorders>
            <w:shd w:val="clear" w:color="auto" w:fill="auto"/>
            <w:noWrap/>
            <w:vAlign w:val="bottom"/>
            <w:hideMark/>
          </w:tcPr>
          <w:p w14:paraId="3E34E090" w14:textId="0B216480"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14,17</w:t>
            </w:r>
          </w:p>
        </w:tc>
        <w:tc>
          <w:tcPr>
            <w:tcW w:w="1051" w:type="dxa"/>
            <w:tcBorders>
              <w:top w:val="single" w:sz="4" w:space="0" w:color="auto"/>
              <w:left w:val="nil"/>
              <w:bottom w:val="single" w:sz="4" w:space="0" w:color="auto"/>
              <w:right w:val="nil"/>
            </w:tcBorders>
            <w:shd w:val="clear" w:color="auto" w:fill="auto"/>
            <w:noWrap/>
            <w:vAlign w:val="center"/>
            <w:hideMark/>
          </w:tcPr>
          <w:p w14:paraId="0D97D9FE" w14:textId="549AC108"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1592AB69" w14:textId="333272BB"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13,98</w:t>
            </w:r>
          </w:p>
        </w:tc>
        <w:tc>
          <w:tcPr>
            <w:tcW w:w="1051" w:type="dxa"/>
            <w:tcBorders>
              <w:top w:val="nil"/>
              <w:left w:val="nil"/>
              <w:bottom w:val="single" w:sz="4" w:space="0" w:color="auto"/>
              <w:right w:val="single" w:sz="4" w:space="0" w:color="auto"/>
            </w:tcBorders>
            <w:shd w:val="clear" w:color="auto" w:fill="auto"/>
            <w:noWrap/>
            <w:vAlign w:val="center"/>
            <w:hideMark/>
          </w:tcPr>
          <w:p w14:paraId="36C68F38" w14:textId="33ED4055"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989" w:type="dxa"/>
            <w:tcBorders>
              <w:top w:val="single" w:sz="4" w:space="0" w:color="auto"/>
              <w:left w:val="nil"/>
              <w:bottom w:val="single" w:sz="4" w:space="0" w:color="auto"/>
              <w:right w:val="nil"/>
            </w:tcBorders>
            <w:shd w:val="clear" w:color="auto" w:fill="auto"/>
            <w:noWrap/>
            <w:vAlign w:val="bottom"/>
            <w:hideMark/>
          </w:tcPr>
          <w:p w14:paraId="7A713A65" w14:textId="095BBD2C"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8,94</w:t>
            </w:r>
          </w:p>
        </w:tc>
        <w:tc>
          <w:tcPr>
            <w:tcW w:w="1051" w:type="dxa"/>
            <w:tcBorders>
              <w:top w:val="single" w:sz="4" w:space="0" w:color="auto"/>
              <w:left w:val="nil"/>
              <w:bottom w:val="single" w:sz="4" w:space="0" w:color="auto"/>
              <w:right w:val="nil"/>
            </w:tcBorders>
            <w:shd w:val="clear" w:color="auto" w:fill="auto"/>
            <w:noWrap/>
            <w:vAlign w:val="center"/>
            <w:hideMark/>
          </w:tcPr>
          <w:p w14:paraId="64DA39D6" w14:textId="6CE8E665"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9F6F12" w:rsidRPr="001C3EC8" w14:paraId="2819C9D3"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7C3A5253"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60" w:type="dxa"/>
            <w:tcBorders>
              <w:top w:val="nil"/>
              <w:left w:val="nil"/>
              <w:bottom w:val="single" w:sz="4" w:space="0" w:color="auto"/>
              <w:right w:val="nil"/>
            </w:tcBorders>
            <w:shd w:val="clear" w:color="auto" w:fill="auto"/>
            <w:noWrap/>
            <w:vAlign w:val="bottom"/>
            <w:hideMark/>
          </w:tcPr>
          <w:p w14:paraId="64754358" w14:textId="679084FB"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w:t>
            </w:r>
          </w:p>
        </w:tc>
        <w:tc>
          <w:tcPr>
            <w:tcW w:w="989" w:type="dxa"/>
            <w:tcBorders>
              <w:top w:val="nil"/>
              <w:left w:val="nil"/>
              <w:bottom w:val="single" w:sz="4" w:space="0" w:color="auto"/>
              <w:right w:val="nil"/>
            </w:tcBorders>
            <w:shd w:val="clear" w:color="auto" w:fill="auto"/>
            <w:noWrap/>
            <w:vAlign w:val="bottom"/>
            <w:hideMark/>
          </w:tcPr>
          <w:p w14:paraId="01A5774A" w14:textId="7C70A360"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14,53</w:t>
            </w:r>
          </w:p>
        </w:tc>
        <w:tc>
          <w:tcPr>
            <w:tcW w:w="1051" w:type="dxa"/>
            <w:tcBorders>
              <w:top w:val="nil"/>
              <w:left w:val="nil"/>
              <w:bottom w:val="single" w:sz="4" w:space="0" w:color="auto"/>
              <w:right w:val="nil"/>
            </w:tcBorders>
            <w:shd w:val="clear" w:color="auto" w:fill="auto"/>
            <w:noWrap/>
            <w:vAlign w:val="center"/>
            <w:hideMark/>
          </w:tcPr>
          <w:p w14:paraId="43DE1013" w14:textId="2B94C730"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391B799A" w14:textId="7FD4B37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15,47</w:t>
            </w:r>
          </w:p>
        </w:tc>
        <w:tc>
          <w:tcPr>
            <w:tcW w:w="1051" w:type="dxa"/>
            <w:tcBorders>
              <w:top w:val="nil"/>
              <w:left w:val="nil"/>
              <w:bottom w:val="single" w:sz="4" w:space="0" w:color="auto"/>
              <w:right w:val="single" w:sz="4" w:space="0" w:color="auto"/>
            </w:tcBorders>
            <w:shd w:val="clear" w:color="auto" w:fill="auto"/>
            <w:noWrap/>
            <w:vAlign w:val="center"/>
            <w:hideMark/>
          </w:tcPr>
          <w:p w14:paraId="6E14DFEF" w14:textId="7041700B"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989" w:type="dxa"/>
            <w:tcBorders>
              <w:top w:val="nil"/>
              <w:left w:val="nil"/>
              <w:bottom w:val="single" w:sz="4" w:space="0" w:color="auto"/>
              <w:right w:val="nil"/>
            </w:tcBorders>
            <w:shd w:val="clear" w:color="auto" w:fill="auto"/>
            <w:noWrap/>
            <w:vAlign w:val="bottom"/>
            <w:hideMark/>
          </w:tcPr>
          <w:p w14:paraId="31DFCF9B" w14:textId="202FE05E"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4,72</w:t>
            </w:r>
          </w:p>
        </w:tc>
        <w:tc>
          <w:tcPr>
            <w:tcW w:w="1051" w:type="dxa"/>
            <w:tcBorders>
              <w:top w:val="nil"/>
              <w:left w:val="nil"/>
              <w:bottom w:val="single" w:sz="4" w:space="0" w:color="auto"/>
              <w:right w:val="nil"/>
            </w:tcBorders>
            <w:shd w:val="clear" w:color="auto" w:fill="auto"/>
            <w:noWrap/>
            <w:vAlign w:val="center"/>
            <w:hideMark/>
          </w:tcPr>
          <w:p w14:paraId="722C49D8" w14:textId="1D8C262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r>
      <w:tr w:rsidR="009F6F12" w:rsidRPr="001C3EC8" w14:paraId="63429EE3"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00605BED"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60" w:type="dxa"/>
            <w:tcBorders>
              <w:top w:val="nil"/>
              <w:left w:val="nil"/>
              <w:bottom w:val="single" w:sz="4" w:space="0" w:color="auto"/>
              <w:right w:val="nil"/>
            </w:tcBorders>
            <w:shd w:val="clear" w:color="auto" w:fill="auto"/>
            <w:noWrap/>
            <w:vAlign w:val="bottom"/>
            <w:hideMark/>
          </w:tcPr>
          <w:p w14:paraId="0BB35663" w14:textId="2B9E5172"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5,4</w:t>
            </w:r>
          </w:p>
        </w:tc>
        <w:tc>
          <w:tcPr>
            <w:tcW w:w="989" w:type="dxa"/>
            <w:tcBorders>
              <w:top w:val="nil"/>
              <w:left w:val="nil"/>
              <w:bottom w:val="single" w:sz="4" w:space="0" w:color="auto"/>
              <w:right w:val="nil"/>
            </w:tcBorders>
            <w:shd w:val="clear" w:color="auto" w:fill="auto"/>
            <w:noWrap/>
            <w:vAlign w:val="bottom"/>
            <w:hideMark/>
          </w:tcPr>
          <w:p w14:paraId="7A05CBC9" w14:textId="73D07AB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9,81</w:t>
            </w:r>
          </w:p>
        </w:tc>
        <w:tc>
          <w:tcPr>
            <w:tcW w:w="1051" w:type="dxa"/>
            <w:tcBorders>
              <w:top w:val="nil"/>
              <w:left w:val="nil"/>
              <w:bottom w:val="single" w:sz="4" w:space="0" w:color="auto"/>
              <w:right w:val="nil"/>
            </w:tcBorders>
            <w:shd w:val="clear" w:color="auto" w:fill="auto"/>
            <w:noWrap/>
            <w:vAlign w:val="center"/>
            <w:hideMark/>
          </w:tcPr>
          <w:p w14:paraId="4B67D299" w14:textId="5E643669"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69071A8F" w14:textId="4CAA8F8B"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10,56</w:t>
            </w:r>
          </w:p>
        </w:tc>
        <w:tc>
          <w:tcPr>
            <w:tcW w:w="1051" w:type="dxa"/>
            <w:tcBorders>
              <w:top w:val="nil"/>
              <w:left w:val="nil"/>
              <w:bottom w:val="single" w:sz="4" w:space="0" w:color="auto"/>
              <w:right w:val="single" w:sz="4" w:space="0" w:color="auto"/>
            </w:tcBorders>
            <w:shd w:val="clear" w:color="auto" w:fill="auto"/>
            <w:noWrap/>
            <w:vAlign w:val="center"/>
            <w:hideMark/>
          </w:tcPr>
          <w:p w14:paraId="5092DE21" w14:textId="1780E23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c>
          <w:tcPr>
            <w:tcW w:w="989" w:type="dxa"/>
            <w:tcBorders>
              <w:top w:val="nil"/>
              <w:left w:val="nil"/>
              <w:bottom w:val="single" w:sz="4" w:space="0" w:color="auto"/>
              <w:right w:val="nil"/>
            </w:tcBorders>
            <w:shd w:val="clear" w:color="auto" w:fill="auto"/>
            <w:noWrap/>
            <w:vAlign w:val="bottom"/>
            <w:hideMark/>
          </w:tcPr>
          <w:p w14:paraId="2D606D55" w14:textId="44BB5102"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8,33</w:t>
            </w:r>
          </w:p>
        </w:tc>
        <w:tc>
          <w:tcPr>
            <w:tcW w:w="1051" w:type="dxa"/>
            <w:tcBorders>
              <w:top w:val="nil"/>
              <w:left w:val="nil"/>
              <w:bottom w:val="single" w:sz="4" w:space="0" w:color="auto"/>
              <w:right w:val="nil"/>
            </w:tcBorders>
            <w:shd w:val="clear" w:color="auto" w:fill="auto"/>
            <w:noWrap/>
            <w:vAlign w:val="center"/>
            <w:hideMark/>
          </w:tcPr>
          <w:p w14:paraId="674F2B72" w14:textId="5A121847"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r>
      <w:tr w:rsidR="009F6F12" w:rsidRPr="001C3EC8" w14:paraId="20A81124"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0DD64894"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60" w:type="dxa"/>
            <w:tcBorders>
              <w:top w:val="nil"/>
              <w:left w:val="nil"/>
              <w:bottom w:val="single" w:sz="4" w:space="0" w:color="auto"/>
              <w:right w:val="nil"/>
            </w:tcBorders>
            <w:shd w:val="clear" w:color="auto" w:fill="auto"/>
            <w:noWrap/>
            <w:vAlign w:val="bottom"/>
            <w:hideMark/>
          </w:tcPr>
          <w:p w14:paraId="70AB0EA2" w14:textId="7777777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989" w:type="dxa"/>
            <w:tcBorders>
              <w:top w:val="nil"/>
              <w:left w:val="nil"/>
              <w:bottom w:val="single" w:sz="4" w:space="0" w:color="auto"/>
              <w:right w:val="nil"/>
            </w:tcBorders>
            <w:shd w:val="clear" w:color="auto" w:fill="auto"/>
            <w:noWrap/>
            <w:vAlign w:val="bottom"/>
            <w:hideMark/>
          </w:tcPr>
          <w:p w14:paraId="6D5D57E2" w14:textId="14C8C3B4"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16,33</w:t>
            </w:r>
          </w:p>
        </w:tc>
        <w:tc>
          <w:tcPr>
            <w:tcW w:w="1051" w:type="dxa"/>
            <w:tcBorders>
              <w:top w:val="nil"/>
              <w:left w:val="nil"/>
              <w:bottom w:val="single" w:sz="4" w:space="0" w:color="auto"/>
              <w:right w:val="nil"/>
            </w:tcBorders>
            <w:shd w:val="clear" w:color="auto" w:fill="auto"/>
            <w:noWrap/>
            <w:vAlign w:val="center"/>
            <w:hideMark/>
          </w:tcPr>
          <w:p w14:paraId="31015CD5" w14:textId="6C33AD7E"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1C53283B" w14:textId="62A94DF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14,83</w:t>
            </w:r>
          </w:p>
        </w:tc>
        <w:tc>
          <w:tcPr>
            <w:tcW w:w="1051" w:type="dxa"/>
            <w:tcBorders>
              <w:top w:val="nil"/>
              <w:left w:val="nil"/>
              <w:bottom w:val="single" w:sz="4" w:space="0" w:color="auto"/>
              <w:right w:val="single" w:sz="4" w:space="0" w:color="auto"/>
            </w:tcBorders>
            <w:shd w:val="clear" w:color="auto" w:fill="auto"/>
            <w:noWrap/>
            <w:vAlign w:val="center"/>
            <w:hideMark/>
          </w:tcPr>
          <w:p w14:paraId="3D3B1289" w14:textId="5F7611B3"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989" w:type="dxa"/>
            <w:tcBorders>
              <w:top w:val="nil"/>
              <w:left w:val="nil"/>
              <w:bottom w:val="single" w:sz="4" w:space="0" w:color="auto"/>
              <w:right w:val="nil"/>
            </w:tcBorders>
            <w:shd w:val="clear" w:color="auto" w:fill="auto"/>
            <w:noWrap/>
            <w:vAlign w:val="bottom"/>
            <w:hideMark/>
          </w:tcPr>
          <w:p w14:paraId="1E42E6F7" w14:textId="4DDC8DCB"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11,00</w:t>
            </w:r>
          </w:p>
        </w:tc>
        <w:tc>
          <w:tcPr>
            <w:tcW w:w="1051" w:type="dxa"/>
            <w:tcBorders>
              <w:top w:val="nil"/>
              <w:left w:val="nil"/>
              <w:bottom w:val="single" w:sz="4" w:space="0" w:color="auto"/>
              <w:right w:val="nil"/>
            </w:tcBorders>
            <w:shd w:val="clear" w:color="auto" w:fill="auto"/>
            <w:noWrap/>
            <w:vAlign w:val="center"/>
            <w:hideMark/>
          </w:tcPr>
          <w:p w14:paraId="07A3595E" w14:textId="299C489B"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9F6F12" w:rsidRPr="001C3EC8" w14:paraId="24B8833B"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6AA64913"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60" w:type="dxa"/>
            <w:tcBorders>
              <w:top w:val="nil"/>
              <w:left w:val="nil"/>
              <w:bottom w:val="single" w:sz="4" w:space="0" w:color="auto"/>
              <w:right w:val="nil"/>
            </w:tcBorders>
            <w:shd w:val="clear" w:color="auto" w:fill="auto"/>
            <w:noWrap/>
            <w:vAlign w:val="bottom"/>
            <w:hideMark/>
          </w:tcPr>
          <w:p w14:paraId="084E442F" w14:textId="0F461334"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12,3</w:t>
            </w:r>
          </w:p>
        </w:tc>
        <w:tc>
          <w:tcPr>
            <w:tcW w:w="989" w:type="dxa"/>
            <w:tcBorders>
              <w:top w:val="nil"/>
              <w:left w:val="nil"/>
              <w:bottom w:val="single" w:sz="4" w:space="0" w:color="auto"/>
              <w:right w:val="nil"/>
            </w:tcBorders>
            <w:shd w:val="clear" w:color="auto" w:fill="auto"/>
            <w:noWrap/>
            <w:vAlign w:val="bottom"/>
            <w:hideMark/>
          </w:tcPr>
          <w:p w14:paraId="3D9A703A" w14:textId="626C62E8"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13,17</w:t>
            </w:r>
          </w:p>
        </w:tc>
        <w:tc>
          <w:tcPr>
            <w:tcW w:w="1051" w:type="dxa"/>
            <w:tcBorders>
              <w:top w:val="nil"/>
              <w:left w:val="nil"/>
              <w:bottom w:val="single" w:sz="4" w:space="0" w:color="auto"/>
              <w:right w:val="nil"/>
            </w:tcBorders>
            <w:shd w:val="clear" w:color="auto" w:fill="auto"/>
            <w:noWrap/>
            <w:vAlign w:val="center"/>
            <w:hideMark/>
          </w:tcPr>
          <w:p w14:paraId="68D040E7" w14:textId="15788132"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-46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1856C3F9" w14:textId="7861369E"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12,20</w:t>
            </w:r>
          </w:p>
        </w:tc>
        <w:tc>
          <w:tcPr>
            <w:tcW w:w="1051" w:type="dxa"/>
            <w:tcBorders>
              <w:top w:val="nil"/>
              <w:left w:val="nil"/>
              <w:bottom w:val="single" w:sz="4" w:space="0" w:color="auto"/>
              <w:right w:val="single" w:sz="4" w:space="0" w:color="auto"/>
            </w:tcBorders>
            <w:shd w:val="clear" w:color="auto" w:fill="auto"/>
            <w:noWrap/>
            <w:vAlign w:val="center"/>
            <w:hideMark/>
          </w:tcPr>
          <w:p w14:paraId="53A8EA11" w14:textId="06AC0C70"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-54 </w:t>
            </w:r>
            <w:r w:rsidR="00B07E76">
              <w:rPr>
                <w:rFonts w:eastAsia="Times New Roman"/>
                <w:color w:val="000000" w:themeColor="text1"/>
                <w:sz w:val="20"/>
                <w:szCs w:val="20"/>
                <w:lang w:eastAsia="cs-CZ"/>
              </w:rPr>
              <w:t>%</w:t>
            </w:r>
          </w:p>
        </w:tc>
        <w:tc>
          <w:tcPr>
            <w:tcW w:w="989" w:type="dxa"/>
            <w:tcBorders>
              <w:top w:val="nil"/>
              <w:left w:val="nil"/>
              <w:bottom w:val="single" w:sz="4" w:space="0" w:color="auto"/>
              <w:right w:val="nil"/>
            </w:tcBorders>
            <w:shd w:val="clear" w:color="auto" w:fill="auto"/>
            <w:noWrap/>
            <w:vAlign w:val="bottom"/>
            <w:hideMark/>
          </w:tcPr>
          <w:p w14:paraId="12287A60" w14:textId="7B2B3224"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11,06</w:t>
            </w:r>
          </w:p>
        </w:tc>
        <w:tc>
          <w:tcPr>
            <w:tcW w:w="1051" w:type="dxa"/>
            <w:tcBorders>
              <w:top w:val="nil"/>
              <w:left w:val="nil"/>
              <w:bottom w:val="single" w:sz="4" w:space="0" w:color="auto"/>
              <w:right w:val="nil"/>
            </w:tcBorders>
            <w:shd w:val="clear" w:color="auto" w:fill="auto"/>
            <w:noWrap/>
            <w:vAlign w:val="center"/>
            <w:hideMark/>
          </w:tcPr>
          <w:p w14:paraId="35EB7371" w14:textId="0BB80E35"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-46 </w:t>
            </w:r>
            <w:r w:rsidR="00B07E76">
              <w:rPr>
                <w:rFonts w:eastAsia="Times New Roman"/>
                <w:color w:val="000000" w:themeColor="text1"/>
                <w:sz w:val="20"/>
                <w:szCs w:val="20"/>
                <w:lang w:eastAsia="cs-CZ"/>
              </w:rPr>
              <w:t>%</w:t>
            </w:r>
          </w:p>
        </w:tc>
      </w:tr>
      <w:tr w:rsidR="009F6F12" w:rsidRPr="001C3EC8" w14:paraId="2BC43D91"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558F255B"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60" w:type="dxa"/>
            <w:tcBorders>
              <w:top w:val="nil"/>
              <w:left w:val="nil"/>
              <w:bottom w:val="single" w:sz="4" w:space="0" w:color="auto"/>
              <w:right w:val="nil"/>
            </w:tcBorders>
            <w:shd w:val="clear" w:color="auto" w:fill="auto"/>
            <w:noWrap/>
            <w:vAlign w:val="bottom"/>
            <w:hideMark/>
          </w:tcPr>
          <w:p w14:paraId="6F98F35D" w14:textId="0ECFDA90"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w:t>
            </w:r>
          </w:p>
        </w:tc>
        <w:tc>
          <w:tcPr>
            <w:tcW w:w="989" w:type="dxa"/>
            <w:tcBorders>
              <w:top w:val="nil"/>
              <w:left w:val="nil"/>
              <w:bottom w:val="single" w:sz="4" w:space="0" w:color="auto"/>
              <w:right w:val="nil"/>
            </w:tcBorders>
            <w:shd w:val="clear" w:color="auto" w:fill="auto"/>
            <w:noWrap/>
            <w:vAlign w:val="bottom"/>
            <w:hideMark/>
          </w:tcPr>
          <w:p w14:paraId="59BD38C9" w14:textId="4B7A8774"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14,86</w:t>
            </w:r>
          </w:p>
        </w:tc>
        <w:tc>
          <w:tcPr>
            <w:tcW w:w="1051" w:type="dxa"/>
            <w:tcBorders>
              <w:top w:val="nil"/>
              <w:left w:val="nil"/>
              <w:bottom w:val="single" w:sz="4" w:space="0" w:color="auto"/>
              <w:right w:val="nil"/>
            </w:tcBorders>
            <w:shd w:val="clear" w:color="auto" w:fill="auto"/>
            <w:noWrap/>
            <w:vAlign w:val="center"/>
            <w:hideMark/>
          </w:tcPr>
          <w:p w14:paraId="4B38568E" w14:textId="0C298EF8"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4B5D4FC4" w14:textId="673015ED"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13,78</w:t>
            </w:r>
          </w:p>
        </w:tc>
        <w:tc>
          <w:tcPr>
            <w:tcW w:w="1051" w:type="dxa"/>
            <w:tcBorders>
              <w:top w:val="nil"/>
              <w:left w:val="nil"/>
              <w:bottom w:val="single" w:sz="4" w:space="0" w:color="auto"/>
              <w:right w:val="single" w:sz="4" w:space="0" w:color="auto"/>
            </w:tcBorders>
            <w:shd w:val="clear" w:color="auto" w:fill="auto"/>
            <w:noWrap/>
            <w:vAlign w:val="center"/>
            <w:hideMark/>
          </w:tcPr>
          <w:p w14:paraId="55C9E54C" w14:textId="0EB58307"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989" w:type="dxa"/>
            <w:tcBorders>
              <w:top w:val="nil"/>
              <w:left w:val="nil"/>
              <w:bottom w:val="single" w:sz="4" w:space="0" w:color="auto"/>
              <w:right w:val="nil"/>
            </w:tcBorders>
            <w:shd w:val="clear" w:color="auto" w:fill="auto"/>
            <w:noWrap/>
            <w:vAlign w:val="bottom"/>
            <w:hideMark/>
          </w:tcPr>
          <w:p w14:paraId="3D6E7F4F" w14:textId="5C950389"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4,73</w:t>
            </w:r>
          </w:p>
        </w:tc>
        <w:tc>
          <w:tcPr>
            <w:tcW w:w="1051" w:type="dxa"/>
            <w:tcBorders>
              <w:top w:val="nil"/>
              <w:left w:val="nil"/>
              <w:bottom w:val="single" w:sz="4" w:space="0" w:color="auto"/>
              <w:right w:val="nil"/>
            </w:tcBorders>
            <w:shd w:val="clear" w:color="auto" w:fill="auto"/>
            <w:noWrap/>
            <w:vAlign w:val="center"/>
            <w:hideMark/>
          </w:tcPr>
          <w:p w14:paraId="5316C65A" w14:textId="432EFED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r>
      <w:tr w:rsidR="009F6F12" w:rsidRPr="001C3EC8" w14:paraId="6871BB4D" w14:textId="77777777" w:rsidTr="009F6F12">
        <w:trPr>
          <w:trHeight w:val="315"/>
        </w:trPr>
        <w:tc>
          <w:tcPr>
            <w:tcW w:w="1820" w:type="dxa"/>
            <w:tcBorders>
              <w:top w:val="nil"/>
              <w:left w:val="nil"/>
              <w:bottom w:val="single" w:sz="4" w:space="0" w:color="auto"/>
              <w:right w:val="nil"/>
            </w:tcBorders>
            <w:shd w:val="clear" w:color="auto" w:fill="auto"/>
            <w:noWrap/>
            <w:vAlign w:val="bottom"/>
            <w:hideMark/>
          </w:tcPr>
          <w:p w14:paraId="227AB979"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60" w:type="dxa"/>
            <w:tcBorders>
              <w:top w:val="nil"/>
              <w:left w:val="nil"/>
              <w:bottom w:val="single" w:sz="4" w:space="0" w:color="auto"/>
              <w:right w:val="nil"/>
            </w:tcBorders>
            <w:shd w:val="clear" w:color="auto" w:fill="auto"/>
            <w:noWrap/>
            <w:vAlign w:val="bottom"/>
            <w:hideMark/>
          </w:tcPr>
          <w:p w14:paraId="592A099B" w14:textId="7777777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w:t>
            </w:r>
          </w:p>
        </w:tc>
        <w:tc>
          <w:tcPr>
            <w:tcW w:w="989" w:type="dxa"/>
            <w:tcBorders>
              <w:top w:val="nil"/>
              <w:left w:val="nil"/>
              <w:bottom w:val="single" w:sz="4" w:space="0" w:color="auto"/>
              <w:right w:val="nil"/>
            </w:tcBorders>
            <w:shd w:val="clear" w:color="auto" w:fill="auto"/>
            <w:noWrap/>
            <w:vAlign w:val="bottom"/>
            <w:hideMark/>
          </w:tcPr>
          <w:p w14:paraId="3CBF776B" w14:textId="5BE3AA3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16,60</w:t>
            </w:r>
          </w:p>
        </w:tc>
        <w:tc>
          <w:tcPr>
            <w:tcW w:w="1051" w:type="dxa"/>
            <w:tcBorders>
              <w:top w:val="nil"/>
              <w:left w:val="nil"/>
              <w:bottom w:val="single" w:sz="4" w:space="0" w:color="auto"/>
              <w:right w:val="nil"/>
            </w:tcBorders>
            <w:shd w:val="clear" w:color="auto" w:fill="auto"/>
            <w:noWrap/>
            <w:vAlign w:val="center"/>
            <w:hideMark/>
          </w:tcPr>
          <w:p w14:paraId="1855243B" w14:textId="312559E8"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989" w:type="dxa"/>
            <w:tcBorders>
              <w:top w:val="nil"/>
              <w:left w:val="single" w:sz="4" w:space="0" w:color="auto"/>
              <w:bottom w:val="single" w:sz="4" w:space="0" w:color="auto"/>
              <w:right w:val="nil"/>
            </w:tcBorders>
            <w:shd w:val="clear" w:color="auto" w:fill="auto"/>
            <w:noWrap/>
            <w:vAlign w:val="bottom"/>
            <w:hideMark/>
          </w:tcPr>
          <w:p w14:paraId="155BB58A" w14:textId="22D2C6DA"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17,33</w:t>
            </w:r>
          </w:p>
        </w:tc>
        <w:tc>
          <w:tcPr>
            <w:tcW w:w="1051" w:type="dxa"/>
            <w:tcBorders>
              <w:top w:val="nil"/>
              <w:left w:val="nil"/>
              <w:bottom w:val="single" w:sz="4" w:space="0" w:color="auto"/>
              <w:right w:val="single" w:sz="4" w:space="0" w:color="auto"/>
            </w:tcBorders>
            <w:shd w:val="clear" w:color="auto" w:fill="auto"/>
            <w:noWrap/>
            <w:vAlign w:val="center"/>
            <w:hideMark/>
          </w:tcPr>
          <w:p w14:paraId="7A503B42" w14:textId="1AF6D3AA"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989" w:type="dxa"/>
            <w:tcBorders>
              <w:top w:val="nil"/>
              <w:left w:val="nil"/>
              <w:bottom w:val="single" w:sz="4" w:space="0" w:color="auto"/>
              <w:right w:val="nil"/>
            </w:tcBorders>
            <w:shd w:val="clear" w:color="auto" w:fill="auto"/>
            <w:noWrap/>
            <w:vAlign w:val="bottom"/>
            <w:hideMark/>
          </w:tcPr>
          <w:p w14:paraId="72FE41CB" w14:textId="675D7055"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10,20</w:t>
            </w:r>
          </w:p>
        </w:tc>
        <w:tc>
          <w:tcPr>
            <w:tcW w:w="1051" w:type="dxa"/>
            <w:tcBorders>
              <w:top w:val="nil"/>
              <w:left w:val="nil"/>
              <w:bottom w:val="single" w:sz="4" w:space="0" w:color="auto"/>
              <w:right w:val="nil"/>
            </w:tcBorders>
            <w:shd w:val="clear" w:color="auto" w:fill="auto"/>
            <w:noWrap/>
            <w:vAlign w:val="center"/>
            <w:hideMark/>
          </w:tcPr>
          <w:p w14:paraId="1F2EFB77" w14:textId="75689CA4"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r>
      <w:tr w:rsidR="009F6F12" w:rsidRPr="001C3EC8" w14:paraId="608A9707" w14:textId="77777777" w:rsidTr="009F6F12">
        <w:trPr>
          <w:trHeight w:val="330"/>
        </w:trPr>
        <w:tc>
          <w:tcPr>
            <w:tcW w:w="1820" w:type="dxa"/>
            <w:tcBorders>
              <w:top w:val="nil"/>
              <w:left w:val="nil"/>
              <w:bottom w:val="double" w:sz="6" w:space="0" w:color="auto"/>
              <w:right w:val="nil"/>
            </w:tcBorders>
            <w:shd w:val="clear" w:color="auto" w:fill="auto"/>
            <w:noWrap/>
            <w:vAlign w:val="bottom"/>
            <w:hideMark/>
          </w:tcPr>
          <w:p w14:paraId="6E2B6637" w14:textId="77777777" w:rsidR="009F6F12" w:rsidRPr="001C3EC8" w:rsidRDefault="009F6F12" w:rsidP="009F6F12">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60" w:type="dxa"/>
            <w:tcBorders>
              <w:top w:val="nil"/>
              <w:left w:val="nil"/>
              <w:bottom w:val="double" w:sz="6" w:space="0" w:color="auto"/>
              <w:right w:val="nil"/>
            </w:tcBorders>
            <w:shd w:val="clear" w:color="auto" w:fill="auto"/>
            <w:noWrap/>
            <w:vAlign w:val="bottom"/>
            <w:hideMark/>
          </w:tcPr>
          <w:p w14:paraId="11FD45BE" w14:textId="7777777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w:t>
            </w:r>
          </w:p>
        </w:tc>
        <w:tc>
          <w:tcPr>
            <w:tcW w:w="989" w:type="dxa"/>
            <w:tcBorders>
              <w:top w:val="nil"/>
              <w:left w:val="nil"/>
              <w:bottom w:val="double" w:sz="6" w:space="0" w:color="auto"/>
              <w:right w:val="nil"/>
            </w:tcBorders>
            <w:shd w:val="clear" w:color="auto" w:fill="auto"/>
            <w:noWrap/>
            <w:vAlign w:val="bottom"/>
            <w:hideMark/>
          </w:tcPr>
          <w:p w14:paraId="3C6943F2" w14:textId="751AE31F"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6,68</w:t>
            </w:r>
          </w:p>
        </w:tc>
        <w:tc>
          <w:tcPr>
            <w:tcW w:w="1051" w:type="dxa"/>
            <w:tcBorders>
              <w:top w:val="nil"/>
              <w:left w:val="nil"/>
              <w:bottom w:val="double" w:sz="6" w:space="0" w:color="auto"/>
              <w:right w:val="nil"/>
            </w:tcBorders>
            <w:shd w:val="clear" w:color="auto" w:fill="auto"/>
            <w:noWrap/>
            <w:vAlign w:val="center"/>
            <w:hideMark/>
          </w:tcPr>
          <w:p w14:paraId="2D605E0D" w14:textId="56B462C0"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-43 </w:t>
            </w:r>
            <w:r w:rsidR="00B07E76">
              <w:rPr>
                <w:rFonts w:eastAsia="Times New Roman"/>
                <w:color w:val="000000" w:themeColor="text1"/>
                <w:sz w:val="20"/>
                <w:szCs w:val="20"/>
                <w:lang w:eastAsia="cs-CZ"/>
              </w:rPr>
              <w:t>%</w:t>
            </w:r>
          </w:p>
        </w:tc>
        <w:tc>
          <w:tcPr>
            <w:tcW w:w="989" w:type="dxa"/>
            <w:tcBorders>
              <w:top w:val="nil"/>
              <w:left w:val="single" w:sz="4" w:space="0" w:color="auto"/>
              <w:bottom w:val="double" w:sz="6" w:space="0" w:color="auto"/>
              <w:right w:val="nil"/>
            </w:tcBorders>
            <w:shd w:val="clear" w:color="auto" w:fill="auto"/>
            <w:noWrap/>
            <w:vAlign w:val="bottom"/>
            <w:hideMark/>
          </w:tcPr>
          <w:p w14:paraId="6504E8F8" w14:textId="38E6A553"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6,91</w:t>
            </w:r>
          </w:p>
        </w:tc>
        <w:tc>
          <w:tcPr>
            <w:tcW w:w="1051" w:type="dxa"/>
            <w:tcBorders>
              <w:top w:val="nil"/>
              <w:left w:val="nil"/>
              <w:bottom w:val="double" w:sz="6" w:space="0" w:color="auto"/>
              <w:right w:val="single" w:sz="4" w:space="0" w:color="auto"/>
            </w:tcBorders>
            <w:shd w:val="clear" w:color="auto" w:fill="auto"/>
            <w:noWrap/>
            <w:vAlign w:val="center"/>
            <w:hideMark/>
          </w:tcPr>
          <w:p w14:paraId="086A608B" w14:textId="0649F6D9"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-51 </w:t>
            </w:r>
            <w:r w:rsidR="00B07E76">
              <w:rPr>
                <w:rFonts w:eastAsia="Times New Roman"/>
                <w:color w:val="000000" w:themeColor="text1"/>
                <w:sz w:val="20"/>
                <w:szCs w:val="20"/>
                <w:lang w:eastAsia="cs-CZ"/>
              </w:rPr>
              <w:t>%</w:t>
            </w:r>
          </w:p>
        </w:tc>
        <w:tc>
          <w:tcPr>
            <w:tcW w:w="989" w:type="dxa"/>
            <w:tcBorders>
              <w:top w:val="nil"/>
              <w:left w:val="nil"/>
              <w:bottom w:val="double" w:sz="6" w:space="0" w:color="auto"/>
              <w:right w:val="nil"/>
            </w:tcBorders>
            <w:shd w:val="clear" w:color="auto" w:fill="auto"/>
            <w:noWrap/>
            <w:vAlign w:val="bottom"/>
            <w:hideMark/>
          </w:tcPr>
          <w:p w14:paraId="74065DEE" w14:textId="4274A737" w:rsidR="009F6F12" w:rsidRPr="001C3EC8" w:rsidRDefault="009F6F12" w:rsidP="009F6F12">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5,32</w:t>
            </w:r>
          </w:p>
        </w:tc>
        <w:tc>
          <w:tcPr>
            <w:tcW w:w="1051" w:type="dxa"/>
            <w:tcBorders>
              <w:top w:val="nil"/>
              <w:left w:val="nil"/>
              <w:bottom w:val="double" w:sz="6" w:space="0" w:color="auto"/>
              <w:right w:val="nil"/>
            </w:tcBorders>
            <w:shd w:val="clear" w:color="auto" w:fill="auto"/>
            <w:noWrap/>
            <w:vAlign w:val="center"/>
            <w:hideMark/>
          </w:tcPr>
          <w:p w14:paraId="334E5E76" w14:textId="4646BDB5" w:rsidR="009F6F12" w:rsidRPr="001C3EC8" w:rsidRDefault="009F6F12" w:rsidP="009F6F12">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-39 </w:t>
            </w:r>
            <w:r w:rsidR="00B07E76">
              <w:rPr>
                <w:rFonts w:eastAsia="Times New Roman"/>
                <w:color w:val="000000" w:themeColor="text1"/>
                <w:sz w:val="20"/>
                <w:szCs w:val="20"/>
                <w:lang w:eastAsia="cs-CZ"/>
              </w:rPr>
              <w:t>%</w:t>
            </w:r>
          </w:p>
        </w:tc>
      </w:tr>
      <w:tr w:rsidR="009F6F12" w:rsidRPr="001C3EC8" w14:paraId="1FF55FFA" w14:textId="77777777" w:rsidTr="009F6F12">
        <w:trPr>
          <w:trHeight w:val="345"/>
        </w:trPr>
        <w:tc>
          <w:tcPr>
            <w:tcW w:w="1820" w:type="dxa"/>
            <w:tcBorders>
              <w:top w:val="nil"/>
              <w:left w:val="nil"/>
              <w:bottom w:val="double" w:sz="6" w:space="0" w:color="auto"/>
              <w:right w:val="nil"/>
            </w:tcBorders>
            <w:shd w:val="clear" w:color="auto" w:fill="auto"/>
            <w:noWrap/>
            <w:vAlign w:val="bottom"/>
            <w:hideMark/>
          </w:tcPr>
          <w:p w14:paraId="3FD0D04B" w14:textId="77777777" w:rsidR="009F6F12" w:rsidRPr="001C3EC8" w:rsidRDefault="009F6F12" w:rsidP="009F6F12">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60" w:type="dxa"/>
            <w:tcBorders>
              <w:top w:val="nil"/>
              <w:left w:val="nil"/>
              <w:bottom w:val="double" w:sz="6" w:space="0" w:color="auto"/>
              <w:right w:val="nil"/>
            </w:tcBorders>
            <w:shd w:val="clear" w:color="auto" w:fill="auto"/>
            <w:noWrap/>
            <w:vAlign w:val="bottom"/>
            <w:hideMark/>
          </w:tcPr>
          <w:p w14:paraId="48D3A48A" w14:textId="79192459"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93,65</w:t>
            </w:r>
          </w:p>
        </w:tc>
        <w:tc>
          <w:tcPr>
            <w:tcW w:w="989" w:type="dxa"/>
            <w:tcBorders>
              <w:top w:val="nil"/>
              <w:left w:val="nil"/>
              <w:bottom w:val="double" w:sz="6" w:space="0" w:color="auto"/>
              <w:right w:val="nil"/>
            </w:tcBorders>
            <w:shd w:val="clear" w:color="auto" w:fill="auto"/>
            <w:noWrap/>
            <w:vAlign w:val="bottom"/>
            <w:hideMark/>
          </w:tcPr>
          <w:p w14:paraId="7A5C0D0F" w14:textId="58D1293E"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12,63</w:t>
            </w:r>
          </w:p>
        </w:tc>
        <w:tc>
          <w:tcPr>
            <w:tcW w:w="1051" w:type="dxa"/>
            <w:tcBorders>
              <w:top w:val="nil"/>
              <w:left w:val="nil"/>
              <w:bottom w:val="double" w:sz="6" w:space="0" w:color="auto"/>
              <w:right w:val="nil"/>
            </w:tcBorders>
            <w:shd w:val="clear" w:color="auto" w:fill="auto"/>
            <w:noWrap/>
            <w:vAlign w:val="center"/>
            <w:hideMark/>
          </w:tcPr>
          <w:p w14:paraId="386DEADE" w14:textId="507EE0BA"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-20 </w:t>
            </w:r>
            <w:r w:rsidR="00B07E76">
              <w:rPr>
                <w:rFonts w:eastAsia="Times New Roman"/>
                <w:b/>
                <w:bCs/>
                <w:color w:val="000000" w:themeColor="text1"/>
                <w:sz w:val="20"/>
                <w:szCs w:val="20"/>
                <w:lang w:eastAsia="cs-CZ"/>
              </w:rPr>
              <w:t>%</w:t>
            </w:r>
          </w:p>
        </w:tc>
        <w:tc>
          <w:tcPr>
            <w:tcW w:w="989" w:type="dxa"/>
            <w:tcBorders>
              <w:top w:val="nil"/>
              <w:left w:val="single" w:sz="4" w:space="0" w:color="auto"/>
              <w:bottom w:val="double" w:sz="6" w:space="0" w:color="auto"/>
              <w:right w:val="nil"/>
            </w:tcBorders>
            <w:shd w:val="clear" w:color="auto" w:fill="auto"/>
            <w:noWrap/>
            <w:vAlign w:val="bottom"/>
            <w:hideMark/>
          </w:tcPr>
          <w:p w14:paraId="6BD80835" w14:textId="7B8B947A"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12,55</w:t>
            </w:r>
          </w:p>
        </w:tc>
        <w:tc>
          <w:tcPr>
            <w:tcW w:w="1051" w:type="dxa"/>
            <w:tcBorders>
              <w:top w:val="nil"/>
              <w:left w:val="nil"/>
              <w:bottom w:val="double" w:sz="6" w:space="0" w:color="auto"/>
              <w:right w:val="single" w:sz="4" w:space="0" w:color="auto"/>
            </w:tcBorders>
            <w:shd w:val="clear" w:color="auto" w:fill="auto"/>
            <w:noWrap/>
            <w:vAlign w:val="center"/>
            <w:hideMark/>
          </w:tcPr>
          <w:p w14:paraId="59BFD6FB" w14:textId="0621A2E0"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-22 </w:t>
            </w:r>
            <w:r w:rsidR="00B07E76">
              <w:rPr>
                <w:rFonts w:eastAsia="Times New Roman"/>
                <w:b/>
                <w:bCs/>
                <w:color w:val="000000" w:themeColor="text1"/>
                <w:sz w:val="20"/>
                <w:szCs w:val="20"/>
                <w:lang w:eastAsia="cs-CZ"/>
              </w:rPr>
              <w:t>%</w:t>
            </w:r>
          </w:p>
        </w:tc>
        <w:tc>
          <w:tcPr>
            <w:tcW w:w="989" w:type="dxa"/>
            <w:tcBorders>
              <w:top w:val="nil"/>
              <w:left w:val="nil"/>
              <w:bottom w:val="double" w:sz="6" w:space="0" w:color="auto"/>
              <w:right w:val="nil"/>
            </w:tcBorders>
            <w:shd w:val="clear" w:color="auto" w:fill="auto"/>
            <w:noWrap/>
            <w:vAlign w:val="bottom"/>
            <w:hideMark/>
          </w:tcPr>
          <w:p w14:paraId="2FA75398" w14:textId="135F7E8D" w:rsidR="009F6F12" w:rsidRPr="001C3EC8" w:rsidRDefault="009F6F12" w:rsidP="009F6F12">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8,09</w:t>
            </w:r>
          </w:p>
        </w:tc>
        <w:tc>
          <w:tcPr>
            <w:tcW w:w="1051" w:type="dxa"/>
            <w:tcBorders>
              <w:top w:val="nil"/>
              <w:left w:val="nil"/>
              <w:bottom w:val="double" w:sz="6" w:space="0" w:color="auto"/>
              <w:right w:val="nil"/>
            </w:tcBorders>
            <w:shd w:val="clear" w:color="auto" w:fill="auto"/>
            <w:noWrap/>
            <w:vAlign w:val="center"/>
            <w:hideMark/>
          </w:tcPr>
          <w:p w14:paraId="413EC416" w14:textId="5EB424BC" w:rsidR="009F6F12" w:rsidRPr="001C3EC8" w:rsidRDefault="009F6F12" w:rsidP="009F6F12">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-20 </w:t>
            </w:r>
            <w:r w:rsidR="00B07E76">
              <w:rPr>
                <w:rFonts w:eastAsia="Times New Roman"/>
                <w:b/>
                <w:bCs/>
                <w:color w:val="000000" w:themeColor="text1"/>
                <w:sz w:val="20"/>
                <w:szCs w:val="20"/>
                <w:lang w:eastAsia="cs-CZ"/>
              </w:rPr>
              <w:t>%</w:t>
            </w:r>
          </w:p>
        </w:tc>
      </w:tr>
    </w:tbl>
    <w:p w14:paraId="00F07398" w14:textId="77777777" w:rsidR="008430BD" w:rsidRPr="001C3EC8" w:rsidRDefault="008430BD" w:rsidP="008430BD">
      <w:pPr>
        <w:spacing w:line="240" w:lineRule="auto"/>
        <w:jc w:val="left"/>
        <w:rPr>
          <w:color w:val="000000" w:themeColor="text1"/>
        </w:rPr>
      </w:pPr>
    </w:p>
    <w:p w14:paraId="734E82B3" w14:textId="161D934F" w:rsidR="00B07E76" w:rsidRDefault="008430BD" w:rsidP="008430BD">
      <w:pPr>
        <w:rPr>
          <w:color w:val="000000" w:themeColor="text1"/>
        </w:rPr>
      </w:pPr>
      <w:r w:rsidRPr="001C3EC8">
        <w:rPr>
          <w:color w:val="000000" w:themeColor="text1"/>
        </w:rPr>
        <w:t xml:space="preserve">Oproti předchozímu roku narostl počet soudců na úseku ze 74,5 na asi 94, </w:t>
      </w:r>
      <w:r w:rsidR="004B39C3" w:rsidRPr="001C3EC8">
        <w:rPr>
          <w:color w:val="000000" w:themeColor="text1"/>
        </w:rPr>
        <w:t>a</w:t>
      </w:r>
      <w:r w:rsidR="004B39C3">
        <w:rPr>
          <w:color w:val="000000" w:themeColor="text1"/>
        </w:rPr>
        <w:t> </w:t>
      </w:r>
      <w:r w:rsidR="003A2AD4" w:rsidRPr="001C3EC8">
        <w:rPr>
          <w:color w:val="000000" w:themeColor="text1"/>
        </w:rPr>
        <w:t>to</w:t>
      </w:r>
      <w:r w:rsidRPr="001C3EC8">
        <w:rPr>
          <w:color w:val="000000" w:themeColor="text1"/>
        </w:rPr>
        <w:t xml:space="preserve"> především </w:t>
      </w:r>
      <w:r w:rsidR="003A2AD4" w:rsidRPr="001C3EC8">
        <w:rPr>
          <w:color w:val="000000" w:themeColor="text1"/>
        </w:rPr>
        <w:t xml:space="preserve">v důsledku změn </w:t>
      </w:r>
      <w:r w:rsidR="004B39C3" w:rsidRPr="001C3EC8">
        <w:rPr>
          <w:color w:val="000000" w:themeColor="text1"/>
        </w:rPr>
        <w:t>u</w:t>
      </w:r>
      <w:r w:rsidR="004B39C3">
        <w:rPr>
          <w:color w:val="000000" w:themeColor="text1"/>
        </w:rPr>
        <w:t> </w:t>
      </w:r>
      <w:r w:rsidRPr="001C3EC8">
        <w:rPr>
          <w:color w:val="000000" w:themeColor="text1"/>
        </w:rPr>
        <w:t xml:space="preserve">KS v Ostravě </w:t>
      </w:r>
      <w:r w:rsidR="004B39C3" w:rsidRPr="001C3EC8">
        <w:rPr>
          <w:color w:val="000000" w:themeColor="text1"/>
        </w:rPr>
        <w:t>a</w:t>
      </w:r>
      <w:r w:rsidR="004B39C3">
        <w:rPr>
          <w:color w:val="000000" w:themeColor="text1"/>
        </w:rPr>
        <w:t> </w:t>
      </w:r>
      <w:r w:rsidR="004B39C3" w:rsidRPr="001C3EC8">
        <w:rPr>
          <w:color w:val="000000" w:themeColor="text1"/>
        </w:rPr>
        <w:t>u</w:t>
      </w:r>
      <w:r w:rsidR="004B39C3">
        <w:rPr>
          <w:color w:val="000000" w:themeColor="text1"/>
        </w:rPr>
        <w:t> </w:t>
      </w:r>
      <w:r w:rsidRPr="001C3EC8">
        <w:rPr>
          <w:color w:val="000000" w:themeColor="text1"/>
        </w:rPr>
        <w:t>KS v Ústí nad Labem, což se výrazně projevilo v přepočtu na soudce</w:t>
      </w:r>
      <w:r w:rsidR="003A2AD4" w:rsidRPr="001C3EC8">
        <w:rPr>
          <w:color w:val="000000" w:themeColor="text1"/>
        </w:rPr>
        <w:t>.</w:t>
      </w:r>
      <w:r w:rsidRPr="001C3EC8">
        <w:rPr>
          <w:color w:val="000000" w:themeColor="text1"/>
        </w:rPr>
        <w:t xml:space="preserve"> </w:t>
      </w:r>
      <w:r w:rsidR="004B39C3" w:rsidRPr="001C3EC8">
        <w:rPr>
          <w:color w:val="000000" w:themeColor="text1"/>
        </w:rPr>
        <w:t>U</w:t>
      </w:r>
      <w:r w:rsidR="004B39C3">
        <w:rPr>
          <w:color w:val="000000" w:themeColor="text1"/>
        </w:rPr>
        <w:t> </w:t>
      </w:r>
      <w:r w:rsidR="003A2AD4" w:rsidRPr="001C3EC8">
        <w:rPr>
          <w:color w:val="000000" w:themeColor="text1"/>
        </w:rPr>
        <w:t>těchto soudů proto</w:t>
      </w:r>
      <w:r w:rsidRPr="001C3EC8">
        <w:rPr>
          <w:color w:val="000000" w:themeColor="text1"/>
        </w:rPr>
        <w:t xml:space="preserve"> vidíme velký pokles sledovaných ukazatelů.</w:t>
      </w:r>
    </w:p>
    <w:p w14:paraId="7D49F1BC" w14:textId="5E7E13E8" w:rsidR="00A46239" w:rsidRPr="001C3EC8" w:rsidRDefault="004B39C3" w:rsidP="008430BD">
      <w:pPr>
        <w:rPr>
          <w:color w:val="000000" w:themeColor="text1"/>
        </w:rPr>
      </w:pPr>
      <w:r w:rsidRPr="001C3EC8">
        <w:rPr>
          <w:color w:val="000000" w:themeColor="text1"/>
        </w:rPr>
        <w:t>U</w:t>
      </w:r>
      <w:r>
        <w:rPr>
          <w:color w:val="000000" w:themeColor="text1"/>
        </w:rPr>
        <w:t> </w:t>
      </w:r>
      <w:r w:rsidR="00A46239" w:rsidRPr="001C3EC8">
        <w:rPr>
          <w:color w:val="000000" w:themeColor="text1"/>
        </w:rPr>
        <w:t xml:space="preserve">KS v Ústí nad Labem je to dáno změnou ve sbíraných datech v počtu úvazků. V této zprávě byli do počtu soudců započteni rovněž stážisté, počet úvazků tedy vzrostl, </w:t>
      </w:r>
      <w:r w:rsidRPr="001C3EC8">
        <w:rPr>
          <w:color w:val="000000" w:themeColor="text1"/>
        </w:rPr>
        <w:t>a</w:t>
      </w:r>
      <w:r>
        <w:rPr>
          <w:color w:val="000000" w:themeColor="text1"/>
        </w:rPr>
        <w:t> </w:t>
      </w:r>
      <w:r w:rsidR="00A46239" w:rsidRPr="001C3EC8">
        <w:rPr>
          <w:color w:val="000000" w:themeColor="text1"/>
        </w:rPr>
        <w:t>logicky tak klesl počet věcí na úvazek.</w:t>
      </w:r>
    </w:p>
    <w:p w14:paraId="46C19EE7" w14:textId="7F741418" w:rsidR="008430BD" w:rsidRPr="001C3EC8" w:rsidRDefault="008430BD" w:rsidP="008430BD">
      <w:pPr>
        <w:rPr>
          <w:color w:val="000000" w:themeColor="text1"/>
        </w:rPr>
      </w:pPr>
      <w:r w:rsidRPr="001C3EC8">
        <w:rPr>
          <w:color w:val="000000" w:themeColor="text1"/>
        </w:rPr>
        <w:t xml:space="preserve">Stejně jako </w:t>
      </w:r>
      <w:r w:rsidR="004B39C3" w:rsidRPr="001C3EC8">
        <w:rPr>
          <w:color w:val="000000" w:themeColor="text1"/>
        </w:rPr>
        <w:t>u</w:t>
      </w:r>
      <w:r w:rsidR="004B39C3">
        <w:rPr>
          <w:color w:val="000000" w:themeColor="text1"/>
        </w:rPr>
        <w:t> </w:t>
      </w:r>
      <w:r w:rsidRPr="001C3EC8">
        <w:rPr>
          <w:color w:val="000000" w:themeColor="text1"/>
        </w:rPr>
        <w:t xml:space="preserve">civilní agendy je tedy prvostupňová agenda menší než agenda odvolací. V tomto výjimečném případě rovněž počty nevyřízených věcí na soudce příliš nekorespondují s výsledky z části </w:t>
      </w:r>
      <w:r w:rsidR="004B39C3" w:rsidRPr="001C3EC8">
        <w:rPr>
          <w:color w:val="000000" w:themeColor="text1"/>
        </w:rPr>
        <w:t>o</w:t>
      </w:r>
      <w:r w:rsidR="004B39C3">
        <w:rPr>
          <w:color w:val="000000" w:themeColor="text1"/>
        </w:rPr>
        <w:t> </w:t>
      </w:r>
      <w:r w:rsidRPr="001C3EC8">
        <w:rPr>
          <w:color w:val="000000" w:themeColor="text1"/>
        </w:rPr>
        <w:t xml:space="preserve">délkách řízení, což lze přisuzovat malému počtu věcí, malému počtu soudců, </w:t>
      </w:r>
      <w:r w:rsidR="004B39C3" w:rsidRPr="001C3EC8">
        <w:rPr>
          <w:color w:val="000000" w:themeColor="text1"/>
        </w:rPr>
        <w:t>a</w:t>
      </w:r>
      <w:r w:rsidR="004B39C3">
        <w:rPr>
          <w:color w:val="000000" w:themeColor="text1"/>
        </w:rPr>
        <w:t> </w:t>
      </w:r>
      <w:r w:rsidRPr="001C3EC8">
        <w:rPr>
          <w:color w:val="000000" w:themeColor="text1"/>
        </w:rPr>
        <w:t xml:space="preserve">tedy tendenci k velkým výkyvům v datech. Mezi soudy jsou nemalé rozdíly v počtu příchozích </w:t>
      </w:r>
      <w:r w:rsidR="004B39C3" w:rsidRPr="001C3EC8">
        <w:rPr>
          <w:color w:val="000000" w:themeColor="text1"/>
        </w:rPr>
        <w:t>a</w:t>
      </w:r>
      <w:r w:rsidR="004B39C3">
        <w:rPr>
          <w:color w:val="000000" w:themeColor="text1"/>
        </w:rPr>
        <w:t> </w:t>
      </w:r>
      <w:r w:rsidRPr="001C3EC8">
        <w:rPr>
          <w:color w:val="000000" w:themeColor="text1"/>
        </w:rPr>
        <w:t xml:space="preserve">vyřízených věcí na soudce, což opět plyne hlavně z velikosti agendy </w:t>
      </w:r>
      <w:r w:rsidR="004B39C3" w:rsidRPr="001C3EC8">
        <w:rPr>
          <w:color w:val="000000" w:themeColor="text1"/>
        </w:rPr>
        <w:t>a</w:t>
      </w:r>
      <w:r w:rsidR="004B39C3">
        <w:rPr>
          <w:color w:val="000000" w:themeColor="text1"/>
        </w:rPr>
        <w:t> </w:t>
      </w:r>
      <w:r w:rsidRPr="001C3EC8">
        <w:rPr>
          <w:color w:val="000000" w:themeColor="text1"/>
        </w:rPr>
        <w:t>případných personálních oslabení soudů.</w:t>
      </w:r>
    </w:p>
    <w:p w14:paraId="0CF9D734" w14:textId="77777777" w:rsidR="008430BD" w:rsidRPr="001C3EC8" w:rsidRDefault="008430BD" w:rsidP="008430BD">
      <w:pPr>
        <w:pStyle w:val="Nadpis3"/>
        <w:numPr>
          <w:ilvl w:val="2"/>
          <w:numId w:val="1"/>
        </w:numPr>
        <w:rPr>
          <w:color w:val="000000" w:themeColor="text1"/>
        </w:rPr>
      </w:pPr>
      <w:bookmarkStart w:id="523" w:name="_Toc43903068"/>
      <w:bookmarkStart w:id="524" w:name="_Toc75952101"/>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523"/>
      <w:proofErr w:type="spellEnd"/>
      <w:r w:rsidRPr="001C3EC8">
        <w:rPr>
          <w:color w:val="000000" w:themeColor="text1"/>
        </w:rPr>
        <w:t xml:space="preserve"> (dispoziční čas)</w:t>
      </w:r>
      <w:bookmarkEnd w:id="524"/>
    </w:p>
    <w:p w14:paraId="67C1A86D" w14:textId="733C8660" w:rsidR="008430BD" w:rsidRPr="001C3EC8" w:rsidRDefault="008430BD" w:rsidP="008430BD">
      <w:pPr>
        <w:pStyle w:val="OdstavecASR"/>
        <w:rPr>
          <w:color w:val="000000" w:themeColor="text1"/>
        </w:rPr>
      </w:pPr>
      <w:r w:rsidRPr="001C3EC8">
        <w:rPr>
          <w:color w:val="000000" w:themeColor="text1"/>
        </w:rPr>
        <w:t xml:space="preserve">Vidíme, že DT od roku 2011 do roku 2016 vykazoval rostoucí trend, což vyplynulo z postupného růstu počtu nevyřízených věcí. Teprve v roce 2017 klesl počet nevyřízených </w:t>
      </w:r>
      <w:proofErr w:type="gramStart"/>
      <w:r w:rsidRPr="001C3EC8">
        <w:rPr>
          <w:color w:val="000000" w:themeColor="text1"/>
        </w:rPr>
        <w:t>věcí</w:t>
      </w:r>
      <w:proofErr w:type="gramEnd"/>
      <w:r w:rsidRPr="001C3EC8">
        <w:rPr>
          <w:color w:val="000000" w:themeColor="text1"/>
        </w:rPr>
        <w:t xml:space="preserve"> a tedy i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V roce 2020 však DT dosáhl nejvyšší hodnoty za posledních 10 let (třebaže ne výrazně), </w:t>
      </w:r>
      <w:r w:rsidR="004B39C3" w:rsidRPr="001C3EC8">
        <w:rPr>
          <w:color w:val="000000" w:themeColor="text1"/>
        </w:rPr>
        <w:t>a</w:t>
      </w:r>
      <w:r w:rsidR="004B39C3">
        <w:rPr>
          <w:color w:val="000000" w:themeColor="text1"/>
        </w:rPr>
        <w:t> </w:t>
      </w:r>
      <w:r w:rsidRPr="001C3EC8">
        <w:rPr>
          <w:color w:val="000000" w:themeColor="text1"/>
        </w:rPr>
        <w:t xml:space="preserve">to v důsledku poklesu počtu vyřízených věcí v posledních dvou letech. Když se tedy podíváme na celou časovou řadu, vidíme, že od roku 2013 vykazuje </w:t>
      </w:r>
      <w:r w:rsidR="003A2AD4" w:rsidRPr="001C3EC8">
        <w:rPr>
          <w:color w:val="000000" w:themeColor="text1"/>
        </w:rPr>
        <w:t xml:space="preserve">DT </w:t>
      </w:r>
      <w:r w:rsidRPr="001C3EC8">
        <w:rPr>
          <w:color w:val="000000" w:themeColor="text1"/>
        </w:rPr>
        <w:t>jasný rostoucí trend</w:t>
      </w:r>
      <w:r w:rsidR="003A2AD4" w:rsidRPr="001C3EC8">
        <w:rPr>
          <w:color w:val="000000" w:themeColor="text1"/>
        </w:rPr>
        <w:t xml:space="preserve">, když </w:t>
      </w:r>
      <w:r w:rsidRPr="001C3EC8">
        <w:rPr>
          <w:color w:val="000000" w:themeColor="text1"/>
        </w:rPr>
        <w:t>narostl ze 197 na 235.</w:t>
      </w:r>
    </w:p>
    <w:p w14:paraId="0B6742D4" w14:textId="318F3ECC" w:rsidR="008430BD" w:rsidRPr="001C3EC8" w:rsidRDefault="008430BD" w:rsidP="008430BD">
      <w:pPr>
        <w:pStyle w:val="Podnadpis"/>
        <w:rPr>
          <w:color w:val="000000" w:themeColor="text1"/>
        </w:rPr>
      </w:pPr>
      <w:bookmarkStart w:id="525" w:name="_Toc515871392"/>
      <w:bookmarkStart w:id="526" w:name="_Toc11135123"/>
      <w:bookmarkStart w:id="527" w:name="_Toc43841441"/>
      <w:bookmarkStart w:id="528" w:name="_Toc75952244"/>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64</w:t>
      </w:r>
      <w:r w:rsidRPr="001C3EC8">
        <w:rPr>
          <w:noProof/>
          <w:color w:val="000000" w:themeColor="text1"/>
        </w:rPr>
        <w:fldChar w:fldCharType="end"/>
      </w:r>
      <w:r w:rsidRPr="001C3EC8">
        <w:rPr>
          <w:color w:val="000000" w:themeColor="text1"/>
        </w:rPr>
        <w:t>: KS – DT prvostupňového trestního řízení v letech 2008–20</w:t>
      </w:r>
      <w:bookmarkEnd w:id="525"/>
      <w:bookmarkEnd w:id="526"/>
      <w:bookmarkEnd w:id="527"/>
      <w:r w:rsidRPr="001C3EC8">
        <w:rPr>
          <w:color w:val="000000" w:themeColor="text1"/>
        </w:rPr>
        <w:t>20</w:t>
      </w:r>
      <w:bookmarkEnd w:id="528"/>
    </w:p>
    <w:p w14:paraId="137B81B4"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2F01B322" wp14:editId="6F41E316">
            <wp:extent cx="5114925" cy="3743325"/>
            <wp:effectExtent l="0" t="0" r="0" b="952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42BA332" w14:textId="050071CA" w:rsidR="008430BD" w:rsidRPr="001C3EC8" w:rsidRDefault="008430BD" w:rsidP="008430BD">
      <w:pPr>
        <w:pStyle w:val="Podnadpis"/>
        <w:rPr>
          <w:color w:val="000000" w:themeColor="text1"/>
        </w:rPr>
      </w:pPr>
      <w:bookmarkStart w:id="529" w:name="_Toc515871481"/>
      <w:bookmarkStart w:id="530" w:name="_Toc11133249"/>
      <w:bookmarkStart w:id="531" w:name="_Toc43931228"/>
      <w:bookmarkStart w:id="532" w:name="_Toc75952361"/>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58</w:t>
      </w:r>
      <w:r w:rsidRPr="001C3EC8">
        <w:rPr>
          <w:noProof/>
          <w:color w:val="000000" w:themeColor="text1"/>
        </w:rPr>
        <w:fldChar w:fldCharType="end"/>
      </w:r>
      <w:r w:rsidRPr="001C3EC8">
        <w:rPr>
          <w:color w:val="000000" w:themeColor="text1"/>
        </w:rPr>
        <w:t>: KS – DT v prvostupňovém trestním řízení dle soudů</w:t>
      </w:r>
      <w:bookmarkEnd w:id="529"/>
      <w:bookmarkEnd w:id="530"/>
      <w:bookmarkEnd w:id="531"/>
      <w:bookmarkEnd w:id="532"/>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53784178"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19206F9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0C66813A"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38C04EA0"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477489A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CD1F5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233</w:t>
            </w:r>
          </w:p>
        </w:tc>
        <w:tc>
          <w:tcPr>
            <w:tcW w:w="1927" w:type="dxa"/>
            <w:tcBorders>
              <w:top w:val="nil"/>
              <w:left w:val="nil"/>
              <w:bottom w:val="single" w:sz="4" w:space="0" w:color="auto"/>
              <w:right w:val="nil"/>
            </w:tcBorders>
            <w:shd w:val="clear" w:color="auto" w:fill="auto"/>
            <w:noWrap/>
            <w:vAlign w:val="center"/>
            <w:hideMark/>
          </w:tcPr>
          <w:p w14:paraId="7DD39321" w14:textId="45A5251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0FE1D81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49530D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2A802E8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w:t>
            </w:r>
          </w:p>
        </w:tc>
        <w:tc>
          <w:tcPr>
            <w:tcW w:w="1927" w:type="dxa"/>
            <w:tcBorders>
              <w:top w:val="nil"/>
              <w:left w:val="nil"/>
              <w:bottom w:val="single" w:sz="4" w:space="0" w:color="auto"/>
              <w:right w:val="nil"/>
            </w:tcBorders>
            <w:shd w:val="clear" w:color="auto" w:fill="auto"/>
            <w:noWrap/>
            <w:vAlign w:val="center"/>
            <w:hideMark/>
          </w:tcPr>
          <w:p w14:paraId="1284E8C0" w14:textId="23E9820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0641FC99"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62B584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27E73E1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288</w:t>
            </w:r>
          </w:p>
        </w:tc>
        <w:tc>
          <w:tcPr>
            <w:tcW w:w="1927" w:type="dxa"/>
            <w:tcBorders>
              <w:top w:val="nil"/>
              <w:left w:val="nil"/>
              <w:bottom w:val="single" w:sz="4" w:space="0" w:color="auto"/>
              <w:right w:val="nil"/>
            </w:tcBorders>
            <w:shd w:val="clear" w:color="auto" w:fill="auto"/>
            <w:noWrap/>
            <w:vAlign w:val="center"/>
            <w:hideMark/>
          </w:tcPr>
          <w:p w14:paraId="6D44DF93" w14:textId="12193E3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r>
      <w:tr w:rsidR="008430BD" w:rsidRPr="001C3EC8" w14:paraId="1FE6023E"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C84262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64B8F60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271</w:t>
            </w:r>
          </w:p>
        </w:tc>
        <w:tc>
          <w:tcPr>
            <w:tcW w:w="1927" w:type="dxa"/>
            <w:tcBorders>
              <w:top w:val="nil"/>
              <w:left w:val="nil"/>
              <w:bottom w:val="single" w:sz="4" w:space="0" w:color="auto"/>
              <w:right w:val="nil"/>
            </w:tcBorders>
            <w:shd w:val="clear" w:color="auto" w:fill="auto"/>
            <w:noWrap/>
            <w:vAlign w:val="center"/>
            <w:hideMark/>
          </w:tcPr>
          <w:p w14:paraId="26C2F2B6" w14:textId="5660401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+43 </w:t>
            </w:r>
            <w:r w:rsidR="00B07E76">
              <w:rPr>
                <w:rFonts w:eastAsia="Times New Roman"/>
                <w:color w:val="000000" w:themeColor="text1"/>
                <w:sz w:val="20"/>
                <w:szCs w:val="20"/>
                <w:lang w:eastAsia="cs-CZ"/>
              </w:rPr>
              <w:t>%</w:t>
            </w:r>
          </w:p>
        </w:tc>
      </w:tr>
      <w:tr w:rsidR="008430BD" w:rsidRPr="001C3EC8" w14:paraId="3F8D5BB6"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5F0BAF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0F42A48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331</w:t>
            </w:r>
          </w:p>
        </w:tc>
        <w:tc>
          <w:tcPr>
            <w:tcW w:w="1927" w:type="dxa"/>
            <w:tcBorders>
              <w:top w:val="nil"/>
              <w:left w:val="nil"/>
              <w:bottom w:val="single" w:sz="4" w:space="0" w:color="auto"/>
              <w:right w:val="nil"/>
            </w:tcBorders>
            <w:shd w:val="clear" w:color="auto" w:fill="auto"/>
            <w:noWrap/>
            <w:vAlign w:val="center"/>
            <w:hideMark/>
          </w:tcPr>
          <w:p w14:paraId="0AAD9081" w14:textId="02F95CB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8430BD" w:rsidRPr="001C3EC8" w14:paraId="69EA4A54"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D042D7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1450C14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w:t>
            </w:r>
          </w:p>
        </w:tc>
        <w:tc>
          <w:tcPr>
            <w:tcW w:w="1927" w:type="dxa"/>
            <w:tcBorders>
              <w:top w:val="nil"/>
              <w:left w:val="nil"/>
              <w:bottom w:val="single" w:sz="4" w:space="0" w:color="auto"/>
              <w:right w:val="nil"/>
            </w:tcBorders>
            <w:shd w:val="clear" w:color="auto" w:fill="auto"/>
            <w:noWrap/>
            <w:vAlign w:val="center"/>
            <w:hideMark/>
          </w:tcPr>
          <w:p w14:paraId="7913066C" w14:textId="5EFFC4A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r>
      <w:tr w:rsidR="008430BD" w:rsidRPr="001C3EC8" w14:paraId="300C200B"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C32645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14401F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215</w:t>
            </w:r>
          </w:p>
        </w:tc>
        <w:tc>
          <w:tcPr>
            <w:tcW w:w="1927" w:type="dxa"/>
            <w:tcBorders>
              <w:top w:val="nil"/>
              <w:left w:val="nil"/>
              <w:bottom w:val="single" w:sz="4" w:space="0" w:color="auto"/>
              <w:right w:val="nil"/>
            </w:tcBorders>
            <w:shd w:val="clear" w:color="auto" w:fill="auto"/>
            <w:noWrap/>
            <w:vAlign w:val="center"/>
            <w:hideMark/>
          </w:tcPr>
          <w:p w14:paraId="7B0CAB14" w14:textId="5AB3E25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r>
      <w:tr w:rsidR="008430BD" w:rsidRPr="001C3EC8" w14:paraId="10AD216B"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5C36108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2125C0C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281</w:t>
            </w:r>
          </w:p>
        </w:tc>
        <w:tc>
          <w:tcPr>
            <w:tcW w:w="1927" w:type="dxa"/>
            <w:tcBorders>
              <w:top w:val="nil"/>
              <w:left w:val="nil"/>
              <w:bottom w:val="double" w:sz="6" w:space="0" w:color="auto"/>
              <w:right w:val="nil"/>
            </w:tcBorders>
            <w:shd w:val="clear" w:color="auto" w:fill="auto"/>
            <w:noWrap/>
            <w:vAlign w:val="center"/>
            <w:hideMark/>
          </w:tcPr>
          <w:p w14:paraId="40622834" w14:textId="634FAEB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r>
      <w:tr w:rsidR="008430BD" w:rsidRPr="001C3EC8" w14:paraId="7EB607A5"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5CE7C72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42CF453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235</w:t>
            </w:r>
          </w:p>
        </w:tc>
        <w:tc>
          <w:tcPr>
            <w:tcW w:w="1927" w:type="dxa"/>
            <w:tcBorders>
              <w:top w:val="nil"/>
              <w:left w:val="nil"/>
              <w:bottom w:val="double" w:sz="6" w:space="0" w:color="auto"/>
              <w:right w:val="nil"/>
            </w:tcBorders>
            <w:shd w:val="clear" w:color="auto" w:fill="auto"/>
            <w:noWrap/>
            <w:vAlign w:val="center"/>
            <w:hideMark/>
          </w:tcPr>
          <w:p w14:paraId="249EE4A3" w14:textId="2E499B1A"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4B39C3" w:rsidRPr="001C3EC8">
              <w:rPr>
                <w:rFonts w:eastAsia="Times New Roman"/>
                <w:b/>
                <w:bCs/>
                <w:color w:val="000000" w:themeColor="text1"/>
                <w:sz w:val="20"/>
                <w:szCs w:val="20"/>
                <w:lang w:eastAsia="cs-CZ"/>
              </w:rPr>
              <w:t>2</w:t>
            </w:r>
            <w:r w:rsidR="004B39C3">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r>
    </w:tbl>
    <w:p w14:paraId="28503B41" w14:textId="77777777" w:rsidR="008430BD" w:rsidRPr="001C3EC8" w:rsidRDefault="008430BD" w:rsidP="008430BD">
      <w:pPr>
        <w:spacing w:line="240" w:lineRule="auto"/>
        <w:jc w:val="left"/>
        <w:rPr>
          <w:color w:val="000000" w:themeColor="text1"/>
        </w:rPr>
      </w:pPr>
    </w:p>
    <w:p w14:paraId="28FDFF43" w14:textId="28BAE20A" w:rsidR="008430BD" w:rsidRPr="001C3EC8" w:rsidRDefault="008430BD" w:rsidP="008430BD">
      <w:pPr>
        <w:pStyle w:val="OdstavecASR"/>
        <w:rPr>
          <w:color w:val="000000" w:themeColor="text1"/>
          <w:highlight w:val="yellow"/>
        </w:rPr>
      </w:pPr>
      <w:r w:rsidRPr="001C3EC8">
        <w:rPr>
          <w:color w:val="000000" w:themeColor="text1"/>
        </w:rPr>
        <w:t>Závěry ze srovnání krajských soudů na základě délek řízení, přepočtu na soudce a DT se v tomto případě liší, což vyplývá (jak už bylo zmíněno) z jiné metodiky, jiného zdroje dat a malého počtu pozorování. Určit</w:t>
      </w:r>
      <w:r w:rsidR="007912BB" w:rsidRPr="001C3EC8">
        <w:rPr>
          <w:color w:val="000000" w:themeColor="text1"/>
        </w:rPr>
        <w:t>é</w:t>
      </w:r>
      <w:r w:rsidRPr="001C3EC8">
        <w:rPr>
          <w:color w:val="000000" w:themeColor="text1"/>
        </w:rPr>
        <w:t xml:space="preserve"> závěry však je možné vyvodit. Lze říct, že především KS Ústí nad Labem a KS</w:t>
      </w:r>
      <w:r w:rsidR="00B4248B">
        <w:rPr>
          <w:color w:val="000000" w:themeColor="text1"/>
        </w:rPr>
        <w:t> </w:t>
      </w:r>
      <w:r w:rsidRPr="001C3EC8">
        <w:rPr>
          <w:color w:val="000000" w:themeColor="text1"/>
        </w:rPr>
        <w:t>České Budějovice vykazují určité problémy s vyřizováním. Naopak KS Praha a KS Hradec Králové si zatím vedou stále dobře.</w:t>
      </w:r>
    </w:p>
    <w:p w14:paraId="33366E3B" w14:textId="56DEFE6C" w:rsidR="008430BD" w:rsidRPr="001C3EC8" w:rsidRDefault="008430BD" w:rsidP="008430BD">
      <w:pPr>
        <w:pStyle w:val="OdstavecASR"/>
        <w:rPr>
          <w:color w:val="000000" w:themeColor="text1"/>
        </w:rPr>
      </w:pPr>
      <w:r w:rsidRPr="001C3EC8">
        <w:rPr>
          <w:color w:val="000000" w:themeColor="text1"/>
        </w:rPr>
        <w:t xml:space="preserve">Zatímco u OS je situace v trestní agendě </w:t>
      </w:r>
      <w:r w:rsidR="004B39C3" w:rsidRPr="001C3EC8">
        <w:rPr>
          <w:color w:val="000000" w:themeColor="text1"/>
        </w:rPr>
        <w:t>v</w:t>
      </w:r>
      <w:r w:rsidR="004B39C3">
        <w:rPr>
          <w:color w:val="000000" w:themeColor="text1"/>
        </w:rPr>
        <w:t> </w:t>
      </w:r>
      <w:r w:rsidRPr="001C3EC8">
        <w:rPr>
          <w:color w:val="000000" w:themeColor="text1"/>
        </w:rPr>
        <w:t>zásadě stabilní, u KS v posledních 3 letech tentýž závěr úplně neplatí</w:t>
      </w:r>
      <w:r w:rsidR="003A2AD4" w:rsidRPr="001C3EC8">
        <w:rPr>
          <w:color w:val="000000" w:themeColor="text1"/>
        </w:rPr>
        <w:t>:</w:t>
      </w:r>
      <w:r w:rsidRPr="001C3EC8">
        <w:rPr>
          <w:color w:val="000000" w:themeColor="text1"/>
        </w:rPr>
        <w:t xml:space="preserve"> situace není stabilní především kvůli malému po</w:t>
      </w:r>
      <w:r w:rsidR="00ED6972" w:rsidRPr="001C3EC8">
        <w:rPr>
          <w:color w:val="000000" w:themeColor="text1"/>
        </w:rPr>
        <w:t>č</w:t>
      </w:r>
      <w:r w:rsidRPr="001C3EC8">
        <w:rPr>
          <w:color w:val="000000" w:themeColor="text1"/>
        </w:rPr>
        <w:t xml:space="preserve">tu vyřizovaných věcí.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dosáhl v roce 2019 nejvyšší hodnoty za posledních 10</w:t>
      </w:r>
      <w:r w:rsidR="004B39C3">
        <w:rPr>
          <w:color w:val="000000" w:themeColor="text1"/>
        </w:rPr>
        <w:t> </w:t>
      </w:r>
      <w:r w:rsidRPr="001C3EC8">
        <w:rPr>
          <w:color w:val="000000" w:themeColor="text1"/>
        </w:rPr>
        <w:t xml:space="preserve">let </w:t>
      </w:r>
      <w:r w:rsidR="004B39C3" w:rsidRPr="001C3EC8">
        <w:rPr>
          <w:color w:val="000000" w:themeColor="text1"/>
        </w:rPr>
        <w:t>a</w:t>
      </w:r>
      <w:r w:rsidR="004B39C3">
        <w:rPr>
          <w:color w:val="000000" w:themeColor="text1"/>
        </w:rPr>
        <w:t> </w:t>
      </w:r>
      <w:r w:rsidRPr="001C3EC8">
        <w:rPr>
          <w:color w:val="000000" w:themeColor="text1"/>
        </w:rPr>
        <w:t>velmi mírně vzrostl počet nevyřízených věcí i</w:t>
      </w:r>
      <w:r w:rsidR="004B39C3">
        <w:rPr>
          <w:color w:val="000000" w:themeColor="text1"/>
        </w:rPr>
        <w:t> </w:t>
      </w:r>
      <w:r w:rsidRPr="001C3EC8">
        <w:rPr>
          <w:color w:val="000000" w:themeColor="text1"/>
        </w:rPr>
        <w:t>počet věcí nevyřízených déle než 2</w:t>
      </w:r>
      <w:r w:rsidR="004B39C3">
        <w:rPr>
          <w:color w:val="000000" w:themeColor="text1"/>
        </w:rPr>
        <w:t> </w:t>
      </w:r>
      <w:r w:rsidRPr="001C3EC8">
        <w:rPr>
          <w:color w:val="000000" w:themeColor="text1"/>
        </w:rPr>
        <w:t>roky.</w:t>
      </w:r>
    </w:p>
    <w:p w14:paraId="4A2F8C73"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1D2BE867" w14:textId="77777777" w:rsidR="008430BD" w:rsidRPr="001C3EC8" w:rsidRDefault="008430BD" w:rsidP="008430BD">
      <w:pPr>
        <w:pStyle w:val="Nadpis3"/>
        <w:numPr>
          <w:ilvl w:val="2"/>
          <w:numId w:val="1"/>
        </w:numPr>
        <w:rPr>
          <w:color w:val="000000" w:themeColor="text1"/>
        </w:rPr>
      </w:pPr>
      <w:bookmarkStart w:id="533" w:name="_Toc515871261"/>
      <w:bookmarkStart w:id="534" w:name="_Toc75952102"/>
      <w:r w:rsidRPr="001C3EC8">
        <w:rPr>
          <w:color w:val="000000" w:themeColor="text1"/>
        </w:rPr>
        <w:lastRenderedPageBreak/>
        <w:t>Další statistiky</w:t>
      </w:r>
      <w:bookmarkEnd w:id="533"/>
      <w:bookmarkEnd w:id="534"/>
    </w:p>
    <w:p w14:paraId="387F7BFA" w14:textId="6C724775" w:rsidR="008430BD" w:rsidRPr="001C3EC8" w:rsidRDefault="008430BD" w:rsidP="008430BD">
      <w:pPr>
        <w:pStyle w:val="OdstavecASR"/>
        <w:rPr>
          <w:color w:val="000000" w:themeColor="text1"/>
        </w:rPr>
      </w:pPr>
      <w:r w:rsidRPr="001C3EC8">
        <w:rPr>
          <w:color w:val="000000" w:themeColor="text1"/>
        </w:rPr>
        <w:t xml:space="preserve">Jako další statistiky v této podkapitole uvádíme míru odvolání, míru změny rozsudku </w:t>
      </w:r>
      <w:r w:rsidR="004B39C3" w:rsidRPr="001C3EC8">
        <w:rPr>
          <w:color w:val="000000" w:themeColor="text1"/>
        </w:rPr>
        <w:t>a</w:t>
      </w:r>
      <w:r w:rsidR="004B39C3">
        <w:rPr>
          <w:color w:val="000000" w:themeColor="text1"/>
        </w:rPr>
        <w:t> </w:t>
      </w:r>
      <w:r w:rsidRPr="001C3EC8">
        <w:rPr>
          <w:color w:val="000000" w:themeColor="text1"/>
        </w:rPr>
        <w:t xml:space="preserve">počet odsouzených na 100 000 obyvatel dle krajů, tedy obdobné ukazatele jako </w:t>
      </w:r>
      <w:r w:rsidR="004B39C3" w:rsidRPr="001C3EC8">
        <w:rPr>
          <w:color w:val="000000" w:themeColor="text1"/>
        </w:rPr>
        <w:t>u</w:t>
      </w:r>
      <w:r w:rsidR="004B39C3">
        <w:rPr>
          <w:color w:val="000000" w:themeColor="text1"/>
        </w:rPr>
        <w:t> </w:t>
      </w:r>
      <w:r w:rsidRPr="001C3EC8">
        <w:rPr>
          <w:color w:val="000000" w:themeColor="text1"/>
        </w:rPr>
        <w:t xml:space="preserve">okresních soudů. Opět je třeba zdůraznit, že </w:t>
      </w:r>
      <w:r w:rsidR="004B39C3" w:rsidRPr="001C3EC8">
        <w:rPr>
          <w:color w:val="000000" w:themeColor="text1"/>
        </w:rPr>
        <w:t>u</w:t>
      </w:r>
      <w:r w:rsidR="004B39C3">
        <w:rPr>
          <w:color w:val="000000" w:themeColor="text1"/>
        </w:rPr>
        <w:t> </w:t>
      </w:r>
      <w:r w:rsidRPr="001C3EC8">
        <w:rPr>
          <w:color w:val="000000" w:themeColor="text1"/>
        </w:rPr>
        <w:t>KS je malý počet pozorování.</w:t>
      </w:r>
    </w:p>
    <w:p w14:paraId="0DEF2FA0" w14:textId="2E142BBE" w:rsidR="00F76987" w:rsidRPr="001C3EC8" w:rsidRDefault="00F76987" w:rsidP="008430BD">
      <w:pPr>
        <w:pStyle w:val="OdstavecASR"/>
        <w:rPr>
          <w:b/>
          <w:color w:val="000000" w:themeColor="text1"/>
        </w:rPr>
      </w:pPr>
      <w:r w:rsidRPr="001C3EC8">
        <w:rPr>
          <w:b/>
          <w:color w:val="000000" w:themeColor="text1"/>
        </w:rPr>
        <w:t>Míra odvolání</w:t>
      </w:r>
    </w:p>
    <w:p w14:paraId="0DC40761" w14:textId="7CC32CFC" w:rsidR="008430BD" w:rsidRPr="001C3EC8" w:rsidRDefault="008430BD" w:rsidP="008430BD">
      <w:pPr>
        <w:pStyle w:val="Podnadpis"/>
        <w:rPr>
          <w:color w:val="000000" w:themeColor="text1"/>
        </w:rPr>
      </w:pPr>
      <w:bookmarkStart w:id="535" w:name="_Toc515871482"/>
      <w:bookmarkStart w:id="536" w:name="_Toc11133250"/>
      <w:bookmarkStart w:id="537" w:name="_Toc43931229"/>
      <w:bookmarkStart w:id="538" w:name="_Toc75952362"/>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59</w:t>
      </w:r>
      <w:r w:rsidRPr="001C3EC8">
        <w:rPr>
          <w:noProof/>
          <w:color w:val="000000" w:themeColor="text1"/>
        </w:rPr>
        <w:fldChar w:fldCharType="end"/>
      </w:r>
      <w:r w:rsidRPr="001C3EC8">
        <w:rPr>
          <w:color w:val="000000" w:themeColor="text1"/>
        </w:rPr>
        <w:t>: KS – míra odvolání dle soudů v trestním řízení</w:t>
      </w:r>
      <w:bookmarkEnd w:id="535"/>
      <w:bookmarkEnd w:id="536"/>
      <w:bookmarkEnd w:id="537"/>
      <w:bookmarkEnd w:id="538"/>
    </w:p>
    <w:tbl>
      <w:tblPr>
        <w:tblW w:w="6300" w:type="dxa"/>
        <w:tblCellMar>
          <w:left w:w="70" w:type="dxa"/>
          <w:right w:w="70" w:type="dxa"/>
        </w:tblCellMar>
        <w:tblLook w:val="04A0" w:firstRow="1" w:lastRow="0" w:firstColumn="1" w:lastColumn="0" w:noHBand="0" w:noVBand="1"/>
      </w:tblPr>
      <w:tblGrid>
        <w:gridCol w:w="2780"/>
        <w:gridCol w:w="1451"/>
        <w:gridCol w:w="2069"/>
      </w:tblGrid>
      <w:tr w:rsidR="008430BD" w:rsidRPr="001C3EC8" w14:paraId="32BC86C9"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45BDAB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42E3A84E" w14:textId="00081A6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Míra odvolání </w:t>
            </w:r>
            <w:r w:rsidR="004B39C3" w:rsidRPr="001C3EC8">
              <w:rPr>
                <w:rFonts w:eastAsia="Times New Roman"/>
                <w:b/>
                <w:bCs/>
                <w:color w:val="000000" w:themeColor="text1"/>
                <w:szCs w:val="24"/>
                <w:lang w:eastAsia="cs-CZ"/>
              </w:rPr>
              <w:t>v</w:t>
            </w:r>
            <w:r w:rsidR="004B39C3">
              <w:rPr>
                <w:rFonts w:eastAsia="Times New Roman"/>
                <w:b/>
                <w:bCs/>
                <w:color w:val="000000" w:themeColor="text1"/>
                <w:szCs w:val="24"/>
                <w:lang w:eastAsia="cs-CZ"/>
              </w:rPr>
              <w:t> </w:t>
            </w:r>
            <w:r w:rsidRPr="001C3EC8">
              <w:rPr>
                <w:rFonts w:eastAsia="Times New Roman"/>
                <w:b/>
                <w:bCs/>
                <w:color w:val="000000" w:themeColor="text1"/>
                <w:szCs w:val="24"/>
                <w:lang w:eastAsia="cs-CZ"/>
              </w:rPr>
              <w:t xml:space="preserve">% </w:t>
            </w:r>
          </w:p>
        </w:tc>
      </w:tr>
      <w:tr w:rsidR="008430BD" w:rsidRPr="001C3EC8" w14:paraId="0FB7E05A"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058BADA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451" w:type="dxa"/>
            <w:tcBorders>
              <w:top w:val="nil"/>
              <w:left w:val="nil"/>
              <w:bottom w:val="single" w:sz="4" w:space="0" w:color="auto"/>
              <w:right w:val="nil"/>
            </w:tcBorders>
            <w:shd w:val="clear" w:color="auto" w:fill="auto"/>
            <w:noWrap/>
            <w:vAlign w:val="bottom"/>
            <w:hideMark/>
          </w:tcPr>
          <w:p w14:paraId="5A92ABD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75,29</w:t>
            </w:r>
          </w:p>
        </w:tc>
        <w:tc>
          <w:tcPr>
            <w:tcW w:w="2069" w:type="dxa"/>
            <w:tcBorders>
              <w:top w:val="nil"/>
              <w:left w:val="nil"/>
              <w:bottom w:val="single" w:sz="4" w:space="0" w:color="auto"/>
              <w:right w:val="nil"/>
            </w:tcBorders>
            <w:shd w:val="clear" w:color="auto" w:fill="auto"/>
            <w:noWrap/>
            <w:vAlign w:val="center"/>
            <w:hideMark/>
          </w:tcPr>
          <w:p w14:paraId="47D69FA9" w14:textId="4FEDECF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-15.</w:t>
            </w:r>
            <w:r w:rsidR="004B39C3" w:rsidRPr="001C3EC8">
              <w:rPr>
                <w:rFonts w:eastAsia="Times New Roman"/>
                <w:color w:val="000000" w:themeColor="text1"/>
                <w:sz w:val="20"/>
                <w:szCs w:val="20"/>
                <w:lang w:eastAsia="cs-CZ"/>
              </w:rPr>
              <w:t>8</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3F753975"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C269AE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451" w:type="dxa"/>
            <w:tcBorders>
              <w:top w:val="nil"/>
              <w:left w:val="nil"/>
              <w:bottom w:val="single" w:sz="4" w:space="0" w:color="auto"/>
              <w:right w:val="nil"/>
            </w:tcBorders>
            <w:shd w:val="clear" w:color="auto" w:fill="auto"/>
            <w:noWrap/>
            <w:vAlign w:val="bottom"/>
            <w:hideMark/>
          </w:tcPr>
          <w:p w14:paraId="1010C7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74,39</w:t>
            </w:r>
          </w:p>
        </w:tc>
        <w:tc>
          <w:tcPr>
            <w:tcW w:w="2069" w:type="dxa"/>
            <w:tcBorders>
              <w:top w:val="nil"/>
              <w:left w:val="nil"/>
              <w:bottom w:val="single" w:sz="4" w:space="0" w:color="auto"/>
              <w:right w:val="nil"/>
            </w:tcBorders>
            <w:shd w:val="clear" w:color="auto" w:fill="auto"/>
            <w:noWrap/>
            <w:vAlign w:val="center"/>
            <w:hideMark/>
          </w:tcPr>
          <w:p w14:paraId="6EB561C8" w14:textId="488FB26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-16.</w:t>
            </w:r>
            <w:r w:rsidR="004B39C3" w:rsidRPr="001C3EC8">
              <w:rPr>
                <w:rFonts w:eastAsia="Times New Roman"/>
                <w:color w:val="000000" w:themeColor="text1"/>
                <w:sz w:val="20"/>
                <w:szCs w:val="20"/>
                <w:lang w:eastAsia="cs-CZ"/>
              </w:rPr>
              <w:t>0</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22A57D39"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F2A047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451" w:type="dxa"/>
            <w:tcBorders>
              <w:top w:val="nil"/>
              <w:left w:val="nil"/>
              <w:bottom w:val="single" w:sz="4" w:space="0" w:color="auto"/>
              <w:right w:val="nil"/>
            </w:tcBorders>
            <w:shd w:val="clear" w:color="auto" w:fill="auto"/>
            <w:noWrap/>
            <w:vAlign w:val="bottom"/>
            <w:hideMark/>
          </w:tcPr>
          <w:p w14:paraId="59F9FD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76,47</w:t>
            </w:r>
          </w:p>
        </w:tc>
        <w:tc>
          <w:tcPr>
            <w:tcW w:w="2069" w:type="dxa"/>
            <w:tcBorders>
              <w:top w:val="nil"/>
              <w:left w:val="nil"/>
              <w:bottom w:val="single" w:sz="4" w:space="0" w:color="auto"/>
              <w:right w:val="nil"/>
            </w:tcBorders>
            <w:shd w:val="clear" w:color="auto" w:fill="auto"/>
            <w:noWrap/>
            <w:vAlign w:val="center"/>
            <w:hideMark/>
          </w:tcPr>
          <w:p w14:paraId="66749C85" w14:textId="143C369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w:t>
            </w:r>
            <w:r w:rsidR="004B39C3" w:rsidRPr="001C3EC8">
              <w:rPr>
                <w:rFonts w:eastAsia="Times New Roman"/>
                <w:color w:val="000000" w:themeColor="text1"/>
                <w:sz w:val="20"/>
                <w:szCs w:val="20"/>
                <w:lang w:eastAsia="cs-CZ"/>
              </w:rPr>
              <w:t>1</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62A070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1C1C48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451" w:type="dxa"/>
            <w:tcBorders>
              <w:top w:val="nil"/>
              <w:left w:val="nil"/>
              <w:bottom w:val="single" w:sz="4" w:space="0" w:color="auto"/>
              <w:right w:val="nil"/>
            </w:tcBorders>
            <w:shd w:val="clear" w:color="auto" w:fill="auto"/>
            <w:noWrap/>
            <w:vAlign w:val="bottom"/>
            <w:hideMark/>
          </w:tcPr>
          <w:p w14:paraId="419E55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77,78</w:t>
            </w:r>
          </w:p>
        </w:tc>
        <w:tc>
          <w:tcPr>
            <w:tcW w:w="2069" w:type="dxa"/>
            <w:tcBorders>
              <w:top w:val="nil"/>
              <w:left w:val="nil"/>
              <w:bottom w:val="single" w:sz="4" w:space="0" w:color="auto"/>
              <w:right w:val="nil"/>
            </w:tcBorders>
            <w:shd w:val="clear" w:color="auto" w:fill="auto"/>
            <w:noWrap/>
            <w:vAlign w:val="center"/>
            <w:hideMark/>
          </w:tcPr>
          <w:p w14:paraId="7231A8EA" w14:textId="4256B23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w:t>
            </w:r>
            <w:r w:rsidR="004B39C3" w:rsidRPr="001C3EC8">
              <w:rPr>
                <w:rFonts w:eastAsia="Times New Roman"/>
                <w:color w:val="000000" w:themeColor="text1"/>
                <w:sz w:val="20"/>
                <w:szCs w:val="20"/>
                <w:lang w:eastAsia="cs-CZ"/>
              </w:rPr>
              <w:t>7</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E319901"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55B7DB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451" w:type="dxa"/>
            <w:tcBorders>
              <w:top w:val="nil"/>
              <w:left w:val="nil"/>
              <w:bottom w:val="single" w:sz="4" w:space="0" w:color="auto"/>
              <w:right w:val="nil"/>
            </w:tcBorders>
            <w:shd w:val="clear" w:color="auto" w:fill="auto"/>
            <w:noWrap/>
            <w:vAlign w:val="bottom"/>
            <w:hideMark/>
          </w:tcPr>
          <w:p w14:paraId="61F2B2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77,85</w:t>
            </w:r>
          </w:p>
        </w:tc>
        <w:tc>
          <w:tcPr>
            <w:tcW w:w="2069" w:type="dxa"/>
            <w:tcBorders>
              <w:top w:val="nil"/>
              <w:left w:val="nil"/>
              <w:bottom w:val="single" w:sz="4" w:space="0" w:color="auto"/>
              <w:right w:val="nil"/>
            </w:tcBorders>
            <w:shd w:val="clear" w:color="auto" w:fill="auto"/>
            <w:noWrap/>
            <w:vAlign w:val="center"/>
            <w:hideMark/>
          </w:tcPr>
          <w:p w14:paraId="36C6A841" w14:textId="326EBBB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w:t>
            </w:r>
            <w:r w:rsidR="004B39C3" w:rsidRPr="001C3EC8">
              <w:rPr>
                <w:rFonts w:eastAsia="Times New Roman"/>
                <w:color w:val="000000" w:themeColor="text1"/>
                <w:sz w:val="20"/>
                <w:szCs w:val="20"/>
                <w:lang w:eastAsia="cs-CZ"/>
              </w:rPr>
              <w:t>0</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C76CEA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4FC7C1E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451" w:type="dxa"/>
            <w:tcBorders>
              <w:top w:val="nil"/>
              <w:left w:val="nil"/>
              <w:bottom w:val="single" w:sz="4" w:space="0" w:color="auto"/>
              <w:right w:val="nil"/>
            </w:tcBorders>
            <w:shd w:val="clear" w:color="auto" w:fill="auto"/>
            <w:noWrap/>
            <w:vAlign w:val="bottom"/>
            <w:hideMark/>
          </w:tcPr>
          <w:p w14:paraId="3D67D0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65,89</w:t>
            </w:r>
          </w:p>
        </w:tc>
        <w:tc>
          <w:tcPr>
            <w:tcW w:w="2069" w:type="dxa"/>
            <w:tcBorders>
              <w:top w:val="nil"/>
              <w:left w:val="nil"/>
              <w:bottom w:val="single" w:sz="4" w:space="0" w:color="auto"/>
              <w:right w:val="nil"/>
            </w:tcBorders>
            <w:shd w:val="clear" w:color="auto" w:fill="auto"/>
            <w:noWrap/>
            <w:vAlign w:val="center"/>
            <w:hideMark/>
          </w:tcPr>
          <w:p w14:paraId="52B1076D" w14:textId="7251F8D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w:t>
            </w:r>
            <w:r w:rsidR="004B39C3" w:rsidRPr="001C3EC8">
              <w:rPr>
                <w:rFonts w:eastAsia="Times New Roman"/>
                <w:color w:val="000000" w:themeColor="text1"/>
                <w:sz w:val="20"/>
                <w:szCs w:val="20"/>
                <w:lang w:eastAsia="cs-CZ"/>
              </w:rPr>
              <w:t>6</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5E8B9C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4E3497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451" w:type="dxa"/>
            <w:tcBorders>
              <w:top w:val="nil"/>
              <w:left w:val="nil"/>
              <w:bottom w:val="single" w:sz="4" w:space="0" w:color="auto"/>
              <w:right w:val="nil"/>
            </w:tcBorders>
            <w:shd w:val="clear" w:color="auto" w:fill="auto"/>
            <w:noWrap/>
            <w:vAlign w:val="bottom"/>
            <w:hideMark/>
          </w:tcPr>
          <w:p w14:paraId="3E854D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64,93</w:t>
            </w:r>
          </w:p>
        </w:tc>
        <w:tc>
          <w:tcPr>
            <w:tcW w:w="2069" w:type="dxa"/>
            <w:tcBorders>
              <w:top w:val="nil"/>
              <w:left w:val="nil"/>
              <w:bottom w:val="single" w:sz="4" w:space="0" w:color="auto"/>
              <w:right w:val="nil"/>
            </w:tcBorders>
            <w:shd w:val="clear" w:color="auto" w:fill="auto"/>
            <w:noWrap/>
            <w:vAlign w:val="center"/>
            <w:hideMark/>
          </w:tcPr>
          <w:p w14:paraId="1AF2F68A" w14:textId="53399D8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-13.</w:t>
            </w:r>
            <w:r w:rsidR="004B39C3" w:rsidRPr="001C3EC8">
              <w:rPr>
                <w:rFonts w:eastAsia="Times New Roman"/>
                <w:color w:val="000000" w:themeColor="text1"/>
                <w:sz w:val="20"/>
                <w:szCs w:val="20"/>
                <w:lang w:eastAsia="cs-CZ"/>
              </w:rPr>
              <w:t>3</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4F1C225"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7C2B5F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451" w:type="dxa"/>
            <w:tcBorders>
              <w:top w:val="nil"/>
              <w:left w:val="nil"/>
              <w:bottom w:val="double" w:sz="6" w:space="0" w:color="auto"/>
              <w:right w:val="nil"/>
            </w:tcBorders>
            <w:shd w:val="clear" w:color="auto" w:fill="auto"/>
            <w:noWrap/>
            <w:vAlign w:val="bottom"/>
            <w:hideMark/>
          </w:tcPr>
          <w:p w14:paraId="26F8E6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63,59</w:t>
            </w:r>
          </w:p>
        </w:tc>
        <w:tc>
          <w:tcPr>
            <w:tcW w:w="2069" w:type="dxa"/>
            <w:tcBorders>
              <w:top w:val="nil"/>
              <w:left w:val="nil"/>
              <w:bottom w:val="nil"/>
              <w:right w:val="nil"/>
            </w:tcBorders>
            <w:shd w:val="clear" w:color="auto" w:fill="auto"/>
            <w:noWrap/>
            <w:vAlign w:val="center"/>
            <w:hideMark/>
          </w:tcPr>
          <w:p w14:paraId="35BE69E8" w14:textId="278B917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w:t>
            </w:r>
            <w:r w:rsidR="004B39C3" w:rsidRPr="001C3EC8">
              <w:rPr>
                <w:rFonts w:eastAsia="Times New Roman"/>
                <w:color w:val="000000" w:themeColor="text1"/>
                <w:sz w:val="20"/>
                <w:szCs w:val="20"/>
                <w:lang w:eastAsia="cs-CZ"/>
              </w:rPr>
              <w:t>0</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46B2435"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29B1EF9E"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451" w:type="dxa"/>
            <w:tcBorders>
              <w:top w:val="nil"/>
              <w:left w:val="nil"/>
              <w:bottom w:val="double" w:sz="6" w:space="0" w:color="auto"/>
              <w:right w:val="nil"/>
            </w:tcBorders>
            <w:shd w:val="clear" w:color="auto" w:fill="auto"/>
            <w:noWrap/>
            <w:vAlign w:val="bottom"/>
            <w:hideMark/>
          </w:tcPr>
          <w:p w14:paraId="2A4242A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71,29</w:t>
            </w:r>
          </w:p>
        </w:tc>
        <w:tc>
          <w:tcPr>
            <w:tcW w:w="2069" w:type="dxa"/>
            <w:tcBorders>
              <w:top w:val="double" w:sz="6" w:space="0" w:color="auto"/>
              <w:left w:val="nil"/>
              <w:bottom w:val="double" w:sz="6" w:space="0" w:color="auto"/>
              <w:right w:val="nil"/>
            </w:tcBorders>
            <w:shd w:val="clear" w:color="auto" w:fill="auto"/>
            <w:noWrap/>
            <w:vAlign w:val="center"/>
            <w:hideMark/>
          </w:tcPr>
          <w:p w14:paraId="4B033092" w14:textId="31AF75AD"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-8.</w:t>
            </w:r>
            <w:r w:rsidR="004B39C3" w:rsidRPr="001C3EC8">
              <w:rPr>
                <w:rFonts w:eastAsia="Times New Roman"/>
                <w:b/>
                <w:bCs/>
                <w:color w:val="000000" w:themeColor="text1"/>
                <w:sz w:val="20"/>
                <w:szCs w:val="20"/>
                <w:lang w:eastAsia="cs-CZ"/>
              </w:rPr>
              <w:t>6</w:t>
            </w:r>
            <w:r w:rsidR="004B39C3">
              <w:rPr>
                <w:rFonts w:eastAsia="Times New Roman"/>
                <w:b/>
                <w:bCs/>
                <w:color w:val="000000" w:themeColor="text1"/>
                <w:sz w:val="20"/>
                <w:szCs w:val="20"/>
                <w:lang w:eastAsia="cs-CZ"/>
              </w:rPr>
              <w:t>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2D58F6EC" w14:textId="77777777" w:rsidR="008430BD" w:rsidRPr="001C3EC8" w:rsidRDefault="008430BD" w:rsidP="008430BD">
      <w:pPr>
        <w:spacing w:line="240" w:lineRule="auto"/>
        <w:jc w:val="left"/>
        <w:rPr>
          <w:color w:val="000000" w:themeColor="text1"/>
        </w:rPr>
      </w:pPr>
    </w:p>
    <w:p w14:paraId="49058444" w14:textId="3B90D811" w:rsidR="008430BD" w:rsidRPr="001C3EC8" w:rsidRDefault="008430BD" w:rsidP="008430BD">
      <w:pPr>
        <w:pStyle w:val="OdstavecASR"/>
        <w:tabs>
          <w:tab w:val="left" w:pos="7655"/>
        </w:tabs>
        <w:rPr>
          <w:color w:val="000000" w:themeColor="text1"/>
        </w:rPr>
      </w:pPr>
      <w:r w:rsidRPr="001C3EC8">
        <w:rPr>
          <w:color w:val="000000" w:themeColor="text1"/>
        </w:rPr>
        <w:t xml:space="preserve">Míra odvolání v této agendě poklesla, </w:t>
      </w:r>
      <w:r w:rsidR="004B39C3" w:rsidRPr="001C3EC8">
        <w:rPr>
          <w:color w:val="000000" w:themeColor="text1"/>
        </w:rPr>
        <w:t>a</w:t>
      </w:r>
      <w:r w:rsidR="004B39C3">
        <w:rPr>
          <w:color w:val="000000" w:themeColor="text1"/>
        </w:rPr>
        <w:t> </w:t>
      </w:r>
      <w:r w:rsidRPr="001C3EC8">
        <w:rPr>
          <w:color w:val="000000" w:themeColor="text1"/>
        </w:rPr>
        <w:t xml:space="preserve">to </w:t>
      </w:r>
      <w:r w:rsidR="004B39C3" w:rsidRPr="001C3EC8">
        <w:rPr>
          <w:color w:val="000000" w:themeColor="text1"/>
        </w:rPr>
        <w:t>z</w:t>
      </w:r>
      <w:r w:rsidR="004B39C3">
        <w:rPr>
          <w:color w:val="000000" w:themeColor="text1"/>
        </w:rPr>
        <w:t> </w:t>
      </w:r>
      <w:r w:rsidRPr="001C3EC8">
        <w:rPr>
          <w:color w:val="000000" w:themeColor="text1"/>
        </w:rPr>
        <w:t xml:space="preserve">80 % na 71 %. To stále znamená, že ve více než </w:t>
      </w:r>
      <w:r w:rsidR="004B39C3" w:rsidRPr="001C3EC8">
        <w:rPr>
          <w:color w:val="000000" w:themeColor="text1"/>
        </w:rPr>
        <w:t>7</w:t>
      </w:r>
      <w:r w:rsidR="004B39C3">
        <w:rPr>
          <w:color w:val="000000" w:themeColor="text1"/>
        </w:rPr>
        <w:t xml:space="preserve"> </w:t>
      </w:r>
      <w:r w:rsidRPr="001C3EC8">
        <w:rPr>
          <w:color w:val="000000" w:themeColor="text1"/>
        </w:rPr>
        <w:t xml:space="preserve">z 10 vyřízených věcí je podáno odvolání proti konečnému rozhodnutí krajského soudu, což ale není překvapivé. Vzhledem k typu projednávaných věcí je pravidlem uložení delších nepodmíněných trestů odnětí svobody, což je spolu se zákazem </w:t>
      </w:r>
      <w:proofErr w:type="spellStart"/>
      <w:r w:rsidRPr="001C3EC8">
        <w:rPr>
          <w:i/>
          <w:color w:val="000000" w:themeColor="text1"/>
        </w:rPr>
        <w:t>reformatio</w:t>
      </w:r>
      <w:proofErr w:type="spellEnd"/>
      <w:r w:rsidRPr="001C3EC8">
        <w:rPr>
          <w:i/>
          <w:color w:val="000000" w:themeColor="text1"/>
        </w:rPr>
        <w:t xml:space="preserve"> in </w:t>
      </w:r>
      <w:proofErr w:type="spellStart"/>
      <w:r w:rsidRPr="001C3EC8">
        <w:rPr>
          <w:i/>
          <w:color w:val="000000" w:themeColor="text1"/>
        </w:rPr>
        <w:t>peius</w:t>
      </w:r>
      <w:proofErr w:type="spellEnd"/>
      <w:r w:rsidRPr="001C3EC8">
        <w:rPr>
          <w:color w:val="000000" w:themeColor="text1"/>
        </w:rPr>
        <w:t xml:space="preserve"> (změny rozhodnutí k horšímu) více než dostatečná motivace k odvolání se pachatele bez ohledu na výsledek. </w:t>
      </w:r>
      <w:r w:rsidR="004B39C3" w:rsidRPr="001C3EC8">
        <w:rPr>
          <w:color w:val="000000" w:themeColor="text1"/>
        </w:rPr>
        <w:t>V</w:t>
      </w:r>
      <w:r w:rsidR="004B39C3">
        <w:rPr>
          <w:color w:val="000000" w:themeColor="text1"/>
        </w:rPr>
        <w:t> </w:t>
      </w:r>
      <w:r w:rsidRPr="001C3EC8">
        <w:rPr>
          <w:color w:val="000000" w:themeColor="text1"/>
        </w:rPr>
        <w:t xml:space="preserve">rámci jednotlivých krajských soudů dochází každý rok ke kladným </w:t>
      </w:r>
      <w:r w:rsidR="004B39C3" w:rsidRPr="001C3EC8">
        <w:rPr>
          <w:color w:val="000000" w:themeColor="text1"/>
        </w:rPr>
        <w:t>i</w:t>
      </w:r>
      <w:r w:rsidR="004B39C3">
        <w:rPr>
          <w:color w:val="000000" w:themeColor="text1"/>
        </w:rPr>
        <w:t> </w:t>
      </w:r>
      <w:r w:rsidRPr="001C3EC8">
        <w:rPr>
          <w:color w:val="000000" w:themeColor="text1"/>
        </w:rPr>
        <w:t xml:space="preserve">záporným odchylkám, takže </w:t>
      </w:r>
      <w:r w:rsidR="004B39C3" w:rsidRPr="001C3EC8">
        <w:rPr>
          <w:color w:val="000000" w:themeColor="text1"/>
        </w:rPr>
        <w:t>i</w:t>
      </w:r>
      <w:r w:rsidR="004B39C3">
        <w:rPr>
          <w:color w:val="000000" w:themeColor="text1"/>
        </w:rPr>
        <w:t> </w:t>
      </w:r>
      <w:r w:rsidRPr="001C3EC8">
        <w:rPr>
          <w:color w:val="000000" w:themeColor="text1"/>
        </w:rPr>
        <w:t>když jsou změny v roce 2020 významné, hodnocení konkrétního roku není příliš vypovídající.</w:t>
      </w:r>
    </w:p>
    <w:p w14:paraId="2971D080" w14:textId="02D92794" w:rsidR="00F76987" w:rsidRPr="001C3EC8" w:rsidRDefault="00F76987" w:rsidP="008430BD">
      <w:pPr>
        <w:pStyle w:val="OdstavecASR"/>
        <w:tabs>
          <w:tab w:val="left" w:pos="7655"/>
        </w:tabs>
        <w:rPr>
          <w:b/>
          <w:color w:val="000000" w:themeColor="text1"/>
          <w:highlight w:val="yellow"/>
        </w:rPr>
      </w:pPr>
      <w:r w:rsidRPr="001C3EC8">
        <w:rPr>
          <w:b/>
          <w:color w:val="000000" w:themeColor="text1"/>
        </w:rPr>
        <w:t>Míra změny rozsudku</w:t>
      </w:r>
    </w:p>
    <w:p w14:paraId="73AFF7F2" w14:textId="5A2AAEC9" w:rsidR="008430BD" w:rsidRPr="001C3EC8" w:rsidRDefault="008430BD" w:rsidP="008430BD">
      <w:pPr>
        <w:pStyle w:val="Podnadpis"/>
        <w:rPr>
          <w:color w:val="000000" w:themeColor="text1"/>
        </w:rPr>
      </w:pPr>
      <w:bookmarkStart w:id="539" w:name="_Toc43931230"/>
      <w:bookmarkStart w:id="540" w:name="_Toc75952363"/>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60</w:t>
      </w:r>
      <w:r w:rsidRPr="001C3EC8">
        <w:rPr>
          <w:noProof/>
          <w:color w:val="000000" w:themeColor="text1"/>
        </w:rPr>
        <w:fldChar w:fldCharType="end"/>
      </w:r>
      <w:r w:rsidRPr="001C3EC8">
        <w:rPr>
          <w:color w:val="000000" w:themeColor="text1"/>
        </w:rPr>
        <w:t>: KS – míra změny rozsudku dle soudů v trestním řízení</w:t>
      </w:r>
      <w:bookmarkEnd w:id="539"/>
      <w:bookmarkEnd w:id="540"/>
    </w:p>
    <w:tbl>
      <w:tblPr>
        <w:tblW w:w="6980" w:type="dxa"/>
        <w:tblCellMar>
          <w:left w:w="70" w:type="dxa"/>
          <w:right w:w="70" w:type="dxa"/>
        </w:tblCellMar>
        <w:tblLook w:val="04A0" w:firstRow="1" w:lastRow="0" w:firstColumn="1" w:lastColumn="0" w:noHBand="0" w:noVBand="1"/>
      </w:tblPr>
      <w:tblGrid>
        <w:gridCol w:w="2780"/>
        <w:gridCol w:w="1661"/>
        <w:gridCol w:w="2539"/>
      </w:tblGrid>
      <w:tr w:rsidR="008430BD" w:rsidRPr="001C3EC8" w14:paraId="45D4FA36"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0C7F78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5270A0C8" w14:textId="19C1BA4C"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změny rozsudku (</w:t>
            </w:r>
            <w:r w:rsidR="004B39C3" w:rsidRPr="001C3EC8">
              <w:rPr>
                <w:rFonts w:eastAsia="Times New Roman"/>
                <w:b/>
                <w:bCs/>
                <w:color w:val="000000" w:themeColor="text1"/>
                <w:szCs w:val="24"/>
                <w:lang w:eastAsia="cs-CZ"/>
              </w:rPr>
              <w:t>v</w:t>
            </w:r>
            <w:r w:rsidR="004B39C3">
              <w:rPr>
                <w:rFonts w:eastAsia="Times New Roman"/>
                <w:b/>
                <w:bCs/>
                <w:color w:val="000000" w:themeColor="text1"/>
                <w:szCs w:val="24"/>
                <w:lang w:eastAsia="cs-CZ"/>
              </w:rPr>
              <w:t> </w:t>
            </w:r>
            <w:r w:rsidRPr="001C3EC8">
              <w:rPr>
                <w:rFonts w:eastAsia="Times New Roman"/>
                <w:b/>
                <w:bCs/>
                <w:color w:val="000000" w:themeColor="text1"/>
                <w:szCs w:val="24"/>
                <w:lang w:eastAsia="cs-CZ"/>
              </w:rPr>
              <w:t xml:space="preserve">%) </w:t>
            </w:r>
          </w:p>
        </w:tc>
      </w:tr>
      <w:tr w:rsidR="008430BD" w:rsidRPr="001C3EC8" w14:paraId="72D60863"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168FD67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661" w:type="dxa"/>
            <w:tcBorders>
              <w:top w:val="nil"/>
              <w:left w:val="nil"/>
              <w:bottom w:val="single" w:sz="4" w:space="0" w:color="auto"/>
              <w:right w:val="nil"/>
            </w:tcBorders>
            <w:shd w:val="clear" w:color="auto" w:fill="auto"/>
            <w:noWrap/>
            <w:vAlign w:val="bottom"/>
            <w:hideMark/>
          </w:tcPr>
          <w:p w14:paraId="2724505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40,14</w:t>
            </w:r>
          </w:p>
        </w:tc>
        <w:tc>
          <w:tcPr>
            <w:tcW w:w="2539" w:type="dxa"/>
            <w:tcBorders>
              <w:top w:val="nil"/>
              <w:left w:val="nil"/>
              <w:bottom w:val="single" w:sz="4" w:space="0" w:color="auto"/>
              <w:right w:val="nil"/>
            </w:tcBorders>
            <w:shd w:val="clear" w:color="auto" w:fill="auto"/>
            <w:noWrap/>
            <w:vAlign w:val="center"/>
            <w:hideMark/>
          </w:tcPr>
          <w:p w14:paraId="372A74F7" w14:textId="707D514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-9.</w:t>
            </w:r>
            <w:r w:rsidR="004B39C3" w:rsidRPr="001C3EC8">
              <w:rPr>
                <w:rFonts w:eastAsia="Times New Roman"/>
                <w:color w:val="000000" w:themeColor="text1"/>
                <w:sz w:val="20"/>
                <w:szCs w:val="20"/>
                <w:lang w:eastAsia="cs-CZ"/>
              </w:rPr>
              <w:t>9</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0604D5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180CA3F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661" w:type="dxa"/>
            <w:tcBorders>
              <w:top w:val="nil"/>
              <w:left w:val="nil"/>
              <w:bottom w:val="single" w:sz="4" w:space="0" w:color="auto"/>
              <w:right w:val="nil"/>
            </w:tcBorders>
            <w:shd w:val="clear" w:color="auto" w:fill="auto"/>
            <w:noWrap/>
            <w:vAlign w:val="bottom"/>
            <w:hideMark/>
          </w:tcPr>
          <w:p w14:paraId="37FA36A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61,54</w:t>
            </w:r>
          </w:p>
        </w:tc>
        <w:tc>
          <w:tcPr>
            <w:tcW w:w="2539" w:type="dxa"/>
            <w:tcBorders>
              <w:top w:val="nil"/>
              <w:left w:val="nil"/>
              <w:bottom w:val="single" w:sz="4" w:space="0" w:color="auto"/>
              <w:right w:val="nil"/>
            </w:tcBorders>
            <w:shd w:val="clear" w:color="auto" w:fill="auto"/>
            <w:noWrap/>
            <w:vAlign w:val="center"/>
            <w:hideMark/>
          </w:tcPr>
          <w:p w14:paraId="150EB5C7" w14:textId="7D6B1E6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+12.</w:t>
            </w:r>
            <w:r w:rsidR="004B39C3" w:rsidRPr="001C3EC8">
              <w:rPr>
                <w:rFonts w:eastAsia="Times New Roman"/>
                <w:color w:val="000000" w:themeColor="text1"/>
                <w:sz w:val="20"/>
                <w:szCs w:val="20"/>
                <w:lang w:eastAsia="cs-CZ"/>
              </w:rPr>
              <w:t>5</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725E34C8"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984B9D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661" w:type="dxa"/>
            <w:tcBorders>
              <w:top w:val="nil"/>
              <w:left w:val="nil"/>
              <w:bottom w:val="single" w:sz="4" w:space="0" w:color="auto"/>
              <w:right w:val="nil"/>
            </w:tcBorders>
            <w:shd w:val="clear" w:color="auto" w:fill="auto"/>
            <w:noWrap/>
            <w:vAlign w:val="bottom"/>
            <w:hideMark/>
          </w:tcPr>
          <w:p w14:paraId="33DAF5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69,05</w:t>
            </w:r>
          </w:p>
        </w:tc>
        <w:tc>
          <w:tcPr>
            <w:tcW w:w="2539" w:type="dxa"/>
            <w:tcBorders>
              <w:top w:val="nil"/>
              <w:left w:val="nil"/>
              <w:bottom w:val="single" w:sz="4" w:space="0" w:color="auto"/>
              <w:right w:val="nil"/>
            </w:tcBorders>
            <w:shd w:val="clear" w:color="auto" w:fill="auto"/>
            <w:noWrap/>
            <w:vAlign w:val="center"/>
            <w:hideMark/>
          </w:tcPr>
          <w:p w14:paraId="71F8D708" w14:textId="35192A6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-6.</w:t>
            </w:r>
            <w:r w:rsidR="004B39C3" w:rsidRPr="001C3EC8">
              <w:rPr>
                <w:rFonts w:eastAsia="Times New Roman"/>
                <w:color w:val="000000" w:themeColor="text1"/>
                <w:sz w:val="20"/>
                <w:szCs w:val="20"/>
                <w:lang w:eastAsia="cs-CZ"/>
              </w:rPr>
              <w:t>0</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375B6EF"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31BC5A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661" w:type="dxa"/>
            <w:tcBorders>
              <w:top w:val="nil"/>
              <w:left w:val="nil"/>
              <w:bottom w:val="single" w:sz="4" w:space="0" w:color="auto"/>
              <w:right w:val="nil"/>
            </w:tcBorders>
            <w:shd w:val="clear" w:color="auto" w:fill="auto"/>
            <w:noWrap/>
            <w:vAlign w:val="bottom"/>
            <w:hideMark/>
          </w:tcPr>
          <w:p w14:paraId="7B799DC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39,68</w:t>
            </w:r>
          </w:p>
        </w:tc>
        <w:tc>
          <w:tcPr>
            <w:tcW w:w="2539" w:type="dxa"/>
            <w:tcBorders>
              <w:top w:val="nil"/>
              <w:left w:val="nil"/>
              <w:bottom w:val="single" w:sz="4" w:space="0" w:color="auto"/>
              <w:right w:val="nil"/>
            </w:tcBorders>
            <w:shd w:val="clear" w:color="auto" w:fill="auto"/>
            <w:noWrap/>
            <w:vAlign w:val="center"/>
            <w:hideMark/>
          </w:tcPr>
          <w:p w14:paraId="03A60761" w14:textId="564CCB2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w:t>
            </w:r>
            <w:r w:rsidR="004B39C3" w:rsidRPr="001C3EC8">
              <w:rPr>
                <w:rFonts w:eastAsia="Times New Roman"/>
                <w:color w:val="000000" w:themeColor="text1"/>
                <w:sz w:val="20"/>
                <w:szCs w:val="20"/>
                <w:lang w:eastAsia="cs-CZ"/>
              </w:rPr>
              <w:t>8</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47A897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5F7A62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661" w:type="dxa"/>
            <w:tcBorders>
              <w:top w:val="nil"/>
              <w:left w:val="nil"/>
              <w:bottom w:val="single" w:sz="4" w:space="0" w:color="auto"/>
              <w:right w:val="nil"/>
            </w:tcBorders>
            <w:shd w:val="clear" w:color="auto" w:fill="auto"/>
            <w:noWrap/>
            <w:vAlign w:val="bottom"/>
            <w:hideMark/>
          </w:tcPr>
          <w:p w14:paraId="28ACCF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51,85</w:t>
            </w:r>
          </w:p>
        </w:tc>
        <w:tc>
          <w:tcPr>
            <w:tcW w:w="2539" w:type="dxa"/>
            <w:tcBorders>
              <w:top w:val="nil"/>
              <w:left w:val="nil"/>
              <w:bottom w:val="single" w:sz="4" w:space="0" w:color="auto"/>
              <w:right w:val="nil"/>
            </w:tcBorders>
            <w:shd w:val="clear" w:color="auto" w:fill="auto"/>
            <w:noWrap/>
            <w:vAlign w:val="center"/>
            <w:hideMark/>
          </w:tcPr>
          <w:p w14:paraId="088FECC2" w14:textId="73E41E2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-4.</w:t>
            </w:r>
            <w:r w:rsidR="004B39C3" w:rsidRPr="001C3EC8">
              <w:rPr>
                <w:rFonts w:eastAsia="Times New Roman"/>
                <w:color w:val="000000" w:themeColor="text1"/>
                <w:sz w:val="20"/>
                <w:szCs w:val="20"/>
                <w:lang w:eastAsia="cs-CZ"/>
              </w:rPr>
              <w:t>3</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51F5B3CD"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BF7B26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661" w:type="dxa"/>
            <w:tcBorders>
              <w:top w:val="nil"/>
              <w:left w:val="nil"/>
              <w:bottom w:val="single" w:sz="4" w:space="0" w:color="auto"/>
              <w:right w:val="nil"/>
            </w:tcBorders>
            <w:shd w:val="clear" w:color="auto" w:fill="auto"/>
            <w:noWrap/>
            <w:vAlign w:val="bottom"/>
            <w:hideMark/>
          </w:tcPr>
          <w:p w14:paraId="2883168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47,44</w:t>
            </w:r>
          </w:p>
        </w:tc>
        <w:tc>
          <w:tcPr>
            <w:tcW w:w="2539" w:type="dxa"/>
            <w:tcBorders>
              <w:top w:val="nil"/>
              <w:left w:val="nil"/>
              <w:bottom w:val="single" w:sz="4" w:space="0" w:color="auto"/>
              <w:right w:val="nil"/>
            </w:tcBorders>
            <w:shd w:val="clear" w:color="auto" w:fill="auto"/>
            <w:noWrap/>
            <w:vAlign w:val="center"/>
            <w:hideMark/>
          </w:tcPr>
          <w:p w14:paraId="4803B9A4" w14:textId="026CEE5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w:t>
            </w:r>
            <w:r w:rsidR="004B39C3" w:rsidRPr="001C3EC8">
              <w:rPr>
                <w:rFonts w:eastAsia="Times New Roman"/>
                <w:color w:val="000000" w:themeColor="text1"/>
                <w:sz w:val="20"/>
                <w:szCs w:val="20"/>
                <w:lang w:eastAsia="cs-CZ"/>
              </w:rPr>
              <w:t>2</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6ADA22A8"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9FF968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661" w:type="dxa"/>
            <w:tcBorders>
              <w:top w:val="nil"/>
              <w:left w:val="nil"/>
              <w:bottom w:val="single" w:sz="4" w:space="0" w:color="auto"/>
              <w:right w:val="nil"/>
            </w:tcBorders>
            <w:shd w:val="clear" w:color="auto" w:fill="auto"/>
            <w:noWrap/>
            <w:vAlign w:val="bottom"/>
            <w:hideMark/>
          </w:tcPr>
          <w:p w14:paraId="3D3F088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50,00</w:t>
            </w:r>
          </w:p>
        </w:tc>
        <w:tc>
          <w:tcPr>
            <w:tcW w:w="2539" w:type="dxa"/>
            <w:tcBorders>
              <w:top w:val="nil"/>
              <w:left w:val="nil"/>
              <w:bottom w:val="single" w:sz="4" w:space="0" w:color="auto"/>
              <w:right w:val="nil"/>
            </w:tcBorders>
            <w:shd w:val="clear" w:color="auto" w:fill="auto"/>
            <w:noWrap/>
            <w:vAlign w:val="center"/>
            <w:hideMark/>
          </w:tcPr>
          <w:p w14:paraId="3636AEBC" w14:textId="40A21DE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-0.</w:t>
            </w:r>
            <w:r w:rsidR="004B39C3" w:rsidRPr="001C3EC8">
              <w:rPr>
                <w:rFonts w:eastAsia="Times New Roman"/>
                <w:color w:val="000000" w:themeColor="text1"/>
                <w:sz w:val="20"/>
                <w:szCs w:val="20"/>
                <w:lang w:eastAsia="cs-CZ"/>
              </w:rPr>
              <w:t>9</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78046BF"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4D70885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661" w:type="dxa"/>
            <w:tcBorders>
              <w:top w:val="nil"/>
              <w:left w:val="nil"/>
              <w:bottom w:val="double" w:sz="6" w:space="0" w:color="auto"/>
              <w:right w:val="nil"/>
            </w:tcBorders>
            <w:shd w:val="clear" w:color="auto" w:fill="auto"/>
            <w:noWrap/>
            <w:vAlign w:val="bottom"/>
            <w:hideMark/>
          </w:tcPr>
          <w:p w14:paraId="712BF8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40,77</w:t>
            </w:r>
          </w:p>
        </w:tc>
        <w:tc>
          <w:tcPr>
            <w:tcW w:w="2539" w:type="dxa"/>
            <w:tcBorders>
              <w:top w:val="nil"/>
              <w:left w:val="nil"/>
              <w:bottom w:val="nil"/>
              <w:right w:val="nil"/>
            </w:tcBorders>
            <w:shd w:val="clear" w:color="auto" w:fill="auto"/>
            <w:noWrap/>
            <w:vAlign w:val="center"/>
            <w:hideMark/>
          </w:tcPr>
          <w:p w14:paraId="3EEFFB16" w14:textId="79EEC39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w:t>
            </w:r>
            <w:r w:rsidR="004B39C3" w:rsidRPr="001C3EC8">
              <w:rPr>
                <w:rFonts w:eastAsia="Times New Roman"/>
                <w:color w:val="000000" w:themeColor="text1"/>
                <w:sz w:val="20"/>
                <w:szCs w:val="20"/>
                <w:lang w:eastAsia="cs-CZ"/>
              </w:rPr>
              <w:t>3</w:t>
            </w:r>
            <w:r w:rsidR="004B39C3">
              <w:rPr>
                <w:rFonts w:eastAsia="Times New Roman"/>
                <w:color w:val="000000" w:themeColor="text1"/>
                <w:sz w:val="20"/>
                <w:szCs w:val="20"/>
                <w:lang w:eastAsia="cs-CZ"/>
              </w:rPr>
              <w:t> </w:t>
            </w:r>
            <w:proofErr w:type="spellStart"/>
            <w:r w:rsidRPr="001C3EC8">
              <w:rPr>
                <w:rFonts w:eastAsia="Times New Roman"/>
                <w:color w:val="000000" w:themeColor="text1"/>
                <w:sz w:val="20"/>
                <w:szCs w:val="20"/>
                <w:lang w:eastAsia="cs-CZ"/>
              </w:rPr>
              <w:t>p.b</w:t>
            </w:r>
            <w:proofErr w:type="spellEnd"/>
            <w:r w:rsidRPr="001C3EC8">
              <w:rPr>
                <w:rFonts w:eastAsia="Times New Roman"/>
                <w:color w:val="000000" w:themeColor="text1"/>
                <w:sz w:val="20"/>
                <w:szCs w:val="20"/>
                <w:lang w:eastAsia="cs-CZ"/>
              </w:rPr>
              <w:t>.</w:t>
            </w:r>
          </w:p>
        </w:tc>
      </w:tr>
      <w:tr w:rsidR="008430BD" w:rsidRPr="001C3EC8" w14:paraId="113D1A3A"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2F26D95E"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661" w:type="dxa"/>
            <w:tcBorders>
              <w:top w:val="nil"/>
              <w:left w:val="nil"/>
              <w:bottom w:val="double" w:sz="6" w:space="0" w:color="auto"/>
              <w:right w:val="nil"/>
            </w:tcBorders>
            <w:shd w:val="clear" w:color="auto" w:fill="auto"/>
            <w:noWrap/>
            <w:vAlign w:val="bottom"/>
            <w:hideMark/>
          </w:tcPr>
          <w:p w14:paraId="006DA5A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46,32</w:t>
            </w:r>
          </w:p>
        </w:tc>
        <w:tc>
          <w:tcPr>
            <w:tcW w:w="2539" w:type="dxa"/>
            <w:tcBorders>
              <w:top w:val="double" w:sz="6" w:space="0" w:color="auto"/>
              <w:left w:val="nil"/>
              <w:bottom w:val="double" w:sz="6" w:space="0" w:color="auto"/>
              <w:right w:val="nil"/>
            </w:tcBorders>
            <w:shd w:val="clear" w:color="auto" w:fill="auto"/>
            <w:noWrap/>
            <w:vAlign w:val="center"/>
            <w:hideMark/>
          </w:tcPr>
          <w:p w14:paraId="097965A5" w14:textId="646F32B4"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-4.</w:t>
            </w:r>
            <w:r w:rsidR="004B39C3" w:rsidRPr="001C3EC8">
              <w:rPr>
                <w:rFonts w:eastAsia="Times New Roman"/>
                <w:b/>
                <w:bCs/>
                <w:color w:val="000000" w:themeColor="text1"/>
                <w:sz w:val="20"/>
                <w:szCs w:val="20"/>
                <w:lang w:eastAsia="cs-CZ"/>
              </w:rPr>
              <w:t>2</w:t>
            </w:r>
            <w:r w:rsidR="004B39C3">
              <w:rPr>
                <w:rFonts w:eastAsia="Times New Roman"/>
                <w:b/>
                <w:bCs/>
                <w:color w:val="000000" w:themeColor="text1"/>
                <w:sz w:val="20"/>
                <w:szCs w:val="20"/>
                <w:lang w:eastAsia="cs-CZ"/>
              </w:rPr>
              <w:t> </w:t>
            </w:r>
            <w:proofErr w:type="spellStart"/>
            <w:r w:rsidRPr="001C3EC8">
              <w:rPr>
                <w:rFonts w:eastAsia="Times New Roman"/>
                <w:b/>
                <w:bCs/>
                <w:color w:val="000000" w:themeColor="text1"/>
                <w:sz w:val="20"/>
                <w:szCs w:val="20"/>
                <w:lang w:eastAsia="cs-CZ"/>
              </w:rPr>
              <w:t>p.b</w:t>
            </w:r>
            <w:proofErr w:type="spellEnd"/>
            <w:r w:rsidRPr="001C3EC8">
              <w:rPr>
                <w:rFonts w:eastAsia="Times New Roman"/>
                <w:b/>
                <w:bCs/>
                <w:color w:val="000000" w:themeColor="text1"/>
                <w:sz w:val="20"/>
                <w:szCs w:val="20"/>
                <w:lang w:eastAsia="cs-CZ"/>
              </w:rPr>
              <w:t>.</w:t>
            </w:r>
          </w:p>
        </w:tc>
      </w:tr>
    </w:tbl>
    <w:p w14:paraId="7023D349" w14:textId="77777777" w:rsidR="008430BD" w:rsidRPr="001C3EC8" w:rsidRDefault="008430BD" w:rsidP="008430BD">
      <w:pPr>
        <w:spacing w:line="240" w:lineRule="auto"/>
        <w:jc w:val="left"/>
        <w:rPr>
          <w:color w:val="000000" w:themeColor="text1"/>
        </w:rPr>
      </w:pPr>
    </w:p>
    <w:p w14:paraId="296D8029" w14:textId="14E621D5" w:rsidR="008430BD" w:rsidRPr="001C3EC8" w:rsidRDefault="008430BD" w:rsidP="008430BD">
      <w:pPr>
        <w:pStyle w:val="OdstavecASR"/>
        <w:rPr>
          <w:color w:val="000000" w:themeColor="text1"/>
          <w:highlight w:val="yellow"/>
        </w:rPr>
      </w:pPr>
      <w:r w:rsidRPr="001C3EC8">
        <w:rPr>
          <w:color w:val="000000" w:themeColor="text1"/>
        </w:rPr>
        <w:t>Míra změny rozsudku je také vyšší než u okresních soudů – přibližně</w:t>
      </w:r>
      <w:r w:rsidR="004B39C3">
        <w:rPr>
          <w:color w:val="000000" w:themeColor="text1"/>
        </w:rPr>
        <w:t xml:space="preserve"> </w:t>
      </w:r>
      <w:r w:rsidR="004B39C3" w:rsidRPr="001C3EC8">
        <w:rPr>
          <w:color w:val="000000" w:themeColor="text1"/>
        </w:rPr>
        <w:t>o</w:t>
      </w:r>
      <w:r w:rsidR="004B39C3">
        <w:rPr>
          <w:color w:val="000000" w:themeColor="text1"/>
        </w:rPr>
        <w:t> </w:t>
      </w:r>
      <w:proofErr w:type="gramStart"/>
      <w:r w:rsidRPr="001C3EC8">
        <w:rPr>
          <w:color w:val="000000" w:themeColor="text1"/>
        </w:rPr>
        <w:t>16 procentních</w:t>
      </w:r>
      <w:proofErr w:type="gramEnd"/>
      <w:r w:rsidRPr="001C3EC8">
        <w:rPr>
          <w:color w:val="000000" w:themeColor="text1"/>
        </w:rPr>
        <w:t xml:space="preserve"> bodů v roce 2017, cca </w:t>
      </w:r>
      <w:r w:rsidR="004B39C3" w:rsidRPr="001C3EC8">
        <w:rPr>
          <w:color w:val="000000" w:themeColor="text1"/>
        </w:rPr>
        <w:t>o</w:t>
      </w:r>
      <w:r w:rsidR="004B39C3">
        <w:rPr>
          <w:color w:val="000000" w:themeColor="text1"/>
        </w:rPr>
        <w:t> </w:t>
      </w:r>
      <w:r w:rsidR="004B39C3" w:rsidRPr="001C3EC8">
        <w:rPr>
          <w:color w:val="000000" w:themeColor="text1"/>
        </w:rPr>
        <w:t>8</w:t>
      </w:r>
      <w:r w:rsidR="004B39C3">
        <w:rPr>
          <w:color w:val="000000" w:themeColor="text1"/>
        </w:rPr>
        <w:t> </w:t>
      </w:r>
      <w:r w:rsidRPr="001C3EC8">
        <w:rPr>
          <w:color w:val="000000" w:themeColor="text1"/>
        </w:rPr>
        <w:t xml:space="preserve">procentních bodů v roce 2018, asi </w:t>
      </w:r>
      <w:r w:rsidR="004B39C3" w:rsidRPr="001C3EC8">
        <w:rPr>
          <w:color w:val="000000" w:themeColor="text1"/>
        </w:rPr>
        <w:t>o</w:t>
      </w:r>
      <w:r w:rsidR="004B39C3">
        <w:rPr>
          <w:color w:val="000000" w:themeColor="text1"/>
        </w:rPr>
        <w:t> </w:t>
      </w:r>
      <w:r w:rsidRPr="001C3EC8">
        <w:rPr>
          <w:color w:val="000000" w:themeColor="text1"/>
        </w:rPr>
        <w:t xml:space="preserve">10 procentních bodů v roce 2019 </w:t>
      </w:r>
      <w:r w:rsidR="004B39C3" w:rsidRPr="001C3EC8">
        <w:rPr>
          <w:color w:val="000000" w:themeColor="text1"/>
        </w:rPr>
        <w:t>a</w:t>
      </w:r>
      <w:r w:rsidR="004B39C3">
        <w:rPr>
          <w:color w:val="000000" w:themeColor="text1"/>
        </w:rPr>
        <w:t> </w:t>
      </w:r>
      <w:r w:rsidRPr="001C3EC8">
        <w:rPr>
          <w:color w:val="000000" w:themeColor="text1"/>
        </w:rPr>
        <w:t xml:space="preserve">pouze </w:t>
      </w:r>
      <w:r w:rsidR="004B39C3" w:rsidRPr="001C3EC8">
        <w:rPr>
          <w:color w:val="000000" w:themeColor="text1"/>
        </w:rPr>
        <w:t>o</w:t>
      </w:r>
      <w:r w:rsidR="004B39C3">
        <w:rPr>
          <w:color w:val="000000" w:themeColor="text1"/>
        </w:rPr>
        <w:t> </w:t>
      </w:r>
      <w:r w:rsidRPr="001C3EC8">
        <w:rPr>
          <w:color w:val="000000" w:themeColor="text1"/>
        </w:rPr>
        <w:t xml:space="preserve">necelých </w:t>
      </w:r>
      <w:r w:rsidR="004B39C3" w:rsidRPr="001C3EC8">
        <w:rPr>
          <w:color w:val="000000" w:themeColor="text1"/>
        </w:rPr>
        <w:t>6</w:t>
      </w:r>
      <w:r w:rsidR="004B39C3">
        <w:rPr>
          <w:color w:val="000000" w:themeColor="text1"/>
        </w:rPr>
        <w:t> </w:t>
      </w:r>
      <w:r w:rsidRPr="001C3EC8">
        <w:rPr>
          <w:color w:val="000000" w:themeColor="text1"/>
        </w:rPr>
        <w:t xml:space="preserve">procentních bodů v roce 2020. Míra změny rozsudku za ČR se zdá na první pohled vysoká. Je ale třeba vzít v úvahu závažnost a složitost projednávaných věcí (jedná se o velmi vysoké </w:t>
      </w:r>
      <w:r w:rsidRPr="001C3EC8">
        <w:rPr>
          <w:color w:val="000000" w:themeColor="text1"/>
        </w:rPr>
        <w:lastRenderedPageBreak/>
        <w:t>tresty odnětí svobody a komplikovanou trestnou činnost). Vrchní soudy také často pouze změní výši uloženého trestu nebo věc vrátí krajským soudům k novému projednání.</w:t>
      </w:r>
    </w:p>
    <w:p w14:paraId="68DA5EA9" w14:textId="77777777" w:rsidR="008430BD" w:rsidRPr="001C3EC8" w:rsidRDefault="008430BD" w:rsidP="008430BD">
      <w:pPr>
        <w:pStyle w:val="OdstavecASR"/>
        <w:rPr>
          <w:color w:val="000000" w:themeColor="text1"/>
        </w:rPr>
      </w:pPr>
      <w:r w:rsidRPr="001C3EC8">
        <w:rPr>
          <w:color w:val="000000" w:themeColor="text1"/>
        </w:rPr>
        <w:t>Jak již bylo řečeno výše, opět se potvrzuje, že meziroční změny v míře celkové změny rozsudku nemají příliš velkou vypovídající hodnotu. Pro úplnost však toto srovnání provádíme.</w:t>
      </w:r>
    </w:p>
    <w:p w14:paraId="1C6E7B53" w14:textId="77777777" w:rsidR="008430BD" w:rsidRPr="001C3EC8" w:rsidRDefault="008430BD" w:rsidP="008430BD">
      <w:pPr>
        <w:pStyle w:val="OdstavecASR"/>
        <w:rPr>
          <w:color w:val="000000" w:themeColor="text1"/>
        </w:rPr>
      </w:pPr>
      <w:r w:rsidRPr="001C3EC8">
        <w:rPr>
          <w:color w:val="000000" w:themeColor="text1"/>
        </w:rPr>
        <w:t>Míra celkové změny rozsudku počítaná jako [(míra odvolání × míra změny rozsudku) / 100] se za celou ČR v posledních pěti letech pohybovala následovně:</w:t>
      </w:r>
    </w:p>
    <w:p w14:paraId="557DD147" w14:textId="77777777" w:rsidR="008430BD" w:rsidRPr="001C3EC8" w:rsidRDefault="008430BD" w:rsidP="008430BD">
      <w:pPr>
        <w:pStyle w:val="OdstavecASR"/>
        <w:rPr>
          <w:color w:val="000000" w:themeColor="text1"/>
        </w:rPr>
      </w:pPr>
      <w:r w:rsidRPr="001C3EC8">
        <w:rPr>
          <w:color w:val="000000" w:themeColor="text1"/>
        </w:rPr>
        <w:t>2016: 74,10 % × 54,96 % </w:t>
      </w:r>
      <w:r w:rsidRPr="001C3EC8">
        <w:rPr>
          <w:rFonts w:ascii="Cambria Math" w:hAnsi="Cambria Math" w:cs="Cambria Math"/>
          <w:color w:val="000000" w:themeColor="text1"/>
        </w:rPr>
        <w:t>≐</w:t>
      </w:r>
      <w:r w:rsidRPr="001C3EC8">
        <w:rPr>
          <w:color w:val="000000" w:themeColor="text1"/>
        </w:rPr>
        <w:t xml:space="preserve"> 40,73 %</w:t>
      </w:r>
    </w:p>
    <w:p w14:paraId="56D27E7D" w14:textId="77777777" w:rsidR="008430BD" w:rsidRPr="001C3EC8" w:rsidRDefault="008430BD" w:rsidP="008430BD">
      <w:pPr>
        <w:pStyle w:val="OdstavecASR"/>
        <w:rPr>
          <w:color w:val="000000" w:themeColor="text1"/>
        </w:rPr>
      </w:pPr>
      <w:r w:rsidRPr="001C3EC8">
        <w:rPr>
          <w:color w:val="000000" w:themeColor="text1"/>
        </w:rPr>
        <w:t>2017: 77,85 % × 58,44 % </w:t>
      </w:r>
      <w:r w:rsidRPr="001C3EC8">
        <w:rPr>
          <w:rFonts w:ascii="Cambria Math" w:hAnsi="Cambria Math" w:cs="Cambria Math"/>
          <w:color w:val="000000" w:themeColor="text1"/>
        </w:rPr>
        <w:t>≐</w:t>
      </w:r>
      <w:r w:rsidRPr="001C3EC8">
        <w:rPr>
          <w:color w:val="000000" w:themeColor="text1"/>
        </w:rPr>
        <w:t xml:space="preserve"> 45,50 %</w:t>
      </w:r>
    </w:p>
    <w:p w14:paraId="644B5840" w14:textId="77777777" w:rsidR="008430BD" w:rsidRPr="001C3EC8" w:rsidRDefault="008430BD" w:rsidP="008430BD">
      <w:pPr>
        <w:pStyle w:val="OdstavecASR"/>
        <w:rPr>
          <w:color w:val="000000" w:themeColor="text1"/>
        </w:rPr>
      </w:pPr>
      <w:r w:rsidRPr="001C3EC8">
        <w:rPr>
          <w:color w:val="000000" w:themeColor="text1"/>
        </w:rPr>
        <w:t>2018: 72,81 % × 50,01 % </w:t>
      </w:r>
      <w:r w:rsidRPr="001C3EC8">
        <w:rPr>
          <w:rFonts w:ascii="Cambria Math" w:hAnsi="Cambria Math" w:cs="Cambria Math"/>
          <w:color w:val="000000" w:themeColor="text1"/>
        </w:rPr>
        <w:t>≐</w:t>
      </w:r>
      <w:r w:rsidRPr="001C3EC8">
        <w:rPr>
          <w:color w:val="000000" w:themeColor="text1"/>
        </w:rPr>
        <w:t xml:space="preserve"> 36,41 %</w:t>
      </w:r>
    </w:p>
    <w:p w14:paraId="39857D18" w14:textId="77777777" w:rsidR="008430BD" w:rsidRPr="001C3EC8" w:rsidRDefault="008430BD" w:rsidP="008430BD">
      <w:pPr>
        <w:pStyle w:val="OdstavecASR"/>
        <w:rPr>
          <w:color w:val="000000" w:themeColor="text1"/>
        </w:rPr>
      </w:pPr>
      <w:r w:rsidRPr="001C3EC8">
        <w:rPr>
          <w:color w:val="000000" w:themeColor="text1"/>
        </w:rPr>
        <w:t>2019: 79,90 % × 50,52 % </w:t>
      </w:r>
      <w:r w:rsidRPr="001C3EC8">
        <w:rPr>
          <w:rFonts w:ascii="Cambria Math" w:hAnsi="Cambria Math" w:cs="Cambria Math"/>
          <w:color w:val="000000" w:themeColor="text1"/>
        </w:rPr>
        <w:t>≐</w:t>
      </w:r>
      <w:r w:rsidRPr="001C3EC8">
        <w:rPr>
          <w:color w:val="000000" w:themeColor="text1"/>
        </w:rPr>
        <w:t xml:space="preserve"> 40,37 %</w:t>
      </w:r>
    </w:p>
    <w:p w14:paraId="511CE67F" w14:textId="159C1536" w:rsidR="008430BD" w:rsidRPr="001C3EC8" w:rsidRDefault="008430BD" w:rsidP="008430BD">
      <w:pPr>
        <w:pStyle w:val="OdstavecASR"/>
        <w:rPr>
          <w:color w:val="000000" w:themeColor="text1"/>
        </w:rPr>
      </w:pPr>
      <w:r w:rsidRPr="001C3EC8">
        <w:rPr>
          <w:color w:val="000000" w:themeColor="text1"/>
        </w:rPr>
        <w:t>2020: 71,29 % × 46,32 % </w:t>
      </w:r>
      <w:r w:rsidRPr="001C3EC8">
        <w:rPr>
          <w:rFonts w:ascii="Cambria Math" w:hAnsi="Cambria Math" w:cs="Cambria Math"/>
          <w:color w:val="000000" w:themeColor="text1"/>
        </w:rPr>
        <w:t>≐</w:t>
      </w:r>
      <w:r w:rsidRPr="001C3EC8">
        <w:rPr>
          <w:color w:val="000000" w:themeColor="text1"/>
        </w:rPr>
        <w:t xml:space="preserve"> 33,02 %</w:t>
      </w:r>
    </w:p>
    <w:p w14:paraId="1FE6838C" w14:textId="0E2197B7" w:rsidR="00F76987" w:rsidRPr="001C3EC8" w:rsidRDefault="00F76987" w:rsidP="008430BD">
      <w:pPr>
        <w:pStyle w:val="OdstavecASR"/>
        <w:rPr>
          <w:b/>
          <w:color w:val="000000" w:themeColor="text1"/>
        </w:rPr>
      </w:pPr>
      <w:r w:rsidRPr="001C3EC8">
        <w:rPr>
          <w:b/>
          <w:color w:val="000000" w:themeColor="text1"/>
        </w:rPr>
        <w:t>Přepočet na obyvatele</w:t>
      </w:r>
    </w:p>
    <w:p w14:paraId="5CC37BBD" w14:textId="1D8BE9E0" w:rsidR="008430BD" w:rsidRPr="001C3EC8" w:rsidRDefault="008430BD" w:rsidP="008430BD">
      <w:pPr>
        <w:pStyle w:val="OdstavecASR"/>
        <w:rPr>
          <w:color w:val="000000" w:themeColor="text1"/>
        </w:rPr>
      </w:pPr>
      <w:r w:rsidRPr="001C3EC8">
        <w:rPr>
          <w:color w:val="000000" w:themeColor="text1"/>
        </w:rPr>
        <w:t xml:space="preserve">Stejně jako </w:t>
      </w:r>
      <w:r w:rsidR="004B39C3" w:rsidRPr="001C3EC8">
        <w:rPr>
          <w:color w:val="000000" w:themeColor="text1"/>
        </w:rPr>
        <w:t>u</w:t>
      </w:r>
      <w:r w:rsidR="004B39C3">
        <w:rPr>
          <w:color w:val="000000" w:themeColor="text1"/>
        </w:rPr>
        <w:t> </w:t>
      </w:r>
      <w:r w:rsidRPr="001C3EC8">
        <w:rPr>
          <w:color w:val="000000" w:themeColor="text1"/>
        </w:rPr>
        <w:t xml:space="preserve">OS jako další statistiku uvádíme </w:t>
      </w:r>
      <w:r w:rsidR="003A2AD4" w:rsidRPr="001C3EC8">
        <w:rPr>
          <w:color w:val="000000" w:themeColor="text1"/>
        </w:rPr>
        <w:t>pře</w:t>
      </w:r>
      <w:r w:rsidRPr="001C3EC8">
        <w:rPr>
          <w:color w:val="000000" w:themeColor="text1"/>
        </w:rPr>
        <w:t>počet odsouzených na obyvatel</w:t>
      </w:r>
      <w:r w:rsidR="003A2AD4" w:rsidRPr="001C3EC8">
        <w:rPr>
          <w:color w:val="000000" w:themeColor="text1"/>
        </w:rPr>
        <w:t>e</w:t>
      </w:r>
      <w:r w:rsidRPr="001C3EC8">
        <w:rPr>
          <w:color w:val="000000" w:themeColor="text1"/>
        </w:rPr>
        <w:t>. Vzhledem k menšímu počtu odsouzených přepočítá</w:t>
      </w:r>
      <w:r w:rsidR="003A2AD4" w:rsidRPr="001C3EC8">
        <w:rPr>
          <w:color w:val="000000" w:themeColor="text1"/>
        </w:rPr>
        <w:t>vá</w:t>
      </w:r>
      <w:r w:rsidRPr="001C3EC8">
        <w:rPr>
          <w:color w:val="000000" w:themeColor="text1"/>
        </w:rPr>
        <w:t>me počet odsouzených na 100 000 obyvatel</w:t>
      </w:r>
      <w:r w:rsidR="003A2AD4" w:rsidRPr="001C3EC8">
        <w:rPr>
          <w:color w:val="000000" w:themeColor="text1"/>
        </w:rPr>
        <w:t xml:space="preserve">, nikoliv </w:t>
      </w:r>
      <w:r w:rsidRPr="001C3EC8">
        <w:rPr>
          <w:color w:val="000000" w:themeColor="text1"/>
        </w:rPr>
        <w:t xml:space="preserve">na 1 000 obyvatel jako </w:t>
      </w:r>
      <w:r w:rsidR="004B39C3" w:rsidRPr="001C3EC8">
        <w:rPr>
          <w:color w:val="000000" w:themeColor="text1"/>
        </w:rPr>
        <w:t>u</w:t>
      </w:r>
      <w:r w:rsidR="004B39C3">
        <w:rPr>
          <w:color w:val="000000" w:themeColor="text1"/>
        </w:rPr>
        <w:t> </w:t>
      </w:r>
      <w:r w:rsidRPr="001C3EC8">
        <w:rPr>
          <w:color w:val="000000" w:themeColor="text1"/>
        </w:rPr>
        <w:t xml:space="preserve">OS. Zcela očividně vyčnívá MS Praha s takřka dvouapůlnásobkem odsouzení na 100 000 obyvatel oproti celorepublikovému průměru. Jak již bylo zmíněno výše, Praha je specifickým regionem ČR </w:t>
      </w:r>
      <w:r w:rsidR="004B39C3" w:rsidRPr="001C3EC8">
        <w:rPr>
          <w:color w:val="000000" w:themeColor="text1"/>
        </w:rPr>
        <w:t>a</w:t>
      </w:r>
      <w:r w:rsidR="004B39C3">
        <w:rPr>
          <w:color w:val="000000" w:themeColor="text1"/>
        </w:rPr>
        <w:t> </w:t>
      </w:r>
      <w:r w:rsidRPr="001C3EC8">
        <w:rPr>
          <w:color w:val="000000" w:themeColor="text1"/>
        </w:rPr>
        <w:t xml:space="preserve">z toho plynou </w:t>
      </w:r>
      <w:r w:rsidR="004B39C3" w:rsidRPr="001C3EC8">
        <w:rPr>
          <w:color w:val="000000" w:themeColor="text1"/>
        </w:rPr>
        <w:t>i</w:t>
      </w:r>
      <w:r w:rsidR="004B39C3">
        <w:rPr>
          <w:color w:val="000000" w:themeColor="text1"/>
        </w:rPr>
        <w:t> </w:t>
      </w:r>
      <w:r w:rsidRPr="001C3EC8">
        <w:rPr>
          <w:color w:val="000000" w:themeColor="text1"/>
        </w:rPr>
        <w:t>rozdíly v agendě soudu.</w:t>
      </w:r>
    </w:p>
    <w:p w14:paraId="526EE730" w14:textId="09A50877" w:rsidR="008430BD" w:rsidRPr="001C3EC8" w:rsidRDefault="008430BD" w:rsidP="008430BD">
      <w:pPr>
        <w:pStyle w:val="Podnadpis"/>
        <w:rPr>
          <w:color w:val="000000" w:themeColor="text1"/>
        </w:rPr>
      </w:pPr>
      <w:bookmarkStart w:id="541" w:name="_Toc75952364"/>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61</w:t>
      </w:r>
      <w:r w:rsidRPr="001C3EC8">
        <w:rPr>
          <w:noProof/>
          <w:color w:val="000000" w:themeColor="text1"/>
        </w:rPr>
        <w:fldChar w:fldCharType="end"/>
      </w:r>
      <w:r w:rsidRPr="001C3EC8">
        <w:rPr>
          <w:color w:val="000000" w:themeColor="text1"/>
        </w:rPr>
        <w:t>: KS – počet odsouzených na 100 000 obyvatel dle soudů</w:t>
      </w:r>
      <w:bookmarkEnd w:id="541"/>
    </w:p>
    <w:tbl>
      <w:tblPr>
        <w:tblW w:w="7880" w:type="dxa"/>
        <w:tblCellMar>
          <w:left w:w="70" w:type="dxa"/>
          <w:right w:w="70" w:type="dxa"/>
        </w:tblCellMar>
        <w:tblLook w:val="04A0" w:firstRow="1" w:lastRow="0" w:firstColumn="1" w:lastColumn="0" w:noHBand="0" w:noVBand="1"/>
      </w:tblPr>
      <w:tblGrid>
        <w:gridCol w:w="1820"/>
        <w:gridCol w:w="2020"/>
        <w:gridCol w:w="2020"/>
        <w:gridCol w:w="2096"/>
      </w:tblGrid>
      <w:tr w:rsidR="008430BD" w:rsidRPr="001C3EC8" w14:paraId="667FEFFB" w14:textId="77777777" w:rsidTr="00E077F3">
        <w:trPr>
          <w:trHeight w:val="660"/>
        </w:trPr>
        <w:tc>
          <w:tcPr>
            <w:tcW w:w="1820" w:type="dxa"/>
            <w:tcBorders>
              <w:top w:val="double" w:sz="6" w:space="0" w:color="auto"/>
              <w:left w:val="nil"/>
              <w:bottom w:val="double" w:sz="6" w:space="0" w:color="auto"/>
              <w:right w:val="nil"/>
            </w:tcBorders>
            <w:shd w:val="clear" w:color="auto" w:fill="auto"/>
            <w:noWrap/>
            <w:vAlign w:val="center"/>
            <w:hideMark/>
          </w:tcPr>
          <w:p w14:paraId="03A7FB0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2020" w:type="dxa"/>
            <w:tcBorders>
              <w:top w:val="double" w:sz="6" w:space="0" w:color="auto"/>
              <w:left w:val="nil"/>
              <w:bottom w:val="double" w:sz="6" w:space="0" w:color="auto"/>
              <w:right w:val="nil"/>
            </w:tcBorders>
            <w:shd w:val="clear" w:color="auto" w:fill="auto"/>
            <w:noWrap/>
            <w:vAlign w:val="center"/>
            <w:hideMark/>
          </w:tcPr>
          <w:p w14:paraId="5E54EB5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obyvatel</w:t>
            </w:r>
          </w:p>
        </w:tc>
        <w:tc>
          <w:tcPr>
            <w:tcW w:w="2020" w:type="dxa"/>
            <w:tcBorders>
              <w:top w:val="double" w:sz="6" w:space="0" w:color="auto"/>
              <w:left w:val="nil"/>
              <w:bottom w:val="double" w:sz="6" w:space="0" w:color="auto"/>
              <w:right w:val="nil"/>
            </w:tcBorders>
            <w:shd w:val="clear" w:color="auto" w:fill="auto"/>
            <w:noWrap/>
            <w:vAlign w:val="center"/>
            <w:hideMark/>
          </w:tcPr>
          <w:p w14:paraId="7AD464B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Odsouzené osoby</w:t>
            </w:r>
          </w:p>
        </w:tc>
        <w:tc>
          <w:tcPr>
            <w:tcW w:w="2020" w:type="dxa"/>
            <w:tcBorders>
              <w:top w:val="double" w:sz="6" w:space="0" w:color="auto"/>
              <w:left w:val="nil"/>
              <w:bottom w:val="double" w:sz="6" w:space="0" w:color="auto"/>
              <w:right w:val="nil"/>
            </w:tcBorders>
            <w:shd w:val="clear" w:color="auto" w:fill="auto"/>
            <w:vAlign w:val="center"/>
            <w:hideMark/>
          </w:tcPr>
          <w:p w14:paraId="41293FC3" w14:textId="247E702E"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Odsouzení/100</w:t>
            </w:r>
            <w:r w:rsidR="00B4248B">
              <w:rPr>
                <w:rFonts w:eastAsia="Times New Roman"/>
                <w:b/>
                <w:bCs/>
                <w:color w:val="000000" w:themeColor="text1"/>
                <w:szCs w:val="24"/>
                <w:lang w:eastAsia="cs-CZ"/>
              </w:rPr>
              <w:t> </w:t>
            </w:r>
            <w:r w:rsidRPr="001C3EC8">
              <w:rPr>
                <w:rFonts w:eastAsia="Times New Roman"/>
                <w:b/>
                <w:bCs/>
                <w:color w:val="000000" w:themeColor="text1"/>
                <w:szCs w:val="24"/>
                <w:lang w:eastAsia="cs-CZ"/>
              </w:rPr>
              <w:t>000 obyvatel</w:t>
            </w:r>
          </w:p>
        </w:tc>
      </w:tr>
      <w:tr w:rsidR="008430BD" w:rsidRPr="001C3EC8" w14:paraId="66265246" w14:textId="77777777" w:rsidTr="00E077F3">
        <w:trPr>
          <w:trHeight w:val="330"/>
        </w:trPr>
        <w:tc>
          <w:tcPr>
            <w:tcW w:w="1820" w:type="dxa"/>
            <w:tcBorders>
              <w:top w:val="nil"/>
              <w:left w:val="nil"/>
              <w:bottom w:val="single" w:sz="4" w:space="0" w:color="auto"/>
              <w:right w:val="nil"/>
            </w:tcBorders>
            <w:shd w:val="clear" w:color="auto" w:fill="auto"/>
            <w:noWrap/>
            <w:vAlign w:val="bottom"/>
            <w:hideMark/>
          </w:tcPr>
          <w:p w14:paraId="55266FB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2020" w:type="dxa"/>
            <w:tcBorders>
              <w:top w:val="nil"/>
              <w:left w:val="nil"/>
              <w:bottom w:val="single" w:sz="4" w:space="0" w:color="auto"/>
              <w:right w:val="nil"/>
            </w:tcBorders>
            <w:shd w:val="clear" w:color="auto" w:fill="auto"/>
            <w:noWrap/>
            <w:vAlign w:val="bottom"/>
            <w:hideMark/>
          </w:tcPr>
          <w:p w14:paraId="3E9878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1 324 277</w:t>
            </w:r>
          </w:p>
        </w:tc>
        <w:tc>
          <w:tcPr>
            <w:tcW w:w="2020" w:type="dxa"/>
            <w:tcBorders>
              <w:top w:val="single" w:sz="4" w:space="0" w:color="auto"/>
              <w:left w:val="nil"/>
              <w:bottom w:val="single" w:sz="4" w:space="0" w:color="auto"/>
              <w:right w:val="nil"/>
            </w:tcBorders>
            <w:shd w:val="clear" w:color="auto" w:fill="auto"/>
            <w:noWrap/>
            <w:vAlign w:val="bottom"/>
            <w:hideMark/>
          </w:tcPr>
          <w:p w14:paraId="7A5F289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354</w:t>
            </w:r>
          </w:p>
        </w:tc>
        <w:tc>
          <w:tcPr>
            <w:tcW w:w="2020" w:type="dxa"/>
            <w:tcBorders>
              <w:top w:val="nil"/>
              <w:left w:val="nil"/>
              <w:bottom w:val="single" w:sz="4" w:space="0" w:color="auto"/>
              <w:right w:val="nil"/>
            </w:tcBorders>
            <w:shd w:val="clear" w:color="auto" w:fill="auto"/>
            <w:noWrap/>
            <w:vAlign w:val="bottom"/>
            <w:hideMark/>
          </w:tcPr>
          <w:p w14:paraId="2FA4F3B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26,7</w:t>
            </w:r>
          </w:p>
        </w:tc>
      </w:tr>
      <w:tr w:rsidR="008430BD" w:rsidRPr="001C3EC8" w14:paraId="43CB0FA5"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672F3A5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2020" w:type="dxa"/>
            <w:tcBorders>
              <w:top w:val="nil"/>
              <w:left w:val="nil"/>
              <w:bottom w:val="single" w:sz="4" w:space="0" w:color="auto"/>
              <w:right w:val="nil"/>
            </w:tcBorders>
            <w:shd w:val="clear" w:color="auto" w:fill="auto"/>
            <w:noWrap/>
            <w:vAlign w:val="bottom"/>
            <w:hideMark/>
          </w:tcPr>
          <w:p w14:paraId="19DF1A6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1 385 141</w:t>
            </w:r>
          </w:p>
        </w:tc>
        <w:tc>
          <w:tcPr>
            <w:tcW w:w="2020" w:type="dxa"/>
            <w:tcBorders>
              <w:top w:val="nil"/>
              <w:left w:val="nil"/>
              <w:bottom w:val="single" w:sz="4" w:space="0" w:color="auto"/>
              <w:right w:val="nil"/>
            </w:tcBorders>
            <w:shd w:val="clear" w:color="auto" w:fill="auto"/>
            <w:noWrap/>
            <w:vAlign w:val="bottom"/>
            <w:hideMark/>
          </w:tcPr>
          <w:p w14:paraId="1F052E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w:t>
            </w:r>
          </w:p>
        </w:tc>
        <w:tc>
          <w:tcPr>
            <w:tcW w:w="2020" w:type="dxa"/>
            <w:tcBorders>
              <w:top w:val="nil"/>
              <w:left w:val="nil"/>
              <w:bottom w:val="single" w:sz="4" w:space="0" w:color="auto"/>
              <w:right w:val="nil"/>
            </w:tcBorders>
            <w:shd w:val="clear" w:color="auto" w:fill="auto"/>
            <w:noWrap/>
            <w:vAlign w:val="bottom"/>
            <w:hideMark/>
          </w:tcPr>
          <w:p w14:paraId="24D2BD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w:t>
            </w:r>
          </w:p>
        </w:tc>
      </w:tr>
      <w:tr w:rsidR="008430BD" w:rsidRPr="001C3EC8" w14:paraId="373A1EA1"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6023FB8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2020" w:type="dxa"/>
            <w:tcBorders>
              <w:top w:val="nil"/>
              <w:left w:val="nil"/>
              <w:bottom w:val="single" w:sz="4" w:space="0" w:color="auto"/>
              <w:right w:val="nil"/>
            </w:tcBorders>
            <w:shd w:val="clear" w:color="auto" w:fill="auto"/>
            <w:noWrap/>
            <w:vAlign w:val="bottom"/>
            <w:hideMark/>
          </w:tcPr>
          <w:p w14:paraId="5F75CBB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716 385</w:t>
            </w:r>
          </w:p>
        </w:tc>
        <w:tc>
          <w:tcPr>
            <w:tcW w:w="2020" w:type="dxa"/>
            <w:tcBorders>
              <w:top w:val="nil"/>
              <w:left w:val="nil"/>
              <w:bottom w:val="single" w:sz="4" w:space="0" w:color="auto"/>
              <w:right w:val="nil"/>
            </w:tcBorders>
            <w:shd w:val="clear" w:color="auto" w:fill="auto"/>
            <w:noWrap/>
            <w:vAlign w:val="bottom"/>
            <w:hideMark/>
          </w:tcPr>
          <w:p w14:paraId="45157C4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w:t>
            </w:r>
          </w:p>
        </w:tc>
        <w:tc>
          <w:tcPr>
            <w:tcW w:w="2020" w:type="dxa"/>
            <w:tcBorders>
              <w:top w:val="nil"/>
              <w:left w:val="nil"/>
              <w:bottom w:val="single" w:sz="4" w:space="0" w:color="auto"/>
              <w:right w:val="nil"/>
            </w:tcBorders>
            <w:shd w:val="clear" w:color="auto" w:fill="auto"/>
            <w:noWrap/>
            <w:vAlign w:val="bottom"/>
            <w:hideMark/>
          </w:tcPr>
          <w:p w14:paraId="644E9F1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w:t>
            </w:r>
          </w:p>
        </w:tc>
      </w:tr>
      <w:tr w:rsidR="008430BD" w:rsidRPr="001C3EC8" w14:paraId="698A9505"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4BB5E83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2020" w:type="dxa"/>
            <w:tcBorders>
              <w:top w:val="nil"/>
              <w:left w:val="nil"/>
              <w:bottom w:val="single" w:sz="4" w:space="0" w:color="auto"/>
              <w:right w:val="nil"/>
            </w:tcBorders>
            <w:shd w:val="clear" w:color="auto" w:fill="auto"/>
            <w:noWrap/>
            <w:vAlign w:val="bottom"/>
            <w:hideMark/>
          </w:tcPr>
          <w:p w14:paraId="1C999A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884 563</w:t>
            </w:r>
          </w:p>
        </w:tc>
        <w:tc>
          <w:tcPr>
            <w:tcW w:w="2020" w:type="dxa"/>
            <w:tcBorders>
              <w:top w:val="nil"/>
              <w:left w:val="nil"/>
              <w:bottom w:val="single" w:sz="4" w:space="0" w:color="auto"/>
              <w:right w:val="nil"/>
            </w:tcBorders>
            <w:shd w:val="clear" w:color="auto" w:fill="auto"/>
            <w:noWrap/>
            <w:vAlign w:val="bottom"/>
            <w:hideMark/>
          </w:tcPr>
          <w:p w14:paraId="4BCD215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w:t>
            </w:r>
          </w:p>
        </w:tc>
        <w:tc>
          <w:tcPr>
            <w:tcW w:w="2020" w:type="dxa"/>
            <w:tcBorders>
              <w:top w:val="nil"/>
              <w:left w:val="nil"/>
              <w:bottom w:val="single" w:sz="4" w:space="0" w:color="auto"/>
              <w:right w:val="nil"/>
            </w:tcBorders>
            <w:shd w:val="clear" w:color="auto" w:fill="auto"/>
            <w:noWrap/>
            <w:vAlign w:val="bottom"/>
            <w:hideMark/>
          </w:tcPr>
          <w:p w14:paraId="178522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11,3</w:t>
            </w:r>
          </w:p>
        </w:tc>
      </w:tr>
      <w:tr w:rsidR="008430BD" w:rsidRPr="001C3EC8" w14:paraId="6EE19B9B"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0483C3F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2020" w:type="dxa"/>
            <w:tcBorders>
              <w:top w:val="nil"/>
              <w:left w:val="nil"/>
              <w:bottom w:val="single" w:sz="4" w:space="0" w:color="auto"/>
              <w:right w:val="nil"/>
            </w:tcBorders>
            <w:shd w:val="clear" w:color="auto" w:fill="auto"/>
            <w:noWrap/>
            <w:vAlign w:val="bottom"/>
            <w:hideMark/>
          </w:tcPr>
          <w:p w14:paraId="4E0100A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1 190 558</w:t>
            </w:r>
          </w:p>
        </w:tc>
        <w:tc>
          <w:tcPr>
            <w:tcW w:w="2020" w:type="dxa"/>
            <w:tcBorders>
              <w:top w:val="nil"/>
              <w:left w:val="nil"/>
              <w:bottom w:val="single" w:sz="4" w:space="0" w:color="auto"/>
              <w:right w:val="nil"/>
            </w:tcBorders>
            <w:shd w:val="clear" w:color="auto" w:fill="auto"/>
            <w:noWrap/>
            <w:vAlign w:val="bottom"/>
            <w:hideMark/>
          </w:tcPr>
          <w:p w14:paraId="17836D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128</w:t>
            </w:r>
          </w:p>
        </w:tc>
        <w:tc>
          <w:tcPr>
            <w:tcW w:w="2020" w:type="dxa"/>
            <w:tcBorders>
              <w:top w:val="nil"/>
              <w:left w:val="nil"/>
              <w:bottom w:val="single" w:sz="4" w:space="0" w:color="auto"/>
              <w:right w:val="nil"/>
            </w:tcBorders>
            <w:shd w:val="clear" w:color="auto" w:fill="auto"/>
            <w:noWrap/>
            <w:vAlign w:val="bottom"/>
            <w:hideMark/>
          </w:tcPr>
          <w:p w14:paraId="2801FA0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10,8</w:t>
            </w:r>
          </w:p>
        </w:tc>
      </w:tr>
      <w:tr w:rsidR="008430BD" w:rsidRPr="001C3EC8" w14:paraId="698BE423"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601B8AE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2020" w:type="dxa"/>
            <w:tcBorders>
              <w:top w:val="nil"/>
              <w:left w:val="nil"/>
              <w:bottom w:val="single" w:sz="4" w:space="0" w:color="auto"/>
              <w:right w:val="nil"/>
            </w:tcBorders>
            <w:shd w:val="clear" w:color="auto" w:fill="auto"/>
            <w:noWrap/>
            <w:vAlign w:val="bottom"/>
            <w:hideMark/>
          </w:tcPr>
          <w:p w14:paraId="1BADD5F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1 243 321</w:t>
            </w:r>
          </w:p>
        </w:tc>
        <w:tc>
          <w:tcPr>
            <w:tcW w:w="2020" w:type="dxa"/>
            <w:tcBorders>
              <w:top w:val="nil"/>
              <w:left w:val="nil"/>
              <w:bottom w:val="single" w:sz="4" w:space="0" w:color="auto"/>
              <w:right w:val="nil"/>
            </w:tcBorders>
            <w:shd w:val="clear" w:color="auto" w:fill="auto"/>
            <w:noWrap/>
            <w:vAlign w:val="bottom"/>
            <w:hideMark/>
          </w:tcPr>
          <w:p w14:paraId="76F5D7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116</w:t>
            </w:r>
          </w:p>
        </w:tc>
        <w:tc>
          <w:tcPr>
            <w:tcW w:w="2020" w:type="dxa"/>
            <w:tcBorders>
              <w:top w:val="nil"/>
              <w:left w:val="nil"/>
              <w:bottom w:val="single" w:sz="4" w:space="0" w:color="auto"/>
              <w:right w:val="nil"/>
            </w:tcBorders>
            <w:shd w:val="clear" w:color="auto" w:fill="auto"/>
            <w:noWrap/>
            <w:vAlign w:val="bottom"/>
            <w:hideMark/>
          </w:tcPr>
          <w:p w14:paraId="50550AC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w:t>
            </w:r>
          </w:p>
        </w:tc>
      </w:tr>
      <w:tr w:rsidR="008430BD" w:rsidRPr="001C3EC8" w14:paraId="4D877D2D"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36BBFD1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2020" w:type="dxa"/>
            <w:tcBorders>
              <w:top w:val="nil"/>
              <w:left w:val="nil"/>
              <w:bottom w:val="single" w:sz="4" w:space="0" w:color="auto"/>
              <w:right w:val="nil"/>
            </w:tcBorders>
            <w:shd w:val="clear" w:color="auto" w:fill="auto"/>
            <w:noWrap/>
            <w:vAlign w:val="bottom"/>
            <w:hideMark/>
          </w:tcPr>
          <w:p w14:paraId="64EA18A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2 082 452</w:t>
            </w:r>
          </w:p>
        </w:tc>
        <w:tc>
          <w:tcPr>
            <w:tcW w:w="2020" w:type="dxa"/>
            <w:tcBorders>
              <w:top w:val="nil"/>
              <w:left w:val="nil"/>
              <w:bottom w:val="single" w:sz="4" w:space="0" w:color="auto"/>
              <w:right w:val="nil"/>
            </w:tcBorders>
            <w:shd w:val="clear" w:color="auto" w:fill="auto"/>
            <w:noWrap/>
            <w:vAlign w:val="bottom"/>
            <w:hideMark/>
          </w:tcPr>
          <w:p w14:paraId="03C188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185</w:t>
            </w:r>
          </w:p>
        </w:tc>
        <w:tc>
          <w:tcPr>
            <w:tcW w:w="2020" w:type="dxa"/>
            <w:tcBorders>
              <w:top w:val="nil"/>
              <w:left w:val="nil"/>
              <w:bottom w:val="single" w:sz="4" w:space="0" w:color="auto"/>
              <w:right w:val="nil"/>
            </w:tcBorders>
            <w:shd w:val="clear" w:color="auto" w:fill="auto"/>
            <w:noWrap/>
            <w:vAlign w:val="bottom"/>
            <w:hideMark/>
          </w:tcPr>
          <w:p w14:paraId="3293073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w:t>
            </w:r>
          </w:p>
        </w:tc>
      </w:tr>
      <w:tr w:rsidR="008430BD" w:rsidRPr="001C3EC8" w14:paraId="23AEC215" w14:textId="77777777" w:rsidTr="00E077F3">
        <w:trPr>
          <w:trHeight w:val="330"/>
        </w:trPr>
        <w:tc>
          <w:tcPr>
            <w:tcW w:w="1820" w:type="dxa"/>
            <w:tcBorders>
              <w:top w:val="nil"/>
              <w:left w:val="nil"/>
              <w:bottom w:val="double" w:sz="6" w:space="0" w:color="auto"/>
              <w:right w:val="nil"/>
            </w:tcBorders>
            <w:shd w:val="clear" w:color="auto" w:fill="auto"/>
            <w:noWrap/>
            <w:vAlign w:val="bottom"/>
            <w:hideMark/>
          </w:tcPr>
          <w:p w14:paraId="61D9FEC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2020" w:type="dxa"/>
            <w:tcBorders>
              <w:top w:val="nil"/>
              <w:left w:val="nil"/>
              <w:bottom w:val="double" w:sz="6" w:space="0" w:color="auto"/>
              <w:right w:val="nil"/>
            </w:tcBorders>
            <w:shd w:val="clear" w:color="auto" w:fill="auto"/>
            <w:noWrap/>
            <w:vAlign w:val="bottom"/>
            <w:hideMark/>
          </w:tcPr>
          <w:p w14:paraId="031064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1 867 242</w:t>
            </w:r>
          </w:p>
        </w:tc>
        <w:tc>
          <w:tcPr>
            <w:tcW w:w="2020" w:type="dxa"/>
            <w:tcBorders>
              <w:top w:val="nil"/>
              <w:left w:val="nil"/>
              <w:bottom w:val="double" w:sz="6" w:space="0" w:color="auto"/>
              <w:right w:val="nil"/>
            </w:tcBorders>
            <w:shd w:val="clear" w:color="auto" w:fill="auto"/>
            <w:noWrap/>
            <w:vAlign w:val="bottom"/>
            <w:hideMark/>
          </w:tcPr>
          <w:p w14:paraId="26E2AF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w:t>
            </w:r>
          </w:p>
        </w:tc>
        <w:tc>
          <w:tcPr>
            <w:tcW w:w="2020" w:type="dxa"/>
            <w:tcBorders>
              <w:top w:val="nil"/>
              <w:left w:val="nil"/>
              <w:bottom w:val="double" w:sz="6" w:space="0" w:color="auto"/>
              <w:right w:val="nil"/>
            </w:tcBorders>
            <w:shd w:val="clear" w:color="auto" w:fill="auto"/>
            <w:noWrap/>
            <w:vAlign w:val="bottom"/>
            <w:hideMark/>
          </w:tcPr>
          <w:p w14:paraId="6162BB0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r>
      <w:tr w:rsidR="008430BD" w:rsidRPr="001C3EC8" w14:paraId="61F08E7A" w14:textId="77777777" w:rsidTr="00E077F3">
        <w:trPr>
          <w:trHeight w:val="345"/>
        </w:trPr>
        <w:tc>
          <w:tcPr>
            <w:tcW w:w="1820" w:type="dxa"/>
            <w:tcBorders>
              <w:top w:val="nil"/>
              <w:left w:val="nil"/>
              <w:bottom w:val="double" w:sz="6" w:space="0" w:color="auto"/>
              <w:right w:val="nil"/>
            </w:tcBorders>
            <w:shd w:val="clear" w:color="auto" w:fill="auto"/>
            <w:noWrap/>
            <w:vAlign w:val="bottom"/>
            <w:hideMark/>
          </w:tcPr>
          <w:p w14:paraId="025869B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2020" w:type="dxa"/>
            <w:tcBorders>
              <w:top w:val="nil"/>
              <w:left w:val="nil"/>
              <w:bottom w:val="double" w:sz="6" w:space="0" w:color="auto"/>
              <w:right w:val="nil"/>
            </w:tcBorders>
            <w:shd w:val="clear" w:color="auto" w:fill="auto"/>
            <w:noWrap/>
            <w:vAlign w:val="bottom"/>
            <w:hideMark/>
          </w:tcPr>
          <w:p w14:paraId="14DD1D6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10 693 939</w:t>
            </w:r>
          </w:p>
        </w:tc>
        <w:tc>
          <w:tcPr>
            <w:tcW w:w="2020" w:type="dxa"/>
            <w:tcBorders>
              <w:top w:val="nil"/>
              <w:left w:val="nil"/>
              <w:bottom w:val="double" w:sz="6" w:space="0" w:color="auto"/>
              <w:right w:val="nil"/>
            </w:tcBorders>
            <w:shd w:val="clear" w:color="auto" w:fill="auto"/>
            <w:noWrap/>
            <w:vAlign w:val="bottom"/>
            <w:hideMark/>
          </w:tcPr>
          <w:p w14:paraId="01BEA70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1 176</w:t>
            </w:r>
          </w:p>
        </w:tc>
        <w:tc>
          <w:tcPr>
            <w:tcW w:w="2020" w:type="dxa"/>
            <w:tcBorders>
              <w:top w:val="nil"/>
              <w:left w:val="nil"/>
              <w:bottom w:val="double" w:sz="6" w:space="0" w:color="auto"/>
              <w:right w:val="nil"/>
            </w:tcBorders>
            <w:shd w:val="clear" w:color="auto" w:fill="auto"/>
            <w:noWrap/>
            <w:vAlign w:val="bottom"/>
            <w:hideMark/>
          </w:tcPr>
          <w:p w14:paraId="0A1BA75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11,0</w:t>
            </w:r>
          </w:p>
        </w:tc>
      </w:tr>
    </w:tbl>
    <w:p w14:paraId="6496BA2C"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05710F11" w14:textId="77777777" w:rsidR="008430BD" w:rsidRPr="001C3EC8" w:rsidRDefault="008430BD" w:rsidP="008430BD">
      <w:pPr>
        <w:pStyle w:val="Nadpis2"/>
        <w:numPr>
          <w:ilvl w:val="1"/>
          <w:numId w:val="1"/>
        </w:numPr>
        <w:spacing w:before="120"/>
      </w:pPr>
      <w:bookmarkStart w:id="542" w:name="_Toc515871262"/>
      <w:bookmarkStart w:id="543" w:name="_Toc75952103"/>
      <w:r w:rsidRPr="001C3EC8">
        <w:lastRenderedPageBreak/>
        <w:t>Trestní odvolací agenda</w:t>
      </w:r>
      <w:bookmarkEnd w:id="542"/>
      <w:bookmarkEnd w:id="543"/>
    </w:p>
    <w:p w14:paraId="5D5BB3ED" w14:textId="77777777" w:rsidR="008430BD" w:rsidRPr="001C3EC8" w:rsidRDefault="008430BD" w:rsidP="008430BD">
      <w:pPr>
        <w:pStyle w:val="OdstavecASR"/>
        <w:rPr>
          <w:color w:val="000000" w:themeColor="text1"/>
        </w:rPr>
      </w:pPr>
      <w:r w:rsidRPr="001C3EC8">
        <w:rPr>
          <w:color w:val="000000" w:themeColor="text1"/>
        </w:rPr>
        <w:t>Trestní odvolací agenda zahrnuje rejstříky To a Tmo. Ke změnám ve vedení statistik nedošlo a data dále není třeba nijak očišťovat.</w:t>
      </w:r>
    </w:p>
    <w:p w14:paraId="22126025" w14:textId="77777777" w:rsidR="008430BD" w:rsidRPr="001C3EC8" w:rsidRDefault="008430BD" w:rsidP="008430BD">
      <w:pPr>
        <w:pStyle w:val="Nadpis3"/>
        <w:numPr>
          <w:ilvl w:val="2"/>
          <w:numId w:val="1"/>
        </w:numPr>
        <w:rPr>
          <w:color w:val="000000" w:themeColor="text1"/>
        </w:rPr>
      </w:pPr>
      <w:bookmarkStart w:id="544" w:name="_Ref511391169"/>
      <w:bookmarkStart w:id="545" w:name="_Toc515871263"/>
      <w:bookmarkStart w:id="546" w:name="_Toc75952104"/>
      <w:r w:rsidRPr="001C3EC8">
        <w:rPr>
          <w:color w:val="000000" w:themeColor="text1"/>
        </w:rPr>
        <w:t>Délka řízení</w:t>
      </w:r>
      <w:bookmarkEnd w:id="544"/>
      <w:bookmarkEnd w:id="545"/>
      <w:bookmarkEnd w:id="546"/>
    </w:p>
    <w:p w14:paraId="5A10D522" w14:textId="4BE0F064" w:rsidR="00B07E76" w:rsidRDefault="008430BD" w:rsidP="008430BD">
      <w:pPr>
        <w:pStyle w:val="OdstavecASR"/>
        <w:rPr>
          <w:color w:val="000000" w:themeColor="text1"/>
        </w:rPr>
      </w:pPr>
      <w:r w:rsidRPr="001C3EC8">
        <w:rPr>
          <w:color w:val="000000" w:themeColor="text1"/>
        </w:rPr>
        <w:t xml:space="preserve">U této agendy uvádíme délku řízení ode dne nápadu u odvolacího soudu do dne jeho vyřízení, který je i dnem pravomocného skončení věci. Stejně jako u civilního řízení platí, že vyřídit věc v odvolací agendě je pro soud </w:t>
      </w:r>
      <w:proofErr w:type="gramStart"/>
      <w:r w:rsidRPr="001C3EC8">
        <w:rPr>
          <w:color w:val="000000" w:themeColor="text1"/>
        </w:rPr>
        <w:t>jednodušší,</w:t>
      </w:r>
      <w:proofErr w:type="gramEnd"/>
      <w:r w:rsidRPr="001C3EC8">
        <w:rPr>
          <w:color w:val="000000" w:themeColor="text1"/>
        </w:rPr>
        <w:t xml:space="preserve"> než ji vyřídit v prvostupňové agendě. Z grafu vyplývá, že délky řízení jsou velmi nízké (nejnižší ze všech agend) a měnily se jen velmi málo. Až v roce 2020 došlo ke zdaleka největší výchylce (největšímu nárůstu) ve sledovaném období. Absolutně jde jen o několik dnů, ale v relativních číslech jde </w:t>
      </w:r>
      <w:r w:rsidR="004B39C3" w:rsidRPr="001C3EC8">
        <w:rPr>
          <w:color w:val="000000" w:themeColor="text1"/>
        </w:rPr>
        <w:t>o</w:t>
      </w:r>
      <w:r w:rsidR="004B39C3">
        <w:rPr>
          <w:color w:val="000000" w:themeColor="text1"/>
        </w:rPr>
        <w:t> </w:t>
      </w:r>
      <w:r w:rsidR="00230552" w:rsidRPr="001C3EC8">
        <w:rPr>
          <w:color w:val="000000" w:themeColor="text1"/>
        </w:rPr>
        <w:t>výraznou změnu</w:t>
      </w:r>
      <w:r w:rsidRPr="001C3EC8">
        <w:rPr>
          <w:color w:val="000000" w:themeColor="text1"/>
        </w:rPr>
        <w:t xml:space="preserve">. Vzhledem k tomu, že délky řízení byly vždy silně stabilní </w:t>
      </w:r>
      <w:r w:rsidR="00DE269E" w:rsidRPr="001C3EC8">
        <w:rPr>
          <w:color w:val="000000" w:themeColor="text1"/>
        </w:rPr>
        <w:t>a</w:t>
      </w:r>
      <w:r w:rsidR="00DE269E">
        <w:rPr>
          <w:color w:val="000000" w:themeColor="text1"/>
        </w:rPr>
        <w:t> </w:t>
      </w:r>
      <w:r w:rsidR="00DE269E" w:rsidRPr="001C3EC8">
        <w:rPr>
          <w:color w:val="000000" w:themeColor="text1"/>
        </w:rPr>
        <w:t>k</w:t>
      </w:r>
      <w:r w:rsidR="00DE269E">
        <w:rPr>
          <w:color w:val="000000" w:themeColor="text1"/>
        </w:rPr>
        <w:t> </w:t>
      </w:r>
      <w:r w:rsidRPr="001C3EC8">
        <w:rPr>
          <w:color w:val="000000" w:themeColor="text1"/>
        </w:rPr>
        <w:t>neexistenci žádného jiného důvodu pro toto zjištění</w:t>
      </w:r>
      <w:r w:rsidR="00230552" w:rsidRPr="001C3EC8">
        <w:rPr>
          <w:color w:val="000000" w:themeColor="text1"/>
        </w:rPr>
        <w:t xml:space="preserve"> lze</w:t>
      </w:r>
      <w:r w:rsidRPr="001C3EC8">
        <w:rPr>
          <w:color w:val="000000" w:themeColor="text1"/>
        </w:rPr>
        <w:t xml:space="preserve"> zvýšení délek řízení připsat pandemii </w:t>
      </w:r>
      <w:r w:rsidR="000C3B1E">
        <w:rPr>
          <w:color w:val="000000" w:themeColor="text1"/>
        </w:rPr>
        <w:t>COVID</w:t>
      </w:r>
      <w:r w:rsidR="000C3B1E">
        <w:rPr>
          <w:color w:val="000000" w:themeColor="text1"/>
        </w:rPr>
        <w:noBreakHyphen/>
        <w:t>19</w:t>
      </w:r>
      <w:r w:rsidRPr="001C3EC8">
        <w:rPr>
          <w:color w:val="000000" w:themeColor="text1"/>
        </w:rPr>
        <w:t xml:space="preserve">. To podporuje </w:t>
      </w:r>
      <w:r w:rsidR="00DE269E" w:rsidRPr="001C3EC8">
        <w:rPr>
          <w:color w:val="000000" w:themeColor="text1"/>
        </w:rPr>
        <w:t>i</w:t>
      </w:r>
      <w:r w:rsidR="00DE269E">
        <w:rPr>
          <w:color w:val="000000" w:themeColor="text1"/>
        </w:rPr>
        <w:t> </w:t>
      </w:r>
      <w:r w:rsidRPr="001C3EC8">
        <w:rPr>
          <w:color w:val="000000" w:themeColor="text1"/>
        </w:rPr>
        <w:t xml:space="preserve">fakt, že k nárůstu došlo </w:t>
      </w:r>
      <w:r w:rsidR="00DE269E" w:rsidRPr="001C3EC8">
        <w:rPr>
          <w:color w:val="000000" w:themeColor="text1"/>
        </w:rPr>
        <w:t>u</w:t>
      </w:r>
      <w:r w:rsidR="00DE269E">
        <w:rPr>
          <w:color w:val="000000" w:themeColor="text1"/>
        </w:rPr>
        <w:t> </w:t>
      </w:r>
      <w:r w:rsidRPr="001C3EC8">
        <w:rPr>
          <w:color w:val="000000" w:themeColor="text1"/>
        </w:rPr>
        <w:t>většin</w:t>
      </w:r>
      <w:r w:rsidR="00256272" w:rsidRPr="001C3EC8">
        <w:rPr>
          <w:color w:val="000000" w:themeColor="text1"/>
        </w:rPr>
        <w:t>y</w:t>
      </w:r>
      <w:r w:rsidRPr="001C3EC8">
        <w:rPr>
          <w:color w:val="000000" w:themeColor="text1"/>
        </w:rPr>
        <w:t xml:space="preserve"> soudů.</w:t>
      </w:r>
    </w:p>
    <w:p w14:paraId="18408450" w14:textId="4D44BC92" w:rsidR="008430BD" w:rsidRPr="001C3EC8" w:rsidRDefault="008430BD" w:rsidP="008430BD">
      <w:pPr>
        <w:pStyle w:val="OdstavecASR"/>
        <w:rPr>
          <w:color w:val="000000" w:themeColor="text1"/>
        </w:rPr>
      </w:pPr>
      <w:r w:rsidRPr="001C3EC8">
        <w:rPr>
          <w:color w:val="000000" w:themeColor="text1"/>
        </w:rPr>
        <w:t xml:space="preserve">Rozdíly mezi soudy také nejsou většinou nijak vysoké. </w:t>
      </w:r>
      <w:r w:rsidR="00DE269E" w:rsidRPr="001C3EC8">
        <w:rPr>
          <w:color w:val="000000" w:themeColor="text1"/>
        </w:rPr>
        <w:t>I</w:t>
      </w:r>
      <w:r w:rsidR="00DE269E">
        <w:rPr>
          <w:color w:val="000000" w:themeColor="text1"/>
        </w:rPr>
        <w:t> </w:t>
      </w:r>
      <w:r w:rsidRPr="001C3EC8">
        <w:rPr>
          <w:color w:val="000000" w:themeColor="text1"/>
        </w:rPr>
        <w:t xml:space="preserve">KS Ústí nad Labem se v posledních letech (ne </w:t>
      </w:r>
      <w:r w:rsidR="00230552" w:rsidRPr="001C3EC8">
        <w:rPr>
          <w:color w:val="000000" w:themeColor="text1"/>
        </w:rPr>
        <w:t>vš</w:t>
      </w:r>
      <w:r w:rsidRPr="001C3EC8">
        <w:rPr>
          <w:color w:val="000000" w:themeColor="text1"/>
        </w:rPr>
        <w:t xml:space="preserve">ak roce 2020) výrazně podařilo snížit délku řízení </w:t>
      </w:r>
      <w:r w:rsidR="00DE269E" w:rsidRPr="001C3EC8">
        <w:rPr>
          <w:color w:val="000000" w:themeColor="text1"/>
        </w:rPr>
        <w:t>a</w:t>
      </w:r>
      <w:r w:rsidR="00DE269E">
        <w:rPr>
          <w:color w:val="000000" w:themeColor="text1"/>
        </w:rPr>
        <w:t> </w:t>
      </w:r>
      <w:r w:rsidRPr="001C3EC8">
        <w:rPr>
          <w:color w:val="000000" w:themeColor="text1"/>
        </w:rPr>
        <w:t xml:space="preserve">„dotáhnout“ se tak na jiné KS. Celkově se tedy z hlediska rychlosti vyřizování jedná o relativně bezproblémovou agendu, </w:t>
      </w:r>
      <w:r w:rsidR="00DE269E" w:rsidRPr="001C3EC8">
        <w:rPr>
          <w:color w:val="000000" w:themeColor="text1"/>
        </w:rPr>
        <w:t>i</w:t>
      </w:r>
      <w:r w:rsidR="00DE269E">
        <w:rPr>
          <w:color w:val="000000" w:themeColor="text1"/>
        </w:rPr>
        <w:t> </w:t>
      </w:r>
      <w:r w:rsidRPr="001C3EC8">
        <w:rPr>
          <w:color w:val="000000" w:themeColor="text1"/>
        </w:rPr>
        <w:t>přes nárůst v roce 2020.</w:t>
      </w:r>
    </w:p>
    <w:p w14:paraId="7E20A74F" w14:textId="1F115658" w:rsidR="008430BD" w:rsidRPr="001C3EC8" w:rsidRDefault="008430BD" w:rsidP="008430BD">
      <w:pPr>
        <w:pStyle w:val="Podnadpis"/>
        <w:rPr>
          <w:color w:val="000000" w:themeColor="text1"/>
        </w:rPr>
      </w:pPr>
      <w:bookmarkStart w:id="547" w:name="_Toc515871393"/>
      <w:bookmarkStart w:id="548" w:name="_Toc11135124"/>
      <w:bookmarkStart w:id="549" w:name="_Toc43841443"/>
      <w:bookmarkStart w:id="550" w:name="_Toc75952245"/>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65</w:t>
      </w:r>
      <w:r w:rsidRPr="001C3EC8">
        <w:rPr>
          <w:noProof/>
          <w:color w:val="000000" w:themeColor="text1"/>
        </w:rPr>
        <w:fldChar w:fldCharType="end"/>
      </w:r>
      <w:r w:rsidRPr="001C3EC8">
        <w:rPr>
          <w:color w:val="000000" w:themeColor="text1"/>
        </w:rPr>
        <w:t>: KS – délka odvolacího trestního řízení v letech 2008–20</w:t>
      </w:r>
      <w:bookmarkEnd w:id="547"/>
      <w:bookmarkEnd w:id="548"/>
      <w:bookmarkEnd w:id="549"/>
      <w:r w:rsidRPr="001C3EC8">
        <w:rPr>
          <w:color w:val="000000" w:themeColor="text1"/>
        </w:rPr>
        <w:t>20</w:t>
      </w:r>
      <w:bookmarkEnd w:id="550"/>
    </w:p>
    <w:p w14:paraId="45BF6F05"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4DB1A4A0" wp14:editId="33055BAD">
            <wp:extent cx="5114925" cy="3743325"/>
            <wp:effectExtent l="0" t="0" r="0" b="9525"/>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C12ED41" w14:textId="02E299B6" w:rsidR="008430BD" w:rsidRPr="001C3EC8" w:rsidRDefault="008430BD" w:rsidP="008430BD">
      <w:pPr>
        <w:pStyle w:val="OdstavecASR"/>
        <w:rPr>
          <w:color w:val="000000" w:themeColor="text1"/>
        </w:rPr>
      </w:pPr>
      <w:r w:rsidRPr="001C3EC8">
        <w:rPr>
          <w:color w:val="000000" w:themeColor="text1"/>
        </w:rPr>
        <w:t xml:space="preserve">Krajské soudy vyřizují v odvolací agendě nejčastěji odvolání </w:t>
      </w:r>
      <w:r w:rsidR="00230552" w:rsidRPr="001C3EC8">
        <w:rPr>
          <w:color w:val="000000" w:themeColor="text1"/>
        </w:rPr>
        <w:t>proti rozhodnutí o</w:t>
      </w:r>
      <w:r w:rsidRPr="001C3EC8">
        <w:rPr>
          <w:color w:val="000000" w:themeColor="text1"/>
        </w:rPr>
        <w:t xml:space="preserve"> následujících trestných činech: </w:t>
      </w:r>
      <w:r w:rsidRPr="001C3EC8">
        <w:rPr>
          <w:i/>
          <w:color w:val="000000" w:themeColor="text1"/>
        </w:rPr>
        <w:t>krádež</w:t>
      </w:r>
      <w:r w:rsidRPr="001C3EC8">
        <w:rPr>
          <w:color w:val="000000" w:themeColor="text1"/>
        </w:rPr>
        <w:t xml:space="preserve"> (§ 205 trestního zákoníku), </w:t>
      </w:r>
      <w:r w:rsidRPr="001C3EC8">
        <w:rPr>
          <w:i/>
          <w:color w:val="000000" w:themeColor="text1"/>
        </w:rPr>
        <w:t>maření výkonu úředního rozhodnutí a vykázání</w:t>
      </w:r>
      <w:r w:rsidRPr="001C3EC8">
        <w:rPr>
          <w:color w:val="000000" w:themeColor="text1"/>
        </w:rPr>
        <w:t xml:space="preserve"> (§ 337) a </w:t>
      </w:r>
      <w:r w:rsidRPr="001C3EC8">
        <w:rPr>
          <w:i/>
          <w:color w:val="000000" w:themeColor="text1"/>
        </w:rPr>
        <w:t>podvod</w:t>
      </w:r>
      <w:r w:rsidRPr="001C3EC8">
        <w:rPr>
          <w:color w:val="000000" w:themeColor="text1"/>
        </w:rPr>
        <w:t xml:space="preserve"> (§ 209). Těmito trestnými činy se velmi často zabývají okresní soudy v prvním stupni. Logicky je u nich pak v absolutních číslech podáváno nejvíce odvolání.</w:t>
      </w:r>
    </w:p>
    <w:p w14:paraId="5D24B9AB"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64F3B3E7" w14:textId="6C45D05B" w:rsidR="008430BD" w:rsidRPr="001C3EC8" w:rsidRDefault="008430BD" w:rsidP="008430BD">
      <w:pPr>
        <w:pStyle w:val="Podnadpis"/>
        <w:rPr>
          <w:color w:val="000000" w:themeColor="text1"/>
        </w:rPr>
      </w:pPr>
      <w:bookmarkStart w:id="551" w:name="_Toc515871487"/>
      <w:bookmarkStart w:id="552" w:name="_Toc11133254"/>
      <w:bookmarkStart w:id="553" w:name="_Toc43931232"/>
      <w:bookmarkStart w:id="554" w:name="_Toc75952365"/>
      <w:r w:rsidRPr="001C3EC8">
        <w:rPr>
          <w:color w:val="000000" w:themeColor="text1"/>
        </w:rPr>
        <w:lastRenderedPageBreak/>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62</w:t>
      </w:r>
      <w:r w:rsidRPr="001C3EC8">
        <w:rPr>
          <w:noProof/>
          <w:color w:val="000000" w:themeColor="text1"/>
        </w:rPr>
        <w:fldChar w:fldCharType="end"/>
      </w:r>
      <w:r w:rsidRPr="001C3EC8">
        <w:rPr>
          <w:color w:val="000000" w:themeColor="text1"/>
        </w:rPr>
        <w:t>: KS – délky odvolacího trestního řízení dle soudů</w:t>
      </w:r>
      <w:bookmarkEnd w:id="551"/>
      <w:bookmarkEnd w:id="552"/>
      <w:bookmarkEnd w:id="553"/>
      <w:bookmarkEnd w:id="554"/>
    </w:p>
    <w:tbl>
      <w:tblPr>
        <w:tblW w:w="7520" w:type="dxa"/>
        <w:tblCellMar>
          <w:left w:w="70" w:type="dxa"/>
          <w:right w:w="70" w:type="dxa"/>
        </w:tblCellMar>
        <w:tblLook w:val="04A0" w:firstRow="1" w:lastRow="0" w:firstColumn="1" w:lastColumn="0" w:noHBand="0" w:noVBand="1"/>
      </w:tblPr>
      <w:tblGrid>
        <w:gridCol w:w="2480"/>
        <w:gridCol w:w="500"/>
        <w:gridCol w:w="1107"/>
        <w:gridCol w:w="499"/>
        <w:gridCol w:w="1107"/>
        <w:gridCol w:w="720"/>
        <w:gridCol w:w="1107"/>
      </w:tblGrid>
      <w:tr w:rsidR="008430BD" w:rsidRPr="001C3EC8" w14:paraId="460E83DD"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4499C80" w14:textId="5E3E4B0A"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4705D6C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34CADEB3"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35E585C2"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607" w:type="dxa"/>
            <w:gridSpan w:val="2"/>
            <w:tcBorders>
              <w:top w:val="nil"/>
              <w:left w:val="nil"/>
              <w:bottom w:val="double" w:sz="6" w:space="0" w:color="auto"/>
              <w:right w:val="nil"/>
            </w:tcBorders>
            <w:shd w:val="clear" w:color="auto" w:fill="auto"/>
            <w:noWrap/>
            <w:vAlign w:val="center"/>
            <w:hideMark/>
          </w:tcPr>
          <w:p w14:paraId="4149407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60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23AD8A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827" w:type="dxa"/>
            <w:gridSpan w:val="2"/>
            <w:tcBorders>
              <w:top w:val="nil"/>
              <w:left w:val="nil"/>
              <w:bottom w:val="double" w:sz="6" w:space="0" w:color="auto"/>
              <w:right w:val="nil"/>
            </w:tcBorders>
            <w:shd w:val="clear" w:color="auto" w:fill="auto"/>
            <w:noWrap/>
            <w:vAlign w:val="center"/>
            <w:hideMark/>
          </w:tcPr>
          <w:p w14:paraId="1696DDE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6F747A61"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5CE4A5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500" w:type="dxa"/>
            <w:tcBorders>
              <w:top w:val="single" w:sz="4" w:space="0" w:color="auto"/>
              <w:left w:val="nil"/>
              <w:bottom w:val="single" w:sz="4" w:space="0" w:color="auto"/>
              <w:right w:val="nil"/>
            </w:tcBorders>
            <w:shd w:val="clear" w:color="auto" w:fill="auto"/>
            <w:noWrap/>
            <w:vAlign w:val="bottom"/>
            <w:hideMark/>
          </w:tcPr>
          <w:p w14:paraId="36062F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w:t>
            </w:r>
          </w:p>
        </w:tc>
        <w:tc>
          <w:tcPr>
            <w:tcW w:w="1107" w:type="dxa"/>
            <w:tcBorders>
              <w:top w:val="single" w:sz="4" w:space="0" w:color="auto"/>
              <w:left w:val="nil"/>
              <w:bottom w:val="single" w:sz="4" w:space="0" w:color="auto"/>
              <w:right w:val="nil"/>
            </w:tcBorders>
            <w:shd w:val="clear" w:color="auto" w:fill="auto"/>
            <w:noWrap/>
            <w:vAlign w:val="center"/>
            <w:hideMark/>
          </w:tcPr>
          <w:p w14:paraId="26485BA5" w14:textId="0EF6893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40F092D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w:t>
            </w:r>
          </w:p>
        </w:tc>
        <w:tc>
          <w:tcPr>
            <w:tcW w:w="1107" w:type="dxa"/>
            <w:tcBorders>
              <w:top w:val="nil"/>
              <w:left w:val="nil"/>
              <w:bottom w:val="single" w:sz="4" w:space="0" w:color="auto"/>
              <w:right w:val="single" w:sz="4" w:space="0" w:color="auto"/>
            </w:tcBorders>
            <w:shd w:val="clear" w:color="auto" w:fill="auto"/>
            <w:noWrap/>
            <w:vAlign w:val="center"/>
            <w:hideMark/>
          </w:tcPr>
          <w:p w14:paraId="683D5FDF" w14:textId="0ED6405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720" w:type="dxa"/>
            <w:tcBorders>
              <w:top w:val="single" w:sz="4" w:space="0" w:color="auto"/>
              <w:left w:val="nil"/>
              <w:bottom w:val="single" w:sz="4" w:space="0" w:color="auto"/>
              <w:right w:val="nil"/>
            </w:tcBorders>
            <w:shd w:val="clear" w:color="auto" w:fill="auto"/>
            <w:noWrap/>
            <w:vAlign w:val="bottom"/>
            <w:hideMark/>
          </w:tcPr>
          <w:p w14:paraId="1593E9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w:t>
            </w:r>
          </w:p>
        </w:tc>
        <w:tc>
          <w:tcPr>
            <w:tcW w:w="1107" w:type="dxa"/>
            <w:tcBorders>
              <w:top w:val="single" w:sz="4" w:space="0" w:color="auto"/>
              <w:left w:val="nil"/>
              <w:bottom w:val="single" w:sz="4" w:space="0" w:color="auto"/>
              <w:right w:val="nil"/>
            </w:tcBorders>
            <w:shd w:val="clear" w:color="auto" w:fill="auto"/>
            <w:noWrap/>
            <w:vAlign w:val="center"/>
            <w:hideMark/>
          </w:tcPr>
          <w:p w14:paraId="6665EE51" w14:textId="0175ED9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8430BD" w:rsidRPr="001C3EC8" w14:paraId="1BBAA92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287DD1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500" w:type="dxa"/>
            <w:tcBorders>
              <w:top w:val="nil"/>
              <w:left w:val="nil"/>
              <w:bottom w:val="single" w:sz="4" w:space="0" w:color="auto"/>
              <w:right w:val="nil"/>
            </w:tcBorders>
            <w:shd w:val="clear" w:color="auto" w:fill="auto"/>
            <w:noWrap/>
            <w:vAlign w:val="bottom"/>
            <w:hideMark/>
          </w:tcPr>
          <w:p w14:paraId="11398CF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w:t>
            </w:r>
          </w:p>
        </w:tc>
        <w:tc>
          <w:tcPr>
            <w:tcW w:w="1107" w:type="dxa"/>
            <w:tcBorders>
              <w:top w:val="nil"/>
              <w:left w:val="nil"/>
              <w:bottom w:val="single" w:sz="4" w:space="0" w:color="auto"/>
              <w:right w:val="nil"/>
            </w:tcBorders>
            <w:shd w:val="clear" w:color="auto" w:fill="auto"/>
            <w:noWrap/>
            <w:vAlign w:val="center"/>
            <w:hideMark/>
          </w:tcPr>
          <w:p w14:paraId="67E13F0F" w14:textId="1D3640C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473D1B2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w:t>
            </w:r>
          </w:p>
        </w:tc>
        <w:tc>
          <w:tcPr>
            <w:tcW w:w="1107" w:type="dxa"/>
            <w:tcBorders>
              <w:top w:val="nil"/>
              <w:left w:val="nil"/>
              <w:bottom w:val="single" w:sz="4" w:space="0" w:color="auto"/>
              <w:right w:val="single" w:sz="4" w:space="0" w:color="auto"/>
            </w:tcBorders>
            <w:shd w:val="clear" w:color="auto" w:fill="auto"/>
            <w:noWrap/>
            <w:vAlign w:val="center"/>
            <w:hideMark/>
          </w:tcPr>
          <w:p w14:paraId="0E47BF47" w14:textId="269C22F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720" w:type="dxa"/>
            <w:tcBorders>
              <w:top w:val="nil"/>
              <w:left w:val="nil"/>
              <w:bottom w:val="single" w:sz="4" w:space="0" w:color="auto"/>
              <w:right w:val="nil"/>
            </w:tcBorders>
            <w:shd w:val="clear" w:color="auto" w:fill="auto"/>
            <w:noWrap/>
            <w:vAlign w:val="bottom"/>
            <w:hideMark/>
          </w:tcPr>
          <w:p w14:paraId="7181AF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w:t>
            </w:r>
          </w:p>
        </w:tc>
        <w:tc>
          <w:tcPr>
            <w:tcW w:w="1107" w:type="dxa"/>
            <w:tcBorders>
              <w:top w:val="nil"/>
              <w:left w:val="nil"/>
              <w:bottom w:val="single" w:sz="4" w:space="0" w:color="auto"/>
              <w:right w:val="nil"/>
            </w:tcBorders>
            <w:shd w:val="clear" w:color="auto" w:fill="auto"/>
            <w:noWrap/>
            <w:vAlign w:val="center"/>
            <w:hideMark/>
          </w:tcPr>
          <w:p w14:paraId="17470C97" w14:textId="30E4C1A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+48 </w:t>
            </w:r>
            <w:r w:rsidR="00B07E76">
              <w:rPr>
                <w:rFonts w:eastAsia="Times New Roman"/>
                <w:color w:val="000000" w:themeColor="text1"/>
                <w:sz w:val="20"/>
                <w:szCs w:val="20"/>
                <w:lang w:eastAsia="cs-CZ"/>
              </w:rPr>
              <w:t>%</w:t>
            </w:r>
          </w:p>
        </w:tc>
      </w:tr>
      <w:tr w:rsidR="008430BD" w:rsidRPr="001C3EC8" w14:paraId="58F51529"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2F78AF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500" w:type="dxa"/>
            <w:tcBorders>
              <w:top w:val="nil"/>
              <w:left w:val="nil"/>
              <w:bottom w:val="single" w:sz="4" w:space="0" w:color="auto"/>
              <w:right w:val="nil"/>
            </w:tcBorders>
            <w:shd w:val="clear" w:color="auto" w:fill="auto"/>
            <w:noWrap/>
            <w:vAlign w:val="bottom"/>
            <w:hideMark/>
          </w:tcPr>
          <w:p w14:paraId="4D9B0B1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w:t>
            </w:r>
          </w:p>
        </w:tc>
        <w:tc>
          <w:tcPr>
            <w:tcW w:w="1107" w:type="dxa"/>
            <w:tcBorders>
              <w:top w:val="nil"/>
              <w:left w:val="nil"/>
              <w:bottom w:val="single" w:sz="4" w:space="0" w:color="auto"/>
              <w:right w:val="nil"/>
            </w:tcBorders>
            <w:shd w:val="clear" w:color="auto" w:fill="auto"/>
            <w:noWrap/>
            <w:vAlign w:val="center"/>
            <w:hideMark/>
          </w:tcPr>
          <w:p w14:paraId="500601CB" w14:textId="73D845E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117FB3A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1107" w:type="dxa"/>
            <w:tcBorders>
              <w:top w:val="nil"/>
              <w:left w:val="nil"/>
              <w:bottom w:val="single" w:sz="4" w:space="0" w:color="auto"/>
              <w:right w:val="single" w:sz="4" w:space="0" w:color="auto"/>
            </w:tcBorders>
            <w:shd w:val="clear" w:color="auto" w:fill="auto"/>
            <w:noWrap/>
            <w:vAlign w:val="center"/>
            <w:hideMark/>
          </w:tcPr>
          <w:p w14:paraId="6B1C88AD" w14:textId="44C5998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720" w:type="dxa"/>
            <w:tcBorders>
              <w:top w:val="nil"/>
              <w:left w:val="nil"/>
              <w:bottom w:val="single" w:sz="4" w:space="0" w:color="auto"/>
              <w:right w:val="nil"/>
            </w:tcBorders>
            <w:shd w:val="clear" w:color="auto" w:fill="auto"/>
            <w:noWrap/>
            <w:vAlign w:val="bottom"/>
            <w:hideMark/>
          </w:tcPr>
          <w:p w14:paraId="40B441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189</w:t>
            </w:r>
          </w:p>
        </w:tc>
        <w:tc>
          <w:tcPr>
            <w:tcW w:w="1107" w:type="dxa"/>
            <w:tcBorders>
              <w:top w:val="nil"/>
              <w:left w:val="nil"/>
              <w:bottom w:val="single" w:sz="4" w:space="0" w:color="auto"/>
              <w:right w:val="nil"/>
            </w:tcBorders>
            <w:shd w:val="clear" w:color="auto" w:fill="auto"/>
            <w:noWrap/>
            <w:vAlign w:val="center"/>
            <w:hideMark/>
          </w:tcPr>
          <w:p w14:paraId="5E4A06D5" w14:textId="12DEBE9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r>
      <w:tr w:rsidR="008430BD" w:rsidRPr="001C3EC8" w14:paraId="00299D1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D39A2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500" w:type="dxa"/>
            <w:tcBorders>
              <w:top w:val="nil"/>
              <w:left w:val="nil"/>
              <w:bottom w:val="single" w:sz="4" w:space="0" w:color="auto"/>
              <w:right w:val="nil"/>
            </w:tcBorders>
            <w:shd w:val="clear" w:color="auto" w:fill="auto"/>
            <w:noWrap/>
            <w:vAlign w:val="bottom"/>
            <w:hideMark/>
          </w:tcPr>
          <w:p w14:paraId="37193C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w:t>
            </w:r>
          </w:p>
        </w:tc>
        <w:tc>
          <w:tcPr>
            <w:tcW w:w="1107" w:type="dxa"/>
            <w:tcBorders>
              <w:top w:val="nil"/>
              <w:left w:val="nil"/>
              <w:bottom w:val="single" w:sz="4" w:space="0" w:color="auto"/>
              <w:right w:val="nil"/>
            </w:tcBorders>
            <w:shd w:val="clear" w:color="auto" w:fill="auto"/>
            <w:noWrap/>
            <w:vAlign w:val="center"/>
            <w:hideMark/>
          </w:tcPr>
          <w:p w14:paraId="5E2BA78C" w14:textId="50D1803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4BC781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w:t>
            </w:r>
          </w:p>
        </w:tc>
        <w:tc>
          <w:tcPr>
            <w:tcW w:w="1107" w:type="dxa"/>
            <w:tcBorders>
              <w:top w:val="nil"/>
              <w:left w:val="nil"/>
              <w:bottom w:val="single" w:sz="4" w:space="0" w:color="auto"/>
              <w:right w:val="single" w:sz="4" w:space="0" w:color="auto"/>
            </w:tcBorders>
            <w:shd w:val="clear" w:color="auto" w:fill="auto"/>
            <w:noWrap/>
            <w:vAlign w:val="center"/>
            <w:hideMark/>
          </w:tcPr>
          <w:p w14:paraId="3FC2A477" w14:textId="44EF592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720" w:type="dxa"/>
            <w:tcBorders>
              <w:top w:val="nil"/>
              <w:left w:val="nil"/>
              <w:bottom w:val="single" w:sz="4" w:space="0" w:color="auto"/>
              <w:right w:val="nil"/>
            </w:tcBorders>
            <w:shd w:val="clear" w:color="auto" w:fill="auto"/>
            <w:noWrap/>
            <w:vAlign w:val="bottom"/>
            <w:hideMark/>
          </w:tcPr>
          <w:p w14:paraId="292C4EA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136</w:t>
            </w:r>
          </w:p>
        </w:tc>
        <w:tc>
          <w:tcPr>
            <w:tcW w:w="1107" w:type="dxa"/>
            <w:tcBorders>
              <w:top w:val="nil"/>
              <w:left w:val="nil"/>
              <w:bottom w:val="single" w:sz="4" w:space="0" w:color="auto"/>
              <w:right w:val="nil"/>
            </w:tcBorders>
            <w:shd w:val="clear" w:color="auto" w:fill="auto"/>
            <w:noWrap/>
            <w:vAlign w:val="center"/>
            <w:hideMark/>
          </w:tcPr>
          <w:p w14:paraId="23D3672B" w14:textId="65A0024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r>
      <w:tr w:rsidR="008430BD" w:rsidRPr="001C3EC8" w14:paraId="7CF3B4F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77B2A6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500" w:type="dxa"/>
            <w:tcBorders>
              <w:top w:val="nil"/>
              <w:left w:val="nil"/>
              <w:bottom w:val="single" w:sz="4" w:space="0" w:color="auto"/>
              <w:right w:val="nil"/>
            </w:tcBorders>
            <w:shd w:val="clear" w:color="auto" w:fill="auto"/>
            <w:noWrap/>
            <w:vAlign w:val="bottom"/>
            <w:hideMark/>
          </w:tcPr>
          <w:p w14:paraId="2B15B49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w:t>
            </w:r>
          </w:p>
        </w:tc>
        <w:tc>
          <w:tcPr>
            <w:tcW w:w="1107" w:type="dxa"/>
            <w:tcBorders>
              <w:top w:val="nil"/>
              <w:left w:val="nil"/>
              <w:bottom w:val="single" w:sz="4" w:space="0" w:color="auto"/>
              <w:right w:val="nil"/>
            </w:tcBorders>
            <w:shd w:val="clear" w:color="auto" w:fill="auto"/>
            <w:noWrap/>
            <w:vAlign w:val="center"/>
            <w:hideMark/>
          </w:tcPr>
          <w:p w14:paraId="7ABDD58D" w14:textId="421E9EF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5FB674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c>
          <w:tcPr>
            <w:tcW w:w="1107" w:type="dxa"/>
            <w:tcBorders>
              <w:top w:val="nil"/>
              <w:left w:val="nil"/>
              <w:bottom w:val="single" w:sz="4" w:space="0" w:color="auto"/>
              <w:right w:val="single" w:sz="4" w:space="0" w:color="auto"/>
            </w:tcBorders>
            <w:shd w:val="clear" w:color="auto" w:fill="auto"/>
            <w:noWrap/>
            <w:vAlign w:val="center"/>
            <w:hideMark/>
          </w:tcPr>
          <w:p w14:paraId="759159F8" w14:textId="5046FE7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720" w:type="dxa"/>
            <w:tcBorders>
              <w:top w:val="nil"/>
              <w:left w:val="nil"/>
              <w:bottom w:val="single" w:sz="4" w:space="0" w:color="auto"/>
              <w:right w:val="nil"/>
            </w:tcBorders>
            <w:shd w:val="clear" w:color="auto" w:fill="auto"/>
            <w:noWrap/>
            <w:vAlign w:val="bottom"/>
            <w:hideMark/>
          </w:tcPr>
          <w:p w14:paraId="64356C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187</w:t>
            </w:r>
          </w:p>
        </w:tc>
        <w:tc>
          <w:tcPr>
            <w:tcW w:w="1107" w:type="dxa"/>
            <w:tcBorders>
              <w:top w:val="nil"/>
              <w:left w:val="nil"/>
              <w:bottom w:val="single" w:sz="4" w:space="0" w:color="auto"/>
              <w:right w:val="nil"/>
            </w:tcBorders>
            <w:shd w:val="clear" w:color="auto" w:fill="auto"/>
            <w:noWrap/>
            <w:vAlign w:val="center"/>
            <w:hideMark/>
          </w:tcPr>
          <w:p w14:paraId="708A1926" w14:textId="56A5F37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r>
      <w:tr w:rsidR="008430BD" w:rsidRPr="001C3EC8" w14:paraId="446E2D9F"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C71A8B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500" w:type="dxa"/>
            <w:tcBorders>
              <w:top w:val="nil"/>
              <w:left w:val="nil"/>
              <w:bottom w:val="single" w:sz="4" w:space="0" w:color="auto"/>
              <w:right w:val="nil"/>
            </w:tcBorders>
            <w:shd w:val="clear" w:color="auto" w:fill="auto"/>
            <w:noWrap/>
            <w:vAlign w:val="bottom"/>
            <w:hideMark/>
          </w:tcPr>
          <w:p w14:paraId="1F6257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w:t>
            </w:r>
          </w:p>
        </w:tc>
        <w:tc>
          <w:tcPr>
            <w:tcW w:w="1107" w:type="dxa"/>
            <w:tcBorders>
              <w:top w:val="nil"/>
              <w:left w:val="nil"/>
              <w:bottom w:val="single" w:sz="4" w:space="0" w:color="auto"/>
              <w:right w:val="nil"/>
            </w:tcBorders>
            <w:shd w:val="clear" w:color="auto" w:fill="auto"/>
            <w:noWrap/>
            <w:vAlign w:val="center"/>
            <w:hideMark/>
          </w:tcPr>
          <w:p w14:paraId="1AC7E16D" w14:textId="5852D6B7"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011FDFB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1107" w:type="dxa"/>
            <w:tcBorders>
              <w:top w:val="nil"/>
              <w:left w:val="nil"/>
              <w:bottom w:val="single" w:sz="4" w:space="0" w:color="auto"/>
              <w:right w:val="single" w:sz="4" w:space="0" w:color="auto"/>
            </w:tcBorders>
            <w:shd w:val="clear" w:color="auto" w:fill="auto"/>
            <w:noWrap/>
            <w:vAlign w:val="center"/>
            <w:hideMark/>
          </w:tcPr>
          <w:p w14:paraId="3ED5AC58" w14:textId="219BE7A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720" w:type="dxa"/>
            <w:tcBorders>
              <w:top w:val="nil"/>
              <w:left w:val="nil"/>
              <w:bottom w:val="single" w:sz="4" w:space="0" w:color="auto"/>
              <w:right w:val="nil"/>
            </w:tcBorders>
            <w:shd w:val="clear" w:color="auto" w:fill="auto"/>
            <w:noWrap/>
            <w:vAlign w:val="bottom"/>
            <w:hideMark/>
          </w:tcPr>
          <w:p w14:paraId="26418F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w:t>
            </w:r>
          </w:p>
        </w:tc>
        <w:tc>
          <w:tcPr>
            <w:tcW w:w="1107" w:type="dxa"/>
            <w:tcBorders>
              <w:top w:val="nil"/>
              <w:left w:val="nil"/>
              <w:bottom w:val="single" w:sz="4" w:space="0" w:color="auto"/>
              <w:right w:val="nil"/>
            </w:tcBorders>
            <w:shd w:val="clear" w:color="auto" w:fill="auto"/>
            <w:noWrap/>
            <w:vAlign w:val="center"/>
            <w:hideMark/>
          </w:tcPr>
          <w:p w14:paraId="3C2722C8" w14:textId="4A0D9F6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21BEC92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1D8F3D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500" w:type="dxa"/>
            <w:tcBorders>
              <w:top w:val="nil"/>
              <w:left w:val="nil"/>
              <w:bottom w:val="single" w:sz="4" w:space="0" w:color="auto"/>
              <w:right w:val="nil"/>
            </w:tcBorders>
            <w:shd w:val="clear" w:color="auto" w:fill="auto"/>
            <w:noWrap/>
            <w:vAlign w:val="bottom"/>
            <w:hideMark/>
          </w:tcPr>
          <w:p w14:paraId="0B1073F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w:t>
            </w:r>
          </w:p>
        </w:tc>
        <w:tc>
          <w:tcPr>
            <w:tcW w:w="1107" w:type="dxa"/>
            <w:tcBorders>
              <w:top w:val="nil"/>
              <w:left w:val="nil"/>
              <w:bottom w:val="single" w:sz="4" w:space="0" w:color="auto"/>
              <w:right w:val="nil"/>
            </w:tcBorders>
            <w:shd w:val="clear" w:color="auto" w:fill="auto"/>
            <w:noWrap/>
            <w:vAlign w:val="center"/>
            <w:hideMark/>
          </w:tcPr>
          <w:p w14:paraId="113D0520" w14:textId="70A30C3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499" w:type="dxa"/>
            <w:tcBorders>
              <w:top w:val="nil"/>
              <w:left w:val="single" w:sz="4" w:space="0" w:color="auto"/>
              <w:bottom w:val="single" w:sz="4" w:space="0" w:color="auto"/>
              <w:right w:val="nil"/>
            </w:tcBorders>
            <w:shd w:val="clear" w:color="auto" w:fill="auto"/>
            <w:noWrap/>
            <w:vAlign w:val="bottom"/>
            <w:hideMark/>
          </w:tcPr>
          <w:p w14:paraId="6CFA59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w:t>
            </w:r>
          </w:p>
        </w:tc>
        <w:tc>
          <w:tcPr>
            <w:tcW w:w="1107" w:type="dxa"/>
            <w:tcBorders>
              <w:top w:val="nil"/>
              <w:left w:val="nil"/>
              <w:bottom w:val="single" w:sz="4" w:space="0" w:color="auto"/>
              <w:right w:val="single" w:sz="4" w:space="0" w:color="auto"/>
            </w:tcBorders>
            <w:shd w:val="clear" w:color="auto" w:fill="auto"/>
            <w:noWrap/>
            <w:vAlign w:val="center"/>
            <w:hideMark/>
          </w:tcPr>
          <w:p w14:paraId="5B58562D" w14:textId="09DB08B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+33 </w:t>
            </w:r>
            <w:r w:rsidR="00B07E76">
              <w:rPr>
                <w:rFonts w:eastAsia="Times New Roman"/>
                <w:color w:val="000000" w:themeColor="text1"/>
                <w:sz w:val="20"/>
                <w:szCs w:val="20"/>
                <w:lang w:eastAsia="cs-CZ"/>
              </w:rPr>
              <w:t>%</w:t>
            </w:r>
          </w:p>
        </w:tc>
        <w:tc>
          <w:tcPr>
            <w:tcW w:w="720" w:type="dxa"/>
            <w:tcBorders>
              <w:top w:val="nil"/>
              <w:left w:val="nil"/>
              <w:bottom w:val="single" w:sz="4" w:space="0" w:color="auto"/>
              <w:right w:val="nil"/>
            </w:tcBorders>
            <w:shd w:val="clear" w:color="auto" w:fill="auto"/>
            <w:noWrap/>
            <w:vAlign w:val="bottom"/>
            <w:hideMark/>
          </w:tcPr>
          <w:p w14:paraId="66EED30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119</w:t>
            </w:r>
          </w:p>
        </w:tc>
        <w:tc>
          <w:tcPr>
            <w:tcW w:w="1107" w:type="dxa"/>
            <w:tcBorders>
              <w:top w:val="nil"/>
              <w:left w:val="nil"/>
              <w:bottom w:val="single" w:sz="4" w:space="0" w:color="auto"/>
              <w:right w:val="nil"/>
            </w:tcBorders>
            <w:shd w:val="clear" w:color="auto" w:fill="auto"/>
            <w:noWrap/>
            <w:vAlign w:val="center"/>
            <w:hideMark/>
          </w:tcPr>
          <w:p w14:paraId="7323068A" w14:textId="044F6CB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+40 </w:t>
            </w:r>
            <w:r w:rsidR="00B07E76">
              <w:rPr>
                <w:rFonts w:eastAsia="Times New Roman"/>
                <w:color w:val="000000" w:themeColor="text1"/>
                <w:sz w:val="20"/>
                <w:szCs w:val="20"/>
                <w:lang w:eastAsia="cs-CZ"/>
              </w:rPr>
              <w:t>%</w:t>
            </w:r>
          </w:p>
        </w:tc>
      </w:tr>
      <w:tr w:rsidR="008430BD" w:rsidRPr="001C3EC8" w14:paraId="231186EF"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2F37C21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500" w:type="dxa"/>
            <w:tcBorders>
              <w:top w:val="nil"/>
              <w:left w:val="nil"/>
              <w:bottom w:val="double" w:sz="6" w:space="0" w:color="auto"/>
              <w:right w:val="nil"/>
            </w:tcBorders>
            <w:shd w:val="clear" w:color="auto" w:fill="auto"/>
            <w:noWrap/>
            <w:vAlign w:val="bottom"/>
            <w:hideMark/>
          </w:tcPr>
          <w:p w14:paraId="091E064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w:t>
            </w:r>
          </w:p>
        </w:tc>
        <w:tc>
          <w:tcPr>
            <w:tcW w:w="1107" w:type="dxa"/>
            <w:tcBorders>
              <w:top w:val="nil"/>
              <w:left w:val="nil"/>
              <w:bottom w:val="double" w:sz="6" w:space="0" w:color="auto"/>
              <w:right w:val="nil"/>
            </w:tcBorders>
            <w:shd w:val="clear" w:color="auto" w:fill="auto"/>
            <w:noWrap/>
            <w:vAlign w:val="center"/>
            <w:hideMark/>
          </w:tcPr>
          <w:p w14:paraId="5FE2EF43" w14:textId="692B091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+25 </w:t>
            </w:r>
            <w:r w:rsidR="00B07E76">
              <w:rPr>
                <w:rFonts w:eastAsia="Times New Roman"/>
                <w:color w:val="000000" w:themeColor="text1"/>
                <w:sz w:val="20"/>
                <w:szCs w:val="20"/>
                <w:lang w:eastAsia="cs-CZ"/>
              </w:rPr>
              <w:t>%</w:t>
            </w:r>
          </w:p>
        </w:tc>
        <w:tc>
          <w:tcPr>
            <w:tcW w:w="499" w:type="dxa"/>
            <w:tcBorders>
              <w:top w:val="nil"/>
              <w:left w:val="single" w:sz="4" w:space="0" w:color="auto"/>
              <w:bottom w:val="double" w:sz="6" w:space="0" w:color="auto"/>
              <w:right w:val="nil"/>
            </w:tcBorders>
            <w:shd w:val="clear" w:color="auto" w:fill="auto"/>
            <w:noWrap/>
            <w:vAlign w:val="bottom"/>
            <w:hideMark/>
          </w:tcPr>
          <w:p w14:paraId="2001BC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w:t>
            </w:r>
          </w:p>
        </w:tc>
        <w:tc>
          <w:tcPr>
            <w:tcW w:w="1107" w:type="dxa"/>
            <w:tcBorders>
              <w:top w:val="nil"/>
              <w:left w:val="nil"/>
              <w:bottom w:val="double" w:sz="6" w:space="0" w:color="auto"/>
              <w:right w:val="single" w:sz="4" w:space="0" w:color="auto"/>
            </w:tcBorders>
            <w:shd w:val="clear" w:color="auto" w:fill="auto"/>
            <w:noWrap/>
            <w:vAlign w:val="center"/>
            <w:hideMark/>
          </w:tcPr>
          <w:p w14:paraId="7DAF07F0" w14:textId="666CEE3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720" w:type="dxa"/>
            <w:tcBorders>
              <w:top w:val="nil"/>
              <w:left w:val="nil"/>
              <w:bottom w:val="double" w:sz="6" w:space="0" w:color="auto"/>
              <w:right w:val="nil"/>
            </w:tcBorders>
            <w:shd w:val="clear" w:color="auto" w:fill="auto"/>
            <w:noWrap/>
            <w:vAlign w:val="bottom"/>
            <w:hideMark/>
          </w:tcPr>
          <w:p w14:paraId="3ED0880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144</w:t>
            </w:r>
          </w:p>
        </w:tc>
        <w:tc>
          <w:tcPr>
            <w:tcW w:w="1107" w:type="dxa"/>
            <w:tcBorders>
              <w:top w:val="nil"/>
              <w:left w:val="nil"/>
              <w:bottom w:val="double" w:sz="6" w:space="0" w:color="auto"/>
              <w:right w:val="nil"/>
            </w:tcBorders>
            <w:shd w:val="clear" w:color="auto" w:fill="auto"/>
            <w:noWrap/>
            <w:vAlign w:val="center"/>
            <w:hideMark/>
          </w:tcPr>
          <w:p w14:paraId="60FE9E73" w14:textId="1F1D741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r>
      <w:tr w:rsidR="008430BD" w:rsidRPr="001C3EC8" w14:paraId="3DA915AA"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72723A8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500" w:type="dxa"/>
            <w:tcBorders>
              <w:top w:val="nil"/>
              <w:left w:val="nil"/>
              <w:bottom w:val="double" w:sz="6" w:space="0" w:color="auto"/>
              <w:right w:val="nil"/>
            </w:tcBorders>
            <w:shd w:val="clear" w:color="auto" w:fill="auto"/>
            <w:noWrap/>
            <w:vAlign w:val="bottom"/>
            <w:hideMark/>
          </w:tcPr>
          <w:p w14:paraId="233CB76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64</w:t>
            </w:r>
          </w:p>
        </w:tc>
        <w:tc>
          <w:tcPr>
            <w:tcW w:w="1107" w:type="dxa"/>
            <w:tcBorders>
              <w:top w:val="nil"/>
              <w:left w:val="nil"/>
              <w:bottom w:val="double" w:sz="6" w:space="0" w:color="auto"/>
              <w:right w:val="nil"/>
            </w:tcBorders>
            <w:shd w:val="clear" w:color="auto" w:fill="auto"/>
            <w:noWrap/>
            <w:vAlign w:val="center"/>
            <w:hideMark/>
          </w:tcPr>
          <w:p w14:paraId="6B55644D" w14:textId="405501C6"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+14 </w:t>
            </w:r>
            <w:r w:rsidR="00B07E76">
              <w:rPr>
                <w:rFonts w:eastAsia="Times New Roman"/>
                <w:b/>
                <w:bCs/>
                <w:color w:val="000000" w:themeColor="text1"/>
                <w:sz w:val="20"/>
                <w:szCs w:val="20"/>
                <w:lang w:eastAsia="cs-CZ"/>
              </w:rPr>
              <w:t>%</w:t>
            </w:r>
          </w:p>
        </w:tc>
        <w:tc>
          <w:tcPr>
            <w:tcW w:w="499" w:type="dxa"/>
            <w:tcBorders>
              <w:top w:val="nil"/>
              <w:left w:val="single" w:sz="4" w:space="0" w:color="auto"/>
              <w:bottom w:val="double" w:sz="6" w:space="0" w:color="auto"/>
              <w:right w:val="nil"/>
            </w:tcBorders>
            <w:shd w:val="clear" w:color="auto" w:fill="auto"/>
            <w:noWrap/>
            <w:vAlign w:val="bottom"/>
            <w:hideMark/>
          </w:tcPr>
          <w:p w14:paraId="45F5D56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42</w:t>
            </w:r>
          </w:p>
        </w:tc>
        <w:tc>
          <w:tcPr>
            <w:tcW w:w="1107" w:type="dxa"/>
            <w:tcBorders>
              <w:top w:val="nil"/>
              <w:left w:val="nil"/>
              <w:bottom w:val="double" w:sz="6" w:space="0" w:color="auto"/>
              <w:right w:val="single" w:sz="4" w:space="0" w:color="auto"/>
            </w:tcBorders>
            <w:shd w:val="clear" w:color="auto" w:fill="auto"/>
            <w:noWrap/>
            <w:vAlign w:val="center"/>
            <w:hideMark/>
          </w:tcPr>
          <w:p w14:paraId="0308E54E" w14:textId="4EA71C49"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+17 </w:t>
            </w:r>
            <w:r w:rsidR="00B07E76">
              <w:rPr>
                <w:rFonts w:eastAsia="Times New Roman"/>
                <w:b/>
                <w:bCs/>
                <w:color w:val="000000" w:themeColor="text1"/>
                <w:sz w:val="20"/>
                <w:szCs w:val="20"/>
                <w:lang w:eastAsia="cs-CZ"/>
              </w:rPr>
              <w:t>%</w:t>
            </w:r>
          </w:p>
        </w:tc>
        <w:tc>
          <w:tcPr>
            <w:tcW w:w="720" w:type="dxa"/>
            <w:tcBorders>
              <w:top w:val="nil"/>
              <w:left w:val="nil"/>
              <w:bottom w:val="double" w:sz="6" w:space="0" w:color="auto"/>
              <w:right w:val="nil"/>
            </w:tcBorders>
            <w:shd w:val="clear" w:color="auto" w:fill="auto"/>
            <w:noWrap/>
            <w:vAlign w:val="bottom"/>
            <w:hideMark/>
          </w:tcPr>
          <w:p w14:paraId="075191B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121</w:t>
            </w:r>
          </w:p>
        </w:tc>
        <w:tc>
          <w:tcPr>
            <w:tcW w:w="1107" w:type="dxa"/>
            <w:tcBorders>
              <w:top w:val="nil"/>
              <w:left w:val="nil"/>
              <w:bottom w:val="double" w:sz="6" w:space="0" w:color="auto"/>
              <w:right w:val="nil"/>
            </w:tcBorders>
            <w:shd w:val="clear" w:color="auto" w:fill="auto"/>
            <w:noWrap/>
            <w:vAlign w:val="center"/>
            <w:hideMark/>
          </w:tcPr>
          <w:p w14:paraId="5F50E68A" w14:textId="02FA524D"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+19 </w:t>
            </w:r>
            <w:r w:rsidR="00B07E76">
              <w:rPr>
                <w:rFonts w:eastAsia="Times New Roman"/>
                <w:b/>
                <w:bCs/>
                <w:color w:val="000000" w:themeColor="text1"/>
                <w:sz w:val="20"/>
                <w:szCs w:val="20"/>
                <w:lang w:eastAsia="cs-CZ"/>
              </w:rPr>
              <w:t>%</w:t>
            </w:r>
          </w:p>
        </w:tc>
      </w:tr>
    </w:tbl>
    <w:p w14:paraId="1AB0E7A3" w14:textId="77777777" w:rsidR="008430BD" w:rsidRPr="001C3EC8" w:rsidRDefault="008430BD" w:rsidP="00E10CA4">
      <w:pPr>
        <w:pStyle w:val="OdstavecASR"/>
        <w:rPr>
          <w:color w:val="000000" w:themeColor="text1"/>
        </w:rPr>
      </w:pPr>
      <w:bookmarkStart w:id="555" w:name="_Toc515871394"/>
      <w:bookmarkStart w:id="556" w:name="_Toc11135125"/>
      <w:bookmarkStart w:id="557" w:name="_Toc43841444"/>
    </w:p>
    <w:p w14:paraId="0FB319A1" w14:textId="1ED77C1B" w:rsidR="008430BD" w:rsidRPr="001C3EC8" w:rsidRDefault="008430BD" w:rsidP="008430BD">
      <w:pPr>
        <w:pStyle w:val="Podnadpis"/>
        <w:rPr>
          <w:color w:val="000000" w:themeColor="text1"/>
        </w:rPr>
      </w:pPr>
      <w:bookmarkStart w:id="558" w:name="_Toc75952246"/>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66</w:t>
      </w:r>
      <w:r w:rsidRPr="001C3EC8">
        <w:rPr>
          <w:noProof/>
          <w:color w:val="000000" w:themeColor="text1"/>
        </w:rPr>
        <w:fldChar w:fldCharType="end"/>
      </w:r>
      <w:r w:rsidRPr="001C3EC8">
        <w:rPr>
          <w:color w:val="000000" w:themeColor="text1"/>
        </w:rPr>
        <w:t>: KS – distribuce délek trestního odvolacího řízení</w:t>
      </w:r>
      <w:bookmarkEnd w:id="555"/>
      <w:bookmarkEnd w:id="556"/>
      <w:bookmarkEnd w:id="557"/>
      <w:bookmarkEnd w:id="558"/>
    </w:p>
    <w:p w14:paraId="64EAFEEB"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6F9AD59C" wp14:editId="2201B2BE">
            <wp:extent cx="5114925" cy="3743325"/>
            <wp:effectExtent l="0" t="0" r="0" b="952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6425783" w14:textId="50925587" w:rsidR="008430BD" w:rsidRPr="001C3EC8" w:rsidRDefault="00DE269E" w:rsidP="008430BD">
      <w:pPr>
        <w:pStyle w:val="OdstavecASR"/>
        <w:rPr>
          <w:color w:val="000000" w:themeColor="text1"/>
        </w:rPr>
      </w:pPr>
      <w:r w:rsidRPr="001C3EC8">
        <w:rPr>
          <w:color w:val="000000" w:themeColor="text1"/>
        </w:rPr>
        <w:t>I</w:t>
      </w:r>
      <w:r>
        <w:rPr>
          <w:color w:val="000000" w:themeColor="text1"/>
        </w:rPr>
        <w:t> </w:t>
      </w:r>
      <w:r w:rsidR="008430BD" w:rsidRPr="001C3EC8">
        <w:rPr>
          <w:color w:val="000000" w:themeColor="text1"/>
        </w:rPr>
        <w:t>v histogramu je vidět, jak nízké délky řízení jsou. Suverénně největší skupina věcí byla vyřízena za 20 až 30 dnů. Asi 28 % (</w:t>
      </w:r>
      <w:r w:rsidRPr="001C3EC8">
        <w:rPr>
          <w:color w:val="000000" w:themeColor="text1"/>
        </w:rPr>
        <w:t>v</w:t>
      </w:r>
      <w:r>
        <w:rPr>
          <w:color w:val="000000" w:themeColor="text1"/>
        </w:rPr>
        <w:t> </w:t>
      </w:r>
      <w:r w:rsidR="008430BD" w:rsidRPr="001C3EC8">
        <w:rPr>
          <w:color w:val="000000" w:themeColor="text1"/>
        </w:rPr>
        <w:t>roce 2019 35 %) věcí bylo vyřízeno do 1 měsíce. Pouze asi jen 6 % (v</w:t>
      </w:r>
      <w:r w:rsidR="00E10CA4">
        <w:rPr>
          <w:color w:val="000000" w:themeColor="text1"/>
        </w:rPr>
        <w:t> </w:t>
      </w:r>
      <w:r w:rsidR="008430BD" w:rsidRPr="001C3EC8">
        <w:rPr>
          <w:color w:val="000000" w:themeColor="text1"/>
        </w:rPr>
        <w:t xml:space="preserve">roce 2019 5 %) případů bylo vyřízeno za více než 200 dnů. </w:t>
      </w:r>
      <w:r w:rsidR="00230552" w:rsidRPr="001C3EC8">
        <w:rPr>
          <w:color w:val="000000" w:themeColor="text1"/>
        </w:rPr>
        <w:t>H</w:t>
      </w:r>
      <w:r w:rsidR="008430BD" w:rsidRPr="001C3EC8">
        <w:rPr>
          <w:color w:val="000000" w:themeColor="text1"/>
        </w:rPr>
        <w:t xml:space="preserve">istogram </w:t>
      </w:r>
      <w:r w:rsidR="00230552" w:rsidRPr="001C3EC8">
        <w:rPr>
          <w:color w:val="000000" w:themeColor="text1"/>
        </w:rPr>
        <w:t xml:space="preserve">tak nicméně ukazuje </w:t>
      </w:r>
      <w:r w:rsidRPr="001C3EC8">
        <w:rPr>
          <w:color w:val="000000" w:themeColor="text1"/>
        </w:rPr>
        <w:t>i</w:t>
      </w:r>
      <w:r>
        <w:rPr>
          <w:color w:val="000000" w:themeColor="text1"/>
        </w:rPr>
        <w:t> </w:t>
      </w:r>
      <w:r w:rsidR="008430BD" w:rsidRPr="001C3EC8">
        <w:rPr>
          <w:color w:val="000000" w:themeColor="text1"/>
        </w:rPr>
        <w:t>nárůst v délkách řízení.</w:t>
      </w:r>
    </w:p>
    <w:p w14:paraId="5A2403C5" w14:textId="77777777" w:rsidR="008430BD" w:rsidRPr="001C3EC8" w:rsidRDefault="008430BD" w:rsidP="008430BD">
      <w:pPr>
        <w:pStyle w:val="OdstavecASR"/>
        <w:rPr>
          <w:color w:val="000000" w:themeColor="text1"/>
        </w:rPr>
      </w:pPr>
    </w:p>
    <w:p w14:paraId="32B18BD6" w14:textId="77777777" w:rsidR="008430BD" w:rsidRPr="001C3EC8" w:rsidRDefault="008430BD" w:rsidP="008430BD">
      <w:pPr>
        <w:pStyle w:val="OdstavecASR"/>
        <w:rPr>
          <w:color w:val="000000" w:themeColor="text1"/>
        </w:rPr>
      </w:pPr>
    </w:p>
    <w:p w14:paraId="604E6077" w14:textId="77777777" w:rsidR="008430BD" w:rsidRPr="001C3EC8" w:rsidRDefault="008430BD" w:rsidP="008430BD">
      <w:pPr>
        <w:pStyle w:val="OdstavecASR"/>
        <w:rPr>
          <w:color w:val="000000" w:themeColor="text1"/>
        </w:rPr>
      </w:pPr>
    </w:p>
    <w:p w14:paraId="39D79943" w14:textId="77777777" w:rsidR="008430BD" w:rsidRPr="001C3EC8" w:rsidRDefault="008430BD" w:rsidP="008430BD">
      <w:pPr>
        <w:pStyle w:val="OdstavecASR"/>
        <w:rPr>
          <w:color w:val="000000" w:themeColor="text1"/>
        </w:rPr>
      </w:pPr>
    </w:p>
    <w:p w14:paraId="1F1F65A0" w14:textId="77777777" w:rsidR="008430BD" w:rsidRPr="001C3EC8" w:rsidRDefault="008430BD" w:rsidP="008430BD">
      <w:pPr>
        <w:pStyle w:val="Nadpis3"/>
        <w:numPr>
          <w:ilvl w:val="2"/>
          <w:numId w:val="1"/>
        </w:numPr>
        <w:rPr>
          <w:color w:val="000000" w:themeColor="text1"/>
        </w:rPr>
      </w:pPr>
      <w:bookmarkStart w:id="559" w:name="_Ref511391173"/>
      <w:bookmarkStart w:id="560" w:name="_Toc515871264"/>
      <w:bookmarkStart w:id="561" w:name="_Ref40897302"/>
      <w:bookmarkStart w:id="562" w:name="_Toc75952105"/>
      <w:r w:rsidRPr="001C3EC8">
        <w:rPr>
          <w:color w:val="000000" w:themeColor="text1"/>
        </w:rPr>
        <w:lastRenderedPageBreak/>
        <w:t>Vyřizování věcí</w:t>
      </w:r>
      <w:bookmarkEnd w:id="559"/>
      <w:bookmarkEnd w:id="560"/>
      <w:bookmarkEnd w:id="561"/>
      <w:bookmarkEnd w:id="562"/>
    </w:p>
    <w:p w14:paraId="128A6D24" w14:textId="75F3442C" w:rsidR="008430BD" w:rsidRPr="001C3EC8" w:rsidRDefault="008430BD" w:rsidP="008430BD">
      <w:pPr>
        <w:pStyle w:val="Podnadpis"/>
        <w:rPr>
          <w:color w:val="000000" w:themeColor="text1"/>
        </w:rPr>
      </w:pPr>
      <w:bookmarkStart w:id="563" w:name="_Toc515871395"/>
      <w:bookmarkStart w:id="564" w:name="_Toc11135126"/>
      <w:bookmarkStart w:id="565" w:name="_Toc43841445"/>
      <w:bookmarkStart w:id="566" w:name="_Toc75952247"/>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67</w:t>
      </w:r>
      <w:r w:rsidRPr="001C3EC8">
        <w:rPr>
          <w:noProof/>
          <w:color w:val="000000" w:themeColor="text1"/>
        </w:rPr>
        <w:fldChar w:fldCharType="end"/>
      </w:r>
      <w:r w:rsidRPr="001C3EC8">
        <w:rPr>
          <w:color w:val="000000" w:themeColor="text1"/>
        </w:rPr>
        <w:t>: KS – vyřizování odvolacích trestních věcí v letech 2008–</w:t>
      </w:r>
      <w:bookmarkEnd w:id="563"/>
      <w:r w:rsidRPr="001C3EC8">
        <w:rPr>
          <w:color w:val="000000" w:themeColor="text1"/>
        </w:rPr>
        <w:t>20</w:t>
      </w:r>
      <w:bookmarkEnd w:id="564"/>
      <w:bookmarkEnd w:id="565"/>
      <w:r w:rsidRPr="001C3EC8">
        <w:rPr>
          <w:color w:val="000000" w:themeColor="text1"/>
        </w:rPr>
        <w:t>20</w:t>
      </w:r>
      <w:bookmarkEnd w:id="566"/>
    </w:p>
    <w:p w14:paraId="6389B287"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632DA3F" wp14:editId="57EB77B4">
            <wp:extent cx="5114925" cy="37433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492C494" w14:textId="0780F2F9" w:rsidR="008430BD" w:rsidRPr="001C3EC8" w:rsidRDefault="008430BD" w:rsidP="008430BD">
      <w:pPr>
        <w:pStyle w:val="OdstavecASR"/>
        <w:rPr>
          <w:color w:val="000000" w:themeColor="text1"/>
        </w:rPr>
      </w:pPr>
      <w:r w:rsidRPr="001C3EC8">
        <w:rPr>
          <w:color w:val="000000" w:themeColor="text1"/>
        </w:rPr>
        <w:t xml:space="preserve">Zajímavé je, že počet vyřízených trestních věcí u okresních soudů klesal, ale nápad v druhostupňové trestní agendě u krajských soudů byl v letech 2013 až 2016 stabilní. Až od roku 2017 se </w:t>
      </w:r>
      <w:r w:rsidR="00DE269E" w:rsidRPr="001C3EC8">
        <w:rPr>
          <w:color w:val="000000" w:themeColor="text1"/>
        </w:rPr>
        <w:t>i</w:t>
      </w:r>
      <w:r w:rsidR="00DE269E">
        <w:rPr>
          <w:color w:val="000000" w:themeColor="text1"/>
        </w:rPr>
        <w:t> </w:t>
      </w:r>
      <w:r w:rsidRPr="001C3EC8">
        <w:rPr>
          <w:color w:val="000000" w:themeColor="text1"/>
        </w:rPr>
        <w:t xml:space="preserve">zde objevil pokles. Nápad v této agendě neklesal, protože u okresních státních zastupitelství se snižoval počet věcí ve zkráceném přípravném řízení a tím docházelo ke snížení nápadu u okresních soudů. Jednalo se ale především o jednodušší trestní věci, které většinou končily u okresních soudů pravomocným trestním příkazem, proti němuž již podání odvolání není možné. Proto se pokles vyřízené prvostupňové agendy u okresních soudů většinou neprojevil v odvolací agendě krajských soudů. </w:t>
      </w:r>
      <w:r w:rsidR="00230552" w:rsidRPr="001C3EC8">
        <w:rPr>
          <w:color w:val="000000" w:themeColor="text1"/>
        </w:rPr>
        <w:t>V</w:t>
      </w:r>
      <w:r w:rsidRPr="001C3EC8">
        <w:rPr>
          <w:color w:val="000000" w:themeColor="text1"/>
        </w:rPr>
        <w:t xml:space="preserve"> roce 2020 </w:t>
      </w:r>
      <w:r w:rsidR="00CE1582" w:rsidRPr="001C3EC8">
        <w:rPr>
          <w:color w:val="000000" w:themeColor="text1"/>
        </w:rPr>
        <w:t xml:space="preserve">tomu </w:t>
      </w:r>
      <w:r w:rsidR="00230552" w:rsidRPr="001C3EC8">
        <w:rPr>
          <w:color w:val="000000" w:themeColor="text1"/>
        </w:rPr>
        <w:t xml:space="preserve">však </w:t>
      </w:r>
      <w:r w:rsidRPr="001C3EC8">
        <w:rPr>
          <w:color w:val="000000" w:themeColor="text1"/>
        </w:rPr>
        <w:t xml:space="preserve">již </w:t>
      </w:r>
      <w:r w:rsidR="00CE1582" w:rsidRPr="001C3EC8">
        <w:rPr>
          <w:color w:val="000000" w:themeColor="text1"/>
        </w:rPr>
        <w:t>bylo jinak, byť pokles</w:t>
      </w:r>
      <w:r w:rsidRPr="001C3EC8">
        <w:rPr>
          <w:color w:val="000000" w:themeColor="text1"/>
        </w:rPr>
        <w:t xml:space="preserve"> </w:t>
      </w:r>
      <w:r w:rsidR="00CE1582" w:rsidRPr="001C3EC8">
        <w:rPr>
          <w:color w:val="000000" w:themeColor="text1"/>
        </w:rPr>
        <w:t>o</w:t>
      </w:r>
      <w:r w:rsidRPr="001C3EC8">
        <w:rPr>
          <w:color w:val="000000" w:themeColor="text1"/>
        </w:rPr>
        <w:t>pět lze</w:t>
      </w:r>
      <w:r w:rsidR="00E10CA4">
        <w:rPr>
          <w:color w:val="000000" w:themeColor="text1"/>
        </w:rPr>
        <w:t xml:space="preserve"> </w:t>
      </w:r>
      <w:r w:rsidRPr="001C3EC8">
        <w:rPr>
          <w:color w:val="000000" w:themeColor="text1"/>
        </w:rPr>
        <w:t xml:space="preserve">přisoudit pandemii </w:t>
      </w:r>
      <w:r w:rsidR="000C3B1E">
        <w:rPr>
          <w:color w:val="000000" w:themeColor="text1"/>
        </w:rPr>
        <w:t>COVID</w:t>
      </w:r>
      <w:r w:rsidR="000C3B1E">
        <w:rPr>
          <w:color w:val="000000" w:themeColor="text1"/>
        </w:rPr>
        <w:noBreakHyphen/>
        <w:t>19</w:t>
      </w:r>
      <w:r w:rsidRPr="001C3EC8">
        <w:rPr>
          <w:color w:val="000000" w:themeColor="text1"/>
        </w:rPr>
        <w:t>. Počet nevyřízených věcí po několikaletém poklesu narostl. To spolu s nárůstem délek řízení ukazuje, že vyřizování této agendy bylo ovlivněn</w:t>
      </w:r>
      <w:r w:rsidR="00ED6972" w:rsidRPr="001C3EC8">
        <w:rPr>
          <w:color w:val="000000" w:themeColor="text1"/>
        </w:rPr>
        <w:t>o</w:t>
      </w:r>
      <w:r w:rsidRPr="001C3EC8">
        <w:rPr>
          <w:color w:val="000000" w:themeColor="text1"/>
        </w:rPr>
        <w:t xml:space="preserve"> pandemií, </w:t>
      </w:r>
      <w:r w:rsidR="00CE1582" w:rsidRPr="001C3EC8">
        <w:rPr>
          <w:color w:val="000000" w:themeColor="text1"/>
        </w:rPr>
        <w:t xml:space="preserve">byť </w:t>
      </w:r>
      <w:r w:rsidRPr="001C3EC8">
        <w:rPr>
          <w:color w:val="000000" w:themeColor="text1"/>
        </w:rPr>
        <w:t>nijak závažně.</w:t>
      </w:r>
    </w:p>
    <w:p w14:paraId="63CA536A" w14:textId="7861B9F0" w:rsidR="00E10CA4" w:rsidRDefault="008430BD" w:rsidP="008430BD">
      <w:pPr>
        <w:pStyle w:val="OdstavecASR"/>
        <w:rPr>
          <w:color w:val="000000" w:themeColor="text1"/>
        </w:rPr>
      </w:pPr>
      <w:bookmarkStart w:id="567" w:name="_Toc43931233"/>
      <w:r w:rsidRPr="001C3EC8">
        <w:rPr>
          <w:rStyle w:val="OdstavecASRChar"/>
          <w:color w:val="000000" w:themeColor="text1"/>
        </w:rPr>
        <w:t xml:space="preserve">V tabulce vidíme, že počet příchozích věcí klesl </w:t>
      </w:r>
      <w:r w:rsidR="00DE269E" w:rsidRPr="001C3EC8">
        <w:rPr>
          <w:rStyle w:val="OdstavecASRChar"/>
          <w:color w:val="000000" w:themeColor="text1"/>
        </w:rPr>
        <w:t>u</w:t>
      </w:r>
      <w:r w:rsidR="00DE269E">
        <w:rPr>
          <w:rStyle w:val="OdstavecASRChar"/>
          <w:color w:val="000000" w:themeColor="text1"/>
        </w:rPr>
        <w:t> </w:t>
      </w:r>
      <w:r w:rsidRPr="001C3EC8">
        <w:rPr>
          <w:rStyle w:val="OdstavecASRChar"/>
          <w:color w:val="000000" w:themeColor="text1"/>
        </w:rPr>
        <w:t xml:space="preserve">všech soudů </w:t>
      </w:r>
      <w:r w:rsidR="00DE269E" w:rsidRPr="001C3EC8">
        <w:rPr>
          <w:rStyle w:val="OdstavecASRChar"/>
          <w:color w:val="000000" w:themeColor="text1"/>
        </w:rPr>
        <w:t>a</w:t>
      </w:r>
      <w:r w:rsidR="00DE269E">
        <w:rPr>
          <w:rStyle w:val="OdstavecASRChar"/>
          <w:color w:val="000000" w:themeColor="text1"/>
        </w:rPr>
        <w:t> </w:t>
      </w:r>
      <w:r w:rsidRPr="001C3EC8">
        <w:rPr>
          <w:rStyle w:val="OdstavecASRChar"/>
          <w:color w:val="000000" w:themeColor="text1"/>
        </w:rPr>
        <w:t>počet nevyřízených věcí stoupl u všech soudů s výjimkou KS Brno. Relativní nárůst</w:t>
      </w:r>
      <w:r w:rsidR="00ED6972" w:rsidRPr="001C3EC8">
        <w:rPr>
          <w:rStyle w:val="OdstavecASRChar"/>
          <w:color w:val="000000" w:themeColor="text1"/>
        </w:rPr>
        <w:t>y</w:t>
      </w:r>
      <w:r w:rsidRPr="001C3EC8">
        <w:rPr>
          <w:rStyle w:val="OdstavecASRChar"/>
          <w:color w:val="000000" w:themeColor="text1"/>
        </w:rPr>
        <w:t xml:space="preserve"> jsou někdy opravdu vysoké (KS Praha – 131 %), což je dáno tím, že absolutní počet nevyřízených věcí </w:t>
      </w:r>
      <w:r w:rsidR="00DE269E" w:rsidRPr="001C3EC8">
        <w:rPr>
          <w:rStyle w:val="OdstavecASRChar"/>
          <w:color w:val="000000" w:themeColor="text1"/>
        </w:rPr>
        <w:t>u</w:t>
      </w:r>
      <w:r w:rsidR="00DE269E">
        <w:rPr>
          <w:rStyle w:val="OdstavecASRChar"/>
          <w:color w:val="000000" w:themeColor="text1"/>
        </w:rPr>
        <w:t> </w:t>
      </w:r>
      <w:r w:rsidRPr="001C3EC8">
        <w:rPr>
          <w:rStyle w:val="OdstavecASRChar"/>
          <w:color w:val="000000" w:themeColor="text1"/>
        </w:rPr>
        <w:t xml:space="preserve">toho byl </w:t>
      </w:r>
      <w:r w:rsidR="00DE269E" w:rsidRPr="001C3EC8">
        <w:rPr>
          <w:rStyle w:val="OdstavecASRChar"/>
          <w:color w:val="000000" w:themeColor="text1"/>
        </w:rPr>
        <w:t>a</w:t>
      </w:r>
      <w:r w:rsidR="00DE269E">
        <w:rPr>
          <w:rStyle w:val="OdstavecASRChar"/>
          <w:color w:val="000000" w:themeColor="text1"/>
        </w:rPr>
        <w:t> </w:t>
      </w:r>
      <w:r w:rsidRPr="001C3EC8">
        <w:rPr>
          <w:rStyle w:val="OdstavecASRChar"/>
          <w:color w:val="000000" w:themeColor="text1"/>
        </w:rPr>
        <w:t>stále je velmi nízký</w:t>
      </w:r>
      <w:r w:rsidR="00292D5B" w:rsidRPr="001C3EC8">
        <w:rPr>
          <w:color w:val="000000" w:themeColor="text1"/>
        </w:rPr>
        <w:t>.</w:t>
      </w:r>
    </w:p>
    <w:p w14:paraId="7D8C2BF1" w14:textId="200B1250" w:rsidR="008430BD" w:rsidRPr="001C3EC8" w:rsidRDefault="008430BD" w:rsidP="008430BD">
      <w:pPr>
        <w:pStyle w:val="OdstavecASR"/>
        <w:rPr>
          <w:rFonts w:eastAsia="Times New Roman"/>
          <w:b/>
          <w:iCs/>
          <w:color w:val="000000" w:themeColor="text1"/>
          <w:spacing w:val="15"/>
          <w:szCs w:val="24"/>
        </w:rPr>
      </w:pPr>
      <w:r w:rsidRPr="001C3EC8">
        <w:rPr>
          <w:color w:val="000000" w:themeColor="text1"/>
        </w:rPr>
        <w:br w:type="page"/>
      </w:r>
    </w:p>
    <w:p w14:paraId="057EB603" w14:textId="5C8BD3A9" w:rsidR="008430BD" w:rsidRPr="001C3EC8" w:rsidRDefault="008430BD" w:rsidP="008430BD">
      <w:pPr>
        <w:pStyle w:val="Podnadpis"/>
        <w:rPr>
          <w:color w:val="000000" w:themeColor="text1"/>
        </w:rPr>
      </w:pPr>
      <w:bookmarkStart w:id="568" w:name="_Toc75952366"/>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63</w:t>
      </w:r>
      <w:r w:rsidRPr="001C3EC8">
        <w:rPr>
          <w:noProof/>
          <w:color w:val="000000" w:themeColor="text1"/>
        </w:rPr>
        <w:fldChar w:fldCharType="end"/>
      </w:r>
      <w:r w:rsidRPr="001C3EC8">
        <w:rPr>
          <w:color w:val="000000" w:themeColor="text1"/>
        </w:rPr>
        <w:t>:</w:t>
      </w:r>
      <w:bookmarkStart w:id="569" w:name="_Toc485734615"/>
      <w:bookmarkStart w:id="570" w:name="_Toc487792853"/>
      <w:r w:rsidRPr="001C3EC8">
        <w:rPr>
          <w:color w:val="000000" w:themeColor="text1"/>
        </w:rPr>
        <w:t xml:space="preserve"> KS – vyřizování odvolacích trestních věcí dle soudů</w:t>
      </w:r>
      <w:bookmarkEnd w:id="567"/>
      <w:bookmarkEnd w:id="569"/>
      <w:bookmarkEnd w:id="570"/>
      <w:bookmarkEnd w:id="568"/>
    </w:p>
    <w:tbl>
      <w:tblPr>
        <w:tblW w:w="9100" w:type="dxa"/>
        <w:tblCellMar>
          <w:left w:w="70" w:type="dxa"/>
          <w:right w:w="70" w:type="dxa"/>
        </w:tblCellMar>
        <w:tblLook w:val="04A0" w:firstRow="1" w:lastRow="0" w:firstColumn="1" w:lastColumn="0" w:noHBand="0" w:noVBand="1"/>
      </w:tblPr>
      <w:tblGrid>
        <w:gridCol w:w="1820"/>
        <w:gridCol w:w="1019"/>
        <w:gridCol w:w="875"/>
        <w:gridCol w:w="986"/>
        <w:gridCol w:w="875"/>
        <w:gridCol w:w="818"/>
        <w:gridCol w:w="1167"/>
        <w:gridCol w:w="1540"/>
      </w:tblGrid>
      <w:tr w:rsidR="008430BD" w:rsidRPr="001C3EC8" w14:paraId="5A1EA842" w14:textId="77777777" w:rsidTr="009D3E54">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6919557F" w14:textId="4DDFAD90" w:rsidR="008430BD" w:rsidRPr="001C3EC8" w:rsidRDefault="008430BD" w:rsidP="00F66F3C">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740" w:type="dxa"/>
            <w:gridSpan w:val="6"/>
            <w:tcBorders>
              <w:top w:val="double" w:sz="6" w:space="0" w:color="auto"/>
              <w:left w:val="nil"/>
              <w:bottom w:val="nil"/>
              <w:right w:val="single" w:sz="4" w:space="0" w:color="000000"/>
            </w:tcBorders>
            <w:shd w:val="clear" w:color="auto" w:fill="auto"/>
            <w:noWrap/>
            <w:vAlign w:val="center"/>
            <w:hideMark/>
          </w:tcPr>
          <w:p w14:paraId="0BF1E32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59A2EB0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50306AEB" w14:textId="77777777" w:rsidTr="00E077F3">
        <w:trPr>
          <w:trHeight w:val="330"/>
        </w:trPr>
        <w:tc>
          <w:tcPr>
            <w:tcW w:w="1820" w:type="dxa"/>
            <w:vMerge/>
            <w:tcBorders>
              <w:top w:val="double" w:sz="6" w:space="0" w:color="auto"/>
              <w:left w:val="nil"/>
              <w:bottom w:val="double" w:sz="6" w:space="0" w:color="000000"/>
              <w:right w:val="nil"/>
            </w:tcBorders>
            <w:vAlign w:val="center"/>
            <w:hideMark/>
          </w:tcPr>
          <w:p w14:paraId="6529C178"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94" w:type="dxa"/>
            <w:gridSpan w:val="2"/>
            <w:tcBorders>
              <w:top w:val="nil"/>
              <w:left w:val="nil"/>
              <w:bottom w:val="double" w:sz="6" w:space="0" w:color="auto"/>
              <w:right w:val="nil"/>
            </w:tcBorders>
            <w:shd w:val="clear" w:color="auto" w:fill="auto"/>
            <w:noWrap/>
            <w:vAlign w:val="center"/>
            <w:hideMark/>
          </w:tcPr>
          <w:p w14:paraId="0DEFFC1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6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AA72D5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985" w:type="dxa"/>
            <w:gridSpan w:val="2"/>
            <w:tcBorders>
              <w:top w:val="nil"/>
              <w:left w:val="nil"/>
              <w:bottom w:val="double" w:sz="6" w:space="0" w:color="auto"/>
              <w:right w:val="single" w:sz="4" w:space="0" w:color="000000"/>
            </w:tcBorders>
            <w:shd w:val="clear" w:color="auto" w:fill="auto"/>
            <w:noWrap/>
            <w:vAlign w:val="center"/>
            <w:hideMark/>
          </w:tcPr>
          <w:p w14:paraId="0A8234E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403519ED"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279FFD74" w14:textId="77777777" w:rsidTr="00E077F3">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6C82A0B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19" w:type="dxa"/>
            <w:tcBorders>
              <w:top w:val="single" w:sz="4" w:space="0" w:color="auto"/>
              <w:left w:val="nil"/>
              <w:bottom w:val="single" w:sz="4" w:space="0" w:color="auto"/>
              <w:right w:val="nil"/>
            </w:tcBorders>
            <w:shd w:val="clear" w:color="auto" w:fill="auto"/>
            <w:noWrap/>
            <w:vAlign w:val="bottom"/>
            <w:hideMark/>
          </w:tcPr>
          <w:p w14:paraId="6A5BB90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3 385</w:t>
            </w:r>
          </w:p>
        </w:tc>
        <w:tc>
          <w:tcPr>
            <w:tcW w:w="875" w:type="dxa"/>
            <w:tcBorders>
              <w:top w:val="single" w:sz="4" w:space="0" w:color="auto"/>
              <w:left w:val="nil"/>
              <w:bottom w:val="single" w:sz="4" w:space="0" w:color="auto"/>
              <w:right w:val="nil"/>
            </w:tcBorders>
            <w:shd w:val="clear" w:color="auto" w:fill="auto"/>
            <w:noWrap/>
            <w:vAlign w:val="center"/>
            <w:hideMark/>
          </w:tcPr>
          <w:p w14:paraId="5BD574BD" w14:textId="5DB5A7F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986" w:type="dxa"/>
            <w:tcBorders>
              <w:top w:val="single" w:sz="4" w:space="0" w:color="auto"/>
              <w:left w:val="single" w:sz="4" w:space="0" w:color="auto"/>
              <w:bottom w:val="single" w:sz="4" w:space="0" w:color="auto"/>
              <w:right w:val="nil"/>
            </w:tcBorders>
            <w:shd w:val="clear" w:color="auto" w:fill="auto"/>
            <w:noWrap/>
            <w:vAlign w:val="bottom"/>
            <w:hideMark/>
          </w:tcPr>
          <w:p w14:paraId="26EC6FE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3 365</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578D79FC" w14:textId="347918D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18" w:type="dxa"/>
            <w:tcBorders>
              <w:top w:val="single" w:sz="4" w:space="0" w:color="auto"/>
              <w:left w:val="nil"/>
              <w:bottom w:val="single" w:sz="4" w:space="0" w:color="auto"/>
              <w:right w:val="nil"/>
            </w:tcBorders>
            <w:shd w:val="clear" w:color="auto" w:fill="auto"/>
            <w:noWrap/>
            <w:vAlign w:val="bottom"/>
            <w:hideMark/>
          </w:tcPr>
          <w:p w14:paraId="698D91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185</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7716130E" w14:textId="02BE1FF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24E606C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99,4 %</w:t>
            </w:r>
          </w:p>
        </w:tc>
      </w:tr>
      <w:tr w:rsidR="008430BD" w:rsidRPr="001C3EC8" w14:paraId="7D5A7FAB"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3FCB253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19" w:type="dxa"/>
            <w:tcBorders>
              <w:top w:val="nil"/>
              <w:left w:val="nil"/>
              <w:bottom w:val="single" w:sz="4" w:space="0" w:color="auto"/>
              <w:right w:val="nil"/>
            </w:tcBorders>
            <w:shd w:val="clear" w:color="auto" w:fill="auto"/>
            <w:noWrap/>
            <w:vAlign w:val="bottom"/>
            <w:hideMark/>
          </w:tcPr>
          <w:p w14:paraId="6F5F22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2 446</w:t>
            </w:r>
          </w:p>
        </w:tc>
        <w:tc>
          <w:tcPr>
            <w:tcW w:w="875" w:type="dxa"/>
            <w:tcBorders>
              <w:top w:val="nil"/>
              <w:left w:val="nil"/>
              <w:bottom w:val="single" w:sz="4" w:space="0" w:color="auto"/>
              <w:right w:val="nil"/>
            </w:tcBorders>
            <w:shd w:val="clear" w:color="auto" w:fill="auto"/>
            <w:noWrap/>
            <w:vAlign w:val="center"/>
            <w:hideMark/>
          </w:tcPr>
          <w:p w14:paraId="2FBA229F" w14:textId="6C4A745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986" w:type="dxa"/>
            <w:tcBorders>
              <w:top w:val="nil"/>
              <w:left w:val="single" w:sz="4" w:space="0" w:color="auto"/>
              <w:bottom w:val="single" w:sz="4" w:space="0" w:color="auto"/>
              <w:right w:val="nil"/>
            </w:tcBorders>
            <w:shd w:val="clear" w:color="auto" w:fill="auto"/>
            <w:noWrap/>
            <w:vAlign w:val="bottom"/>
            <w:hideMark/>
          </w:tcPr>
          <w:p w14:paraId="12CEFD1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2 412</w:t>
            </w:r>
          </w:p>
        </w:tc>
        <w:tc>
          <w:tcPr>
            <w:tcW w:w="875" w:type="dxa"/>
            <w:tcBorders>
              <w:top w:val="nil"/>
              <w:left w:val="nil"/>
              <w:bottom w:val="single" w:sz="4" w:space="0" w:color="auto"/>
              <w:right w:val="single" w:sz="4" w:space="0" w:color="auto"/>
            </w:tcBorders>
            <w:shd w:val="clear" w:color="auto" w:fill="auto"/>
            <w:noWrap/>
            <w:vAlign w:val="center"/>
            <w:hideMark/>
          </w:tcPr>
          <w:p w14:paraId="29D102B9" w14:textId="5F5A3E8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18" w:type="dxa"/>
            <w:tcBorders>
              <w:top w:val="nil"/>
              <w:left w:val="nil"/>
              <w:bottom w:val="single" w:sz="4" w:space="0" w:color="auto"/>
              <w:right w:val="nil"/>
            </w:tcBorders>
            <w:shd w:val="clear" w:color="auto" w:fill="auto"/>
            <w:noWrap/>
            <w:vAlign w:val="bottom"/>
            <w:hideMark/>
          </w:tcPr>
          <w:p w14:paraId="52624E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w:t>
            </w:r>
          </w:p>
        </w:tc>
        <w:tc>
          <w:tcPr>
            <w:tcW w:w="1167" w:type="dxa"/>
            <w:tcBorders>
              <w:top w:val="nil"/>
              <w:left w:val="nil"/>
              <w:bottom w:val="single" w:sz="4" w:space="0" w:color="auto"/>
              <w:right w:val="single" w:sz="4" w:space="0" w:color="auto"/>
            </w:tcBorders>
            <w:shd w:val="clear" w:color="auto" w:fill="auto"/>
            <w:noWrap/>
            <w:vAlign w:val="center"/>
            <w:hideMark/>
          </w:tcPr>
          <w:p w14:paraId="205AD539" w14:textId="3693CFD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57B2B1C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98,6 %</w:t>
            </w:r>
          </w:p>
        </w:tc>
      </w:tr>
      <w:tr w:rsidR="008430BD" w:rsidRPr="001C3EC8" w14:paraId="4A4EB8F7"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13E0D0A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19" w:type="dxa"/>
            <w:tcBorders>
              <w:top w:val="nil"/>
              <w:left w:val="nil"/>
              <w:bottom w:val="single" w:sz="4" w:space="0" w:color="auto"/>
              <w:right w:val="nil"/>
            </w:tcBorders>
            <w:shd w:val="clear" w:color="auto" w:fill="auto"/>
            <w:noWrap/>
            <w:vAlign w:val="bottom"/>
            <w:hideMark/>
          </w:tcPr>
          <w:p w14:paraId="32B1C1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1 066</w:t>
            </w:r>
          </w:p>
        </w:tc>
        <w:tc>
          <w:tcPr>
            <w:tcW w:w="875" w:type="dxa"/>
            <w:tcBorders>
              <w:top w:val="nil"/>
              <w:left w:val="nil"/>
              <w:bottom w:val="single" w:sz="4" w:space="0" w:color="auto"/>
              <w:right w:val="nil"/>
            </w:tcBorders>
            <w:shd w:val="clear" w:color="auto" w:fill="auto"/>
            <w:noWrap/>
            <w:vAlign w:val="center"/>
            <w:hideMark/>
          </w:tcPr>
          <w:p w14:paraId="6867B073" w14:textId="35675F7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986" w:type="dxa"/>
            <w:tcBorders>
              <w:top w:val="nil"/>
              <w:left w:val="single" w:sz="4" w:space="0" w:color="auto"/>
              <w:bottom w:val="single" w:sz="4" w:space="0" w:color="auto"/>
              <w:right w:val="nil"/>
            </w:tcBorders>
            <w:shd w:val="clear" w:color="auto" w:fill="auto"/>
            <w:noWrap/>
            <w:vAlign w:val="bottom"/>
            <w:hideMark/>
          </w:tcPr>
          <w:p w14:paraId="6CE912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1 021</w:t>
            </w:r>
          </w:p>
        </w:tc>
        <w:tc>
          <w:tcPr>
            <w:tcW w:w="875" w:type="dxa"/>
            <w:tcBorders>
              <w:top w:val="nil"/>
              <w:left w:val="nil"/>
              <w:bottom w:val="single" w:sz="4" w:space="0" w:color="auto"/>
              <w:right w:val="single" w:sz="4" w:space="0" w:color="auto"/>
            </w:tcBorders>
            <w:shd w:val="clear" w:color="auto" w:fill="auto"/>
            <w:noWrap/>
            <w:vAlign w:val="center"/>
            <w:hideMark/>
          </w:tcPr>
          <w:p w14:paraId="446C3A58" w14:textId="302BDC1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818" w:type="dxa"/>
            <w:tcBorders>
              <w:top w:val="nil"/>
              <w:left w:val="nil"/>
              <w:bottom w:val="single" w:sz="4" w:space="0" w:color="auto"/>
              <w:right w:val="nil"/>
            </w:tcBorders>
            <w:shd w:val="clear" w:color="auto" w:fill="auto"/>
            <w:noWrap/>
            <w:vAlign w:val="bottom"/>
            <w:hideMark/>
          </w:tcPr>
          <w:p w14:paraId="070719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142</w:t>
            </w:r>
          </w:p>
        </w:tc>
        <w:tc>
          <w:tcPr>
            <w:tcW w:w="1167" w:type="dxa"/>
            <w:tcBorders>
              <w:top w:val="nil"/>
              <w:left w:val="nil"/>
              <w:bottom w:val="single" w:sz="4" w:space="0" w:color="auto"/>
              <w:right w:val="single" w:sz="4" w:space="0" w:color="auto"/>
            </w:tcBorders>
            <w:shd w:val="clear" w:color="auto" w:fill="auto"/>
            <w:noWrap/>
            <w:vAlign w:val="center"/>
            <w:hideMark/>
          </w:tcPr>
          <w:p w14:paraId="3672297E" w14:textId="19DA4B1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+46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54AEA07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95,8 %</w:t>
            </w:r>
          </w:p>
        </w:tc>
      </w:tr>
      <w:tr w:rsidR="008430BD" w:rsidRPr="001C3EC8" w14:paraId="161C3A51"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491ABD5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19" w:type="dxa"/>
            <w:tcBorders>
              <w:top w:val="nil"/>
              <w:left w:val="nil"/>
              <w:bottom w:val="single" w:sz="4" w:space="0" w:color="auto"/>
              <w:right w:val="nil"/>
            </w:tcBorders>
            <w:shd w:val="clear" w:color="auto" w:fill="auto"/>
            <w:noWrap/>
            <w:vAlign w:val="bottom"/>
            <w:hideMark/>
          </w:tcPr>
          <w:p w14:paraId="21DF664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2 001</w:t>
            </w:r>
          </w:p>
        </w:tc>
        <w:tc>
          <w:tcPr>
            <w:tcW w:w="875" w:type="dxa"/>
            <w:tcBorders>
              <w:top w:val="nil"/>
              <w:left w:val="nil"/>
              <w:bottom w:val="single" w:sz="4" w:space="0" w:color="auto"/>
              <w:right w:val="nil"/>
            </w:tcBorders>
            <w:shd w:val="clear" w:color="auto" w:fill="auto"/>
            <w:noWrap/>
            <w:vAlign w:val="center"/>
            <w:hideMark/>
          </w:tcPr>
          <w:p w14:paraId="1262EB24" w14:textId="343CDBF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986" w:type="dxa"/>
            <w:tcBorders>
              <w:top w:val="nil"/>
              <w:left w:val="single" w:sz="4" w:space="0" w:color="auto"/>
              <w:bottom w:val="single" w:sz="4" w:space="0" w:color="auto"/>
              <w:right w:val="nil"/>
            </w:tcBorders>
            <w:shd w:val="clear" w:color="auto" w:fill="auto"/>
            <w:noWrap/>
            <w:vAlign w:val="bottom"/>
            <w:hideMark/>
          </w:tcPr>
          <w:p w14:paraId="77E36C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1 963</w:t>
            </w:r>
          </w:p>
        </w:tc>
        <w:tc>
          <w:tcPr>
            <w:tcW w:w="875" w:type="dxa"/>
            <w:tcBorders>
              <w:top w:val="nil"/>
              <w:left w:val="nil"/>
              <w:bottom w:val="single" w:sz="4" w:space="0" w:color="auto"/>
              <w:right w:val="single" w:sz="4" w:space="0" w:color="auto"/>
            </w:tcBorders>
            <w:shd w:val="clear" w:color="auto" w:fill="auto"/>
            <w:noWrap/>
            <w:vAlign w:val="center"/>
            <w:hideMark/>
          </w:tcPr>
          <w:p w14:paraId="6AC7C744" w14:textId="1ED721F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18" w:type="dxa"/>
            <w:tcBorders>
              <w:top w:val="nil"/>
              <w:left w:val="nil"/>
              <w:bottom w:val="single" w:sz="4" w:space="0" w:color="auto"/>
              <w:right w:val="nil"/>
            </w:tcBorders>
            <w:shd w:val="clear" w:color="auto" w:fill="auto"/>
            <w:noWrap/>
            <w:vAlign w:val="bottom"/>
            <w:hideMark/>
          </w:tcPr>
          <w:p w14:paraId="0D34738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217</w:t>
            </w:r>
          </w:p>
        </w:tc>
        <w:tc>
          <w:tcPr>
            <w:tcW w:w="1167" w:type="dxa"/>
            <w:tcBorders>
              <w:top w:val="nil"/>
              <w:left w:val="nil"/>
              <w:bottom w:val="single" w:sz="4" w:space="0" w:color="auto"/>
              <w:right w:val="single" w:sz="4" w:space="0" w:color="auto"/>
            </w:tcBorders>
            <w:shd w:val="clear" w:color="auto" w:fill="auto"/>
            <w:noWrap/>
            <w:vAlign w:val="center"/>
            <w:hideMark/>
          </w:tcPr>
          <w:p w14:paraId="30405384" w14:textId="301A08A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2ED0AA2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98,1 %</w:t>
            </w:r>
          </w:p>
        </w:tc>
      </w:tr>
      <w:tr w:rsidR="008430BD" w:rsidRPr="001C3EC8" w14:paraId="735D23A9"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53F5E5F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19" w:type="dxa"/>
            <w:tcBorders>
              <w:top w:val="nil"/>
              <w:left w:val="nil"/>
              <w:bottom w:val="single" w:sz="4" w:space="0" w:color="auto"/>
              <w:right w:val="nil"/>
            </w:tcBorders>
            <w:shd w:val="clear" w:color="auto" w:fill="auto"/>
            <w:noWrap/>
            <w:vAlign w:val="bottom"/>
            <w:hideMark/>
          </w:tcPr>
          <w:p w14:paraId="1B849C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2 941</w:t>
            </w:r>
          </w:p>
        </w:tc>
        <w:tc>
          <w:tcPr>
            <w:tcW w:w="875" w:type="dxa"/>
            <w:tcBorders>
              <w:top w:val="nil"/>
              <w:left w:val="nil"/>
              <w:bottom w:val="single" w:sz="4" w:space="0" w:color="auto"/>
              <w:right w:val="nil"/>
            </w:tcBorders>
            <w:shd w:val="clear" w:color="auto" w:fill="auto"/>
            <w:noWrap/>
            <w:vAlign w:val="center"/>
            <w:hideMark/>
          </w:tcPr>
          <w:p w14:paraId="4979D382" w14:textId="323DB67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986" w:type="dxa"/>
            <w:tcBorders>
              <w:top w:val="nil"/>
              <w:left w:val="single" w:sz="4" w:space="0" w:color="auto"/>
              <w:bottom w:val="single" w:sz="4" w:space="0" w:color="auto"/>
              <w:right w:val="nil"/>
            </w:tcBorders>
            <w:shd w:val="clear" w:color="auto" w:fill="auto"/>
            <w:noWrap/>
            <w:vAlign w:val="bottom"/>
            <w:hideMark/>
          </w:tcPr>
          <w:p w14:paraId="61B4083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2 887</w:t>
            </w:r>
          </w:p>
        </w:tc>
        <w:tc>
          <w:tcPr>
            <w:tcW w:w="875" w:type="dxa"/>
            <w:tcBorders>
              <w:top w:val="nil"/>
              <w:left w:val="nil"/>
              <w:bottom w:val="single" w:sz="4" w:space="0" w:color="auto"/>
              <w:right w:val="single" w:sz="4" w:space="0" w:color="auto"/>
            </w:tcBorders>
            <w:shd w:val="clear" w:color="auto" w:fill="auto"/>
            <w:noWrap/>
            <w:vAlign w:val="center"/>
            <w:hideMark/>
          </w:tcPr>
          <w:p w14:paraId="52AB94E5" w14:textId="4FFDF1D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18" w:type="dxa"/>
            <w:tcBorders>
              <w:top w:val="nil"/>
              <w:left w:val="nil"/>
              <w:bottom w:val="single" w:sz="4" w:space="0" w:color="auto"/>
              <w:right w:val="nil"/>
            </w:tcBorders>
            <w:shd w:val="clear" w:color="auto" w:fill="auto"/>
            <w:noWrap/>
            <w:vAlign w:val="bottom"/>
            <w:hideMark/>
          </w:tcPr>
          <w:p w14:paraId="1B7C058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360</w:t>
            </w:r>
          </w:p>
        </w:tc>
        <w:tc>
          <w:tcPr>
            <w:tcW w:w="1167" w:type="dxa"/>
            <w:tcBorders>
              <w:top w:val="nil"/>
              <w:left w:val="nil"/>
              <w:bottom w:val="single" w:sz="4" w:space="0" w:color="auto"/>
              <w:right w:val="single" w:sz="4" w:space="0" w:color="auto"/>
            </w:tcBorders>
            <w:shd w:val="clear" w:color="auto" w:fill="auto"/>
            <w:noWrap/>
            <w:vAlign w:val="center"/>
            <w:hideMark/>
          </w:tcPr>
          <w:p w14:paraId="7FEC30C7" w14:textId="3539DEC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231839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98,2 %</w:t>
            </w:r>
          </w:p>
        </w:tc>
      </w:tr>
      <w:tr w:rsidR="008430BD" w:rsidRPr="001C3EC8" w14:paraId="02807FA8"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572DEEC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19" w:type="dxa"/>
            <w:tcBorders>
              <w:top w:val="nil"/>
              <w:left w:val="nil"/>
              <w:bottom w:val="single" w:sz="4" w:space="0" w:color="auto"/>
              <w:right w:val="nil"/>
            </w:tcBorders>
            <w:shd w:val="clear" w:color="auto" w:fill="auto"/>
            <w:noWrap/>
            <w:vAlign w:val="bottom"/>
            <w:hideMark/>
          </w:tcPr>
          <w:p w14:paraId="182EF13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1 813</w:t>
            </w:r>
          </w:p>
        </w:tc>
        <w:tc>
          <w:tcPr>
            <w:tcW w:w="875" w:type="dxa"/>
            <w:tcBorders>
              <w:top w:val="nil"/>
              <w:left w:val="nil"/>
              <w:bottom w:val="single" w:sz="4" w:space="0" w:color="auto"/>
              <w:right w:val="nil"/>
            </w:tcBorders>
            <w:shd w:val="clear" w:color="auto" w:fill="auto"/>
            <w:noWrap/>
            <w:vAlign w:val="center"/>
            <w:hideMark/>
          </w:tcPr>
          <w:p w14:paraId="5BE95E91" w14:textId="0E9F067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986" w:type="dxa"/>
            <w:tcBorders>
              <w:top w:val="nil"/>
              <w:left w:val="single" w:sz="4" w:space="0" w:color="auto"/>
              <w:bottom w:val="single" w:sz="4" w:space="0" w:color="auto"/>
              <w:right w:val="nil"/>
            </w:tcBorders>
            <w:shd w:val="clear" w:color="auto" w:fill="auto"/>
            <w:noWrap/>
            <w:vAlign w:val="bottom"/>
            <w:hideMark/>
          </w:tcPr>
          <w:p w14:paraId="22DDBD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1 812</w:t>
            </w:r>
          </w:p>
        </w:tc>
        <w:tc>
          <w:tcPr>
            <w:tcW w:w="875" w:type="dxa"/>
            <w:tcBorders>
              <w:top w:val="nil"/>
              <w:left w:val="nil"/>
              <w:bottom w:val="single" w:sz="4" w:space="0" w:color="auto"/>
              <w:right w:val="single" w:sz="4" w:space="0" w:color="auto"/>
            </w:tcBorders>
            <w:shd w:val="clear" w:color="auto" w:fill="auto"/>
            <w:noWrap/>
            <w:vAlign w:val="center"/>
            <w:hideMark/>
          </w:tcPr>
          <w:p w14:paraId="2FB666B6" w14:textId="343DFF1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18" w:type="dxa"/>
            <w:tcBorders>
              <w:top w:val="nil"/>
              <w:left w:val="nil"/>
              <w:bottom w:val="single" w:sz="4" w:space="0" w:color="auto"/>
              <w:right w:val="nil"/>
            </w:tcBorders>
            <w:shd w:val="clear" w:color="auto" w:fill="auto"/>
            <w:noWrap/>
            <w:vAlign w:val="bottom"/>
            <w:hideMark/>
          </w:tcPr>
          <w:p w14:paraId="038F2A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w:t>
            </w:r>
          </w:p>
        </w:tc>
        <w:tc>
          <w:tcPr>
            <w:tcW w:w="1167" w:type="dxa"/>
            <w:tcBorders>
              <w:top w:val="nil"/>
              <w:left w:val="nil"/>
              <w:bottom w:val="single" w:sz="4" w:space="0" w:color="auto"/>
              <w:right w:val="single" w:sz="4" w:space="0" w:color="auto"/>
            </w:tcBorders>
            <w:shd w:val="clear" w:color="auto" w:fill="auto"/>
            <w:noWrap/>
            <w:vAlign w:val="center"/>
            <w:hideMark/>
          </w:tcPr>
          <w:p w14:paraId="2658E7E3" w14:textId="0BF2704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3BC4A87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99,9 %</w:t>
            </w:r>
          </w:p>
        </w:tc>
      </w:tr>
      <w:tr w:rsidR="008430BD" w:rsidRPr="001C3EC8" w14:paraId="025FACF7"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16AE050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19" w:type="dxa"/>
            <w:tcBorders>
              <w:top w:val="nil"/>
              <w:left w:val="nil"/>
              <w:bottom w:val="single" w:sz="4" w:space="0" w:color="auto"/>
              <w:right w:val="nil"/>
            </w:tcBorders>
            <w:shd w:val="clear" w:color="auto" w:fill="auto"/>
            <w:noWrap/>
            <w:vAlign w:val="bottom"/>
            <w:hideMark/>
          </w:tcPr>
          <w:p w14:paraId="2D02E1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2 765</w:t>
            </w:r>
          </w:p>
        </w:tc>
        <w:tc>
          <w:tcPr>
            <w:tcW w:w="875" w:type="dxa"/>
            <w:tcBorders>
              <w:top w:val="nil"/>
              <w:left w:val="nil"/>
              <w:bottom w:val="single" w:sz="4" w:space="0" w:color="auto"/>
              <w:right w:val="nil"/>
            </w:tcBorders>
            <w:shd w:val="clear" w:color="auto" w:fill="auto"/>
            <w:noWrap/>
            <w:vAlign w:val="center"/>
            <w:hideMark/>
          </w:tcPr>
          <w:p w14:paraId="628AA4C2" w14:textId="000EA0E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986" w:type="dxa"/>
            <w:tcBorders>
              <w:top w:val="nil"/>
              <w:left w:val="single" w:sz="4" w:space="0" w:color="auto"/>
              <w:bottom w:val="single" w:sz="4" w:space="0" w:color="auto"/>
              <w:right w:val="nil"/>
            </w:tcBorders>
            <w:shd w:val="clear" w:color="auto" w:fill="auto"/>
            <w:noWrap/>
            <w:vAlign w:val="bottom"/>
            <w:hideMark/>
          </w:tcPr>
          <w:p w14:paraId="7BDF997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2 775</w:t>
            </w:r>
          </w:p>
        </w:tc>
        <w:tc>
          <w:tcPr>
            <w:tcW w:w="875" w:type="dxa"/>
            <w:tcBorders>
              <w:top w:val="nil"/>
              <w:left w:val="nil"/>
              <w:bottom w:val="single" w:sz="4" w:space="0" w:color="auto"/>
              <w:right w:val="single" w:sz="4" w:space="0" w:color="auto"/>
            </w:tcBorders>
            <w:shd w:val="clear" w:color="auto" w:fill="auto"/>
            <w:noWrap/>
            <w:vAlign w:val="center"/>
            <w:hideMark/>
          </w:tcPr>
          <w:p w14:paraId="4C1049A5" w14:textId="11CF43F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18" w:type="dxa"/>
            <w:tcBorders>
              <w:top w:val="nil"/>
              <w:left w:val="nil"/>
              <w:bottom w:val="single" w:sz="4" w:space="0" w:color="auto"/>
              <w:right w:val="nil"/>
            </w:tcBorders>
            <w:shd w:val="clear" w:color="auto" w:fill="auto"/>
            <w:noWrap/>
            <w:vAlign w:val="bottom"/>
            <w:hideMark/>
          </w:tcPr>
          <w:p w14:paraId="27E614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257</w:t>
            </w:r>
          </w:p>
        </w:tc>
        <w:tc>
          <w:tcPr>
            <w:tcW w:w="1167" w:type="dxa"/>
            <w:tcBorders>
              <w:top w:val="nil"/>
              <w:left w:val="nil"/>
              <w:bottom w:val="single" w:sz="4" w:space="0" w:color="auto"/>
              <w:right w:val="single" w:sz="4" w:space="0" w:color="auto"/>
            </w:tcBorders>
            <w:shd w:val="clear" w:color="auto" w:fill="auto"/>
            <w:noWrap/>
            <w:vAlign w:val="center"/>
            <w:hideMark/>
          </w:tcPr>
          <w:p w14:paraId="40BC090E" w14:textId="35B8009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08B4279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100,4 %</w:t>
            </w:r>
          </w:p>
        </w:tc>
      </w:tr>
      <w:tr w:rsidR="008430BD" w:rsidRPr="001C3EC8" w14:paraId="5784D61F" w14:textId="77777777" w:rsidTr="00E077F3">
        <w:trPr>
          <w:trHeight w:val="330"/>
        </w:trPr>
        <w:tc>
          <w:tcPr>
            <w:tcW w:w="1820" w:type="dxa"/>
            <w:tcBorders>
              <w:top w:val="nil"/>
              <w:left w:val="nil"/>
              <w:bottom w:val="double" w:sz="6" w:space="0" w:color="auto"/>
              <w:right w:val="nil"/>
            </w:tcBorders>
            <w:shd w:val="clear" w:color="auto" w:fill="auto"/>
            <w:noWrap/>
            <w:vAlign w:val="bottom"/>
            <w:hideMark/>
          </w:tcPr>
          <w:p w14:paraId="2B7B42C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19" w:type="dxa"/>
            <w:tcBorders>
              <w:top w:val="nil"/>
              <w:left w:val="nil"/>
              <w:bottom w:val="double" w:sz="6" w:space="0" w:color="auto"/>
              <w:right w:val="nil"/>
            </w:tcBorders>
            <w:shd w:val="clear" w:color="auto" w:fill="auto"/>
            <w:noWrap/>
            <w:vAlign w:val="bottom"/>
            <w:hideMark/>
          </w:tcPr>
          <w:p w14:paraId="32BE2F0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3 419</w:t>
            </w:r>
          </w:p>
        </w:tc>
        <w:tc>
          <w:tcPr>
            <w:tcW w:w="875" w:type="dxa"/>
            <w:tcBorders>
              <w:top w:val="nil"/>
              <w:left w:val="nil"/>
              <w:bottom w:val="double" w:sz="6" w:space="0" w:color="auto"/>
              <w:right w:val="nil"/>
            </w:tcBorders>
            <w:shd w:val="clear" w:color="auto" w:fill="auto"/>
            <w:noWrap/>
            <w:vAlign w:val="center"/>
            <w:hideMark/>
          </w:tcPr>
          <w:p w14:paraId="451F02BF" w14:textId="4B8E925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986" w:type="dxa"/>
            <w:tcBorders>
              <w:top w:val="nil"/>
              <w:left w:val="single" w:sz="4" w:space="0" w:color="auto"/>
              <w:bottom w:val="double" w:sz="6" w:space="0" w:color="auto"/>
              <w:right w:val="nil"/>
            </w:tcBorders>
            <w:shd w:val="clear" w:color="auto" w:fill="auto"/>
            <w:noWrap/>
            <w:vAlign w:val="bottom"/>
            <w:hideMark/>
          </w:tcPr>
          <w:p w14:paraId="51B946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3 377</w:t>
            </w:r>
          </w:p>
        </w:tc>
        <w:tc>
          <w:tcPr>
            <w:tcW w:w="875" w:type="dxa"/>
            <w:tcBorders>
              <w:top w:val="nil"/>
              <w:left w:val="nil"/>
              <w:bottom w:val="double" w:sz="6" w:space="0" w:color="auto"/>
              <w:right w:val="single" w:sz="4" w:space="0" w:color="auto"/>
            </w:tcBorders>
            <w:shd w:val="clear" w:color="auto" w:fill="auto"/>
            <w:noWrap/>
            <w:vAlign w:val="center"/>
            <w:hideMark/>
          </w:tcPr>
          <w:p w14:paraId="4BC36927" w14:textId="7E00D69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18" w:type="dxa"/>
            <w:tcBorders>
              <w:top w:val="nil"/>
              <w:left w:val="nil"/>
              <w:bottom w:val="double" w:sz="6" w:space="0" w:color="auto"/>
              <w:right w:val="nil"/>
            </w:tcBorders>
            <w:shd w:val="clear" w:color="auto" w:fill="auto"/>
            <w:noWrap/>
            <w:vAlign w:val="bottom"/>
            <w:hideMark/>
          </w:tcPr>
          <w:p w14:paraId="22A5D3D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353</w:t>
            </w:r>
          </w:p>
        </w:tc>
        <w:tc>
          <w:tcPr>
            <w:tcW w:w="1167" w:type="dxa"/>
            <w:tcBorders>
              <w:top w:val="nil"/>
              <w:left w:val="nil"/>
              <w:bottom w:val="double" w:sz="6" w:space="0" w:color="auto"/>
              <w:right w:val="single" w:sz="4" w:space="0" w:color="auto"/>
            </w:tcBorders>
            <w:shd w:val="clear" w:color="auto" w:fill="auto"/>
            <w:noWrap/>
            <w:vAlign w:val="center"/>
            <w:hideMark/>
          </w:tcPr>
          <w:p w14:paraId="4EBD7ED4" w14:textId="5655D2B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56B778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98,8 %</w:t>
            </w:r>
          </w:p>
        </w:tc>
      </w:tr>
      <w:tr w:rsidR="008430BD" w:rsidRPr="001C3EC8" w14:paraId="6D5ECE23" w14:textId="77777777" w:rsidTr="00E077F3">
        <w:trPr>
          <w:trHeight w:val="345"/>
        </w:trPr>
        <w:tc>
          <w:tcPr>
            <w:tcW w:w="1820" w:type="dxa"/>
            <w:tcBorders>
              <w:top w:val="nil"/>
              <w:left w:val="nil"/>
              <w:bottom w:val="double" w:sz="6" w:space="0" w:color="auto"/>
              <w:right w:val="nil"/>
            </w:tcBorders>
            <w:shd w:val="clear" w:color="auto" w:fill="auto"/>
            <w:noWrap/>
            <w:vAlign w:val="bottom"/>
            <w:hideMark/>
          </w:tcPr>
          <w:p w14:paraId="1E174FD6"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19" w:type="dxa"/>
            <w:tcBorders>
              <w:top w:val="nil"/>
              <w:left w:val="nil"/>
              <w:bottom w:val="double" w:sz="6" w:space="0" w:color="auto"/>
              <w:right w:val="nil"/>
            </w:tcBorders>
            <w:shd w:val="clear" w:color="auto" w:fill="auto"/>
            <w:noWrap/>
            <w:vAlign w:val="bottom"/>
            <w:hideMark/>
          </w:tcPr>
          <w:p w14:paraId="7F5E7FC8" w14:textId="21A24EB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19</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836</w:t>
            </w:r>
          </w:p>
        </w:tc>
        <w:tc>
          <w:tcPr>
            <w:tcW w:w="875" w:type="dxa"/>
            <w:tcBorders>
              <w:top w:val="nil"/>
              <w:left w:val="nil"/>
              <w:bottom w:val="double" w:sz="6" w:space="0" w:color="auto"/>
              <w:right w:val="nil"/>
            </w:tcBorders>
            <w:shd w:val="clear" w:color="auto" w:fill="auto"/>
            <w:noWrap/>
            <w:vAlign w:val="center"/>
            <w:hideMark/>
          </w:tcPr>
          <w:p w14:paraId="675920F4" w14:textId="6E588C7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-10 </w:t>
            </w:r>
            <w:r w:rsidR="00B07E76">
              <w:rPr>
                <w:rFonts w:eastAsia="Times New Roman"/>
                <w:b/>
                <w:bCs/>
                <w:color w:val="000000" w:themeColor="text1"/>
                <w:sz w:val="20"/>
                <w:szCs w:val="20"/>
                <w:lang w:eastAsia="cs-CZ"/>
              </w:rPr>
              <w:t>%</w:t>
            </w:r>
          </w:p>
        </w:tc>
        <w:tc>
          <w:tcPr>
            <w:tcW w:w="986" w:type="dxa"/>
            <w:tcBorders>
              <w:top w:val="nil"/>
              <w:left w:val="single" w:sz="4" w:space="0" w:color="auto"/>
              <w:bottom w:val="double" w:sz="6" w:space="0" w:color="auto"/>
              <w:right w:val="nil"/>
            </w:tcBorders>
            <w:shd w:val="clear" w:color="auto" w:fill="auto"/>
            <w:noWrap/>
            <w:vAlign w:val="bottom"/>
            <w:hideMark/>
          </w:tcPr>
          <w:p w14:paraId="61520FDF" w14:textId="6AB23FDB"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19</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612</w:t>
            </w:r>
          </w:p>
        </w:tc>
        <w:tc>
          <w:tcPr>
            <w:tcW w:w="875" w:type="dxa"/>
            <w:tcBorders>
              <w:top w:val="nil"/>
              <w:left w:val="nil"/>
              <w:bottom w:val="double" w:sz="6" w:space="0" w:color="auto"/>
              <w:right w:val="single" w:sz="4" w:space="0" w:color="auto"/>
            </w:tcBorders>
            <w:shd w:val="clear" w:color="auto" w:fill="auto"/>
            <w:noWrap/>
            <w:vAlign w:val="center"/>
            <w:hideMark/>
          </w:tcPr>
          <w:p w14:paraId="2437D90C" w14:textId="79E3055A"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-12 </w:t>
            </w:r>
            <w:r w:rsidR="00B07E76">
              <w:rPr>
                <w:rFonts w:eastAsia="Times New Roman"/>
                <w:b/>
                <w:bCs/>
                <w:color w:val="000000" w:themeColor="text1"/>
                <w:sz w:val="20"/>
                <w:szCs w:val="20"/>
                <w:lang w:eastAsia="cs-CZ"/>
              </w:rPr>
              <w:t>%</w:t>
            </w:r>
          </w:p>
        </w:tc>
        <w:tc>
          <w:tcPr>
            <w:tcW w:w="818" w:type="dxa"/>
            <w:tcBorders>
              <w:top w:val="nil"/>
              <w:left w:val="nil"/>
              <w:bottom w:val="double" w:sz="6" w:space="0" w:color="auto"/>
              <w:right w:val="nil"/>
            </w:tcBorders>
            <w:shd w:val="clear" w:color="auto" w:fill="auto"/>
            <w:noWrap/>
            <w:vAlign w:val="bottom"/>
            <w:hideMark/>
          </w:tcPr>
          <w:p w14:paraId="0D8E5E94" w14:textId="5348A70C"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662</w:t>
            </w:r>
          </w:p>
        </w:tc>
        <w:tc>
          <w:tcPr>
            <w:tcW w:w="1167" w:type="dxa"/>
            <w:tcBorders>
              <w:top w:val="nil"/>
              <w:left w:val="nil"/>
              <w:bottom w:val="double" w:sz="6" w:space="0" w:color="auto"/>
              <w:right w:val="single" w:sz="4" w:space="0" w:color="auto"/>
            </w:tcBorders>
            <w:shd w:val="clear" w:color="auto" w:fill="auto"/>
            <w:noWrap/>
            <w:vAlign w:val="center"/>
            <w:hideMark/>
          </w:tcPr>
          <w:p w14:paraId="29CF169A" w14:textId="6A8269BF"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+16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08A2ECB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98,9 %</w:t>
            </w:r>
          </w:p>
        </w:tc>
      </w:tr>
    </w:tbl>
    <w:p w14:paraId="69170960" w14:textId="77777777" w:rsidR="008430BD" w:rsidRPr="001C3EC8" w:rsidRDefault="008430BD" w:rsidP="008430BD">
      <w:pPr>
        <w:rPr>
          <w:color w:val="000000" w:themeColor="text1"/>
        </w:rPr>
      </w:pPr>
    </w:p>
    <w:p w14:paraId="33CFA109" w14:textId="77777777" w:rsidR="008430BD" w:rsidRPr="001C3EC8" w:rsidRDefault="008430BD" w:rsidP="008430BD">
      <w:pPr>
        <w:pStyle w:val="Nadpis3"/>
        <w:numPr>
          <w:ilvl w:val="2"/>
          <w:numId w:val="1"/>
        </w:numPr>
        <w:rPr>
          <w:color w:val="000000" w:themeColor="text1"/>
        </w:rPr>
      </w:pPr>
      <w:bookmarkStart w:id="571" w:name="_Toc75952106"/>
      <w:r w:rsidRPr="001C3EC8">
        <w:rPr>
          <w:color w:val="000000" w:themeColor="text1"/>
        </w:rPr>
        <w:t>Vyřizování v přepočtu na soudce</w:t>
      </w:r>
      <w:bookmarkEnd w:id="571"/>
    </w:p>
    <w:p w14:paraId="3F61A518" w14:textId="721903EA" w:rsidR="008430BD" w:rsidRPr="001C3EC8" w:rsidRDefault="00CE1582" w:rsidP="008430BD">
      <w:pPr>
        <w:rPr>
          <w:color w:val="000000" w:themeColor="text1"/>
        </w:rPr>
      </w:pPr>
      <w:r w:rsidRPr="001C3EC8">
        <w:rPr>
          <w:color w:val="000000" w:themeColor="text1"/>
        </w:rPr>
        <w:t>Tabulka</w:t>
      </w:r>
      <w:r w:rsidR="008430BD" w:rsidRPr="001C3EC8">
        <w:rPr>
          <w:color w:val="000000" w:themeColor="text1"/>
        </w:rPr>
        <w:t xml:space="preserve"> opět </w:t>
      </w:r>
      <w:r w:rsidRPr="001C3EC8">
        <w:rPr>
          <w:color w:val="000000" w:themeColor="text1"/>
        </w:rPr>
        <w:t>uvádí</w:t>
      </w:r>
      <w:r w:rsidR="008430BD" w:rsidRPr="001C3EC8">
        <w:rPr>
          <w:color w:val="000000" w:themeColor="text1"/>
        </w:rPr>
        <w:t xml:space="preserve"> přepočet na </w:t>
      </w:r>
      <w:r w:rsidR="00F7096E">
        <w:rPr>
          <w:color w:val="000000" w:themeColor="text1"/>
        </w:rPr>
        <w:t>skutečný úvazek</w:t>
      </w:r>
      <w:r w:rsidR="00F7096E" w:rsidRPr="001C3EC8">
        <w:rPr>
          <w:color w:val="000000" w:themeColor="text1"/>
        </w:rPr>
        <w:t xml:space="preserve"> </w:t>
      </w:r>
      <w:r w:rsidR="008430BD" w:rsidRPr="001C3EC8">
        <w:rPr>
          <w:color w:val="000000" w:themeColor="text1"/>
        </w:rPr>
        <w:t>dle nově dostupných dat. V počtu vyřízených a příchozích věcí na soudce</w:t>
      </w:r>
      <w:r w:rsidR="00F7096E">
        <w:rPr>
          <w:color w:val="000000" w:themeColor="text1"/>
        </w:rPr>
        <w:t xml:space="preserve"> (míněno na skutečný úvazek)</w:t>
      </w:r>
      <w:r w:rsidR="008430BD" w:rsidRPr="001C3EC8">
        <w:rPr>
          <w:color w:val="000000" w:themeColor="text1"/>
        </w:rPr>
        <w:t xml:space="preserve"> vidíme, že mezi soudy jsou určité rozdíly, ale žádný soud extrémně nevybočuje. Suverénně nejméně nevyřízených věcí na soudce má KS Praha, nejvíce jich pak má KS Ústí nad Labem. Výsledky jsou víceméně v souladu s výsledky z předchozí části </w:t>
      </w:r>
      <w:r w:rsidR="00DE269E" w:rsidRPr="001C3EC8">
        <w:rPr>
          <w:color w:val="000000" w:themeColor="text1"/>
        </w:rPr>
        <w:t>o</w:t>
      </w:r>
      <w:r w:rsidR="00DE269E">
        <w:rPr>
          <w:color w:val="000000" w:themeColor="text1"/>
        </w:rPr>
        <w:t> </w:t>
      </w:r>
      <w:r w:rsidR="008430BD" w:rsidRPr="001C3EC8">
        <w:rPr>
          <w:color w:val="000000" w:themeColor="text1"/>
        </w:rPr>
        <w:t>délkách řízení.</w:t>
      </w:r>
    </w:p>
    <w:p w14:paraId="200766DB" w14:textId="71EF34DF" w:rsidR="008430BD" w:rsidRPr="001C3EC8" w:rsidRDefault="008430BD" w:rsidP="008430BD">
      <w:pPr>
        <w:pStyle w:val="Podnadpis"/>
        <w:rPr>
          <w:color w:val="000000" w:themeColor="text1"/>
        </w:rPr>
      </w:pPr>
      <w:bookmarkStart w:id="572" w:name="_Toc43931234"/>
      <w:bookmarkStart w:id="573" w:name="_Toc75952367"/>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64</w:t>
      </w:r>
      <w:r w:rsidRPr="001C3EC8">
        <w:rPr>
          <w:noProof/>
          <w:color w:val="000000" w:themeColor="text1"/>
        </w:rPr>
        <w:fldChar w:fldCharType="end"/>
      </w:r>
      <w:r w:rsidRPr="001C3EC8">
        <w:rPr>
          <w:color w:val="000000" w:themeColor="text1"/>
        </w:rPr>
        <w:t xml:space="preserve">: KS – </w:t>
      </w:r>
      <w:proofErr w:type="spellStart"/>
      <w:r w:rsidRPr="001C3EC8">
        <w:rPr>
          <w:color w:val="000000" w:themeColor="text1"/>
        </w:rPr>
        <w:t>vyřiz</w:t>
      </w:r>
      <w:proofErr w:type="spellEnd"/>
      <w:r w:rsidR="00505E06">
        <w:rPr>
          <w:color w:val="000000" w:themeColor="text1"/>
        </w:rPr>
        <w:t>.</w:t>
      </w:r>
      <w:r w:rsidRPr="001C3EC8">
        <w:rPr>
          <w:color w:val="000000" w:themeColor="text1"/>
        </w:rPr>
        <w:t xml:space="preserve"> odvolacích </w:t>
      </w:r>
      <w:proofErr w:type="spellStart"/>
      <w:r w:rsidRPr="001C3EC8">
        <w:rPr>
          <w:color w:val="000000" w:themeColor="text1"/>
        </w:rPr>
        <w:t>tr</w:t>
      </w:r>
      <w:proofErr w:type="spellEnd"/>
      <w:r w:rsidR="00505E06">
        <w:rPr>
          <w:color w:val="000000" w:themeColor="text1"/>
        </w:rPr>
        <w:t>.</w:t>
      </w:r>
      <w:r w:rsidRPr="001C3EC8">
        <w:rPr>
          <w:color w:val="000000" w:themeColor="text1"/>
        </w:rPr>
        <w:t xml:space="preserve"> věcí</w:t>
      </w:r>
      <w:r w:rsidR="00505E06">
        <w:rPr>
          <w:color w:val="000000" w:themeColor="text1"/>
        </w:rPr>
        <w:t xml:space="preserve"> na</w:t>
      </w:r>
      <w:r w:rsidRPr="001C3EC8">
        <w:rPr>
          <w:color w:val="000000" w:themeColor="text1"/>
        </w:rPr>
        <w:t xml:space="preserve"> </w:t>
      </w:r>
      <w:r w:rsidR="00F7096E">
        <w:rPr>
          <w:color w:val="000000" w:themeColor="text1"/>
        </w:rPr>
        <w:t>skutečný úvazek</w:t>
      </w:r>
      <w:r w:rsidRPr="001C3EC8">
        <w:rPr>
          <w:color w:val="000000" w:themeColor="text1"/>
        </w:rPr>
        <w:t xml:space="preserve"> dle soudů</w:t>
      </w:r>
      <w:bookmarkEnd w:id="572"/>
      <w:bookmarkEnd w:id="573"/>
    </w:p>
    <w:tbl>
      <w:tblPr>
        <w:tblW w:w="9240" w:type="dxa"/>
        <w:tblCellMar>
          <w:left w:w="70" w:type="dxa"/>
          <w:right w:w="70" w:type="dxa"/>
        </w:tblCellMar>
        <w:tblLook w:val="04A0" w:firstRow="1" w:lastRow="0" w:firstColumn="1" w:lastColumn="0" w:noHBand="0" w:noVBand="1"/>
      </w:tblPr>
      <w:tblGrid>
        <w:gridCol w:w="2060"/>
        <w:gridCol w:w="1060"/>
        <w:gridCol w:w="1137"/>
        <w:gridCol w:w="872"/>
        <w:gridCol w:w="1137"/>
        <w:gridCol w:w="872"/>
        <w:gridCol w:w="939"/>
        <w:gridCol w:w="1163"/>
      </w:tblGrid>
      <w:tr w:rsidR="00963326" w:rsidRPr="001C3EC8" w14:paraId="757D14F2" w14:textId="77777777" w:rsidTr="00963326">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486FC40D"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02C0F7A6"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6120" w:type="dxa"/>
            <w:gridSpan w:val="6"/>
            <w:tcBorders>
              <w:top w:val="double" w:sz="6" w:space="0" w:color="auto"/>
              <w:left w:val="nil"/>
              <w:bottom w:val="nil"/>
              <w:right w:val="nil"/>
            </w:tcBorders>
            <w:shd w:val="clear" w:color="auto" w:fill="auto"/>
            <w:noWrap/>
            <w:vAlign w:val="center"/>
            <w:hideMark/>
          </w:tcPr>
          <w:p w14:paraId="3FE95560"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963326" w:rsidRPr="001C3EC8" w14:paraId="23690953" w14:textId="77777777" w:rsidTr="00963326">
        <w:trPr>
          <w:trHeight w:val="330"/>
        </w:trPr>
        <w:tc>
          <w:tcPr>
            <w:tcW w:w="2060" w:type="dxa"/>
            <w:vMerge/>
            <w:tcBorders>
              <w:top w:val="double" w:sz="6" w:space="0" w:color="auto"/>
              <w:left w:val="nil"/>
              <w:bottom w:val="double" w:sz="6" w:space="0" w:color="000000"/>
              <w:right w:val="nil"/>
            </w:tcBorders>
            <w:vAlign w:val="center"/>
            <w:hideMark/>
          </w:tcPr>
          <w:p w14:paraId="5A998D49" w14:textId="77777777" w:rsidR="00963326" w:rsidRPr="001C3EC8" w:rsidRDefault="00963326" w:rsidP="00963326">
            <w:pPr>
              <w:spacing w:line="240" w:lineRule="auto"/>
              <w:jc w:val="left"/>
              <w:rPr>
                <w:rFonts w:eastAsia="Times New Roman"/>
                <w:b/>
                <w:bCs/>
                <w:color w:val="000000" w:themeColor="text1"/>
                <w:szCs w:val="24"/>
                <w:lang w:eastAsia="cs-CZ"/>
              </w:rPr>
            </w:pPr>
          </w:p>
        </w:tc>
        <w:tc>
          <w:tcPr>
            <w:tcW w:w="1060" w:type="dxa"/>
            <w:vMerge/>
            <w:tcBorders>
              <w:top w:val="double" w:sz="6" w:space="0" w:color="auto"/>
              <w:left w:val="nil"/>
              <w:bottom w:val="double" w:sz="6" w:space="0" w:color="000000"/>
              <w:right w:val="nil"/>
            </w:tcBorders>
            <w:vAlign w:val="center"/>
            <w:hideMark/>
          </w:tcPr>
          <w:p w14:paraId="4FCE0FA5" w14:textId="77777777" w:rsidR="00963326" w:rsidRPr="001C3EC8" w:rsidRDefault="00963326" w:rsidP="00963326">
            <w:pPr>
              <w:spacing w:line="240" w:lineRule="auto"/>
              <w:jc w:val="left"/>
              <w:rPr>
                <w:rFonts w:eastAsia="Times New Roman"/>
                <w:b/>
                <w:bCs/>
                <w:color w:val="000000" w:themeColor="text1"/>
                <w:szCs w:val="24"/>
                <w:lang w:eastAsia="cs-CZ"/>
              </w:rPr>
            </w:pPr>
          </w:p>
        </w:tc>
        <w:tc>
          <w:tcPr>
            <w:tcW w:w="2009" w:type="dxa"/>
            <w:gridSpan w:val="2"/>
            <w:tcBorders>
              <w:top w:val="nil"/>
              <w:left w:val="nil"/>
              <w:bottom w:val="double" w:sz="6" w:space="0" w:color="auto"/>
              <w:right w:val="nil"/>
            </w:tcBorders>
            <w:shd w:val="clear" w:color="auto" w:fill="auto"/>
            <w:noWrap/>
            <w:vAlign w:val="center"/>
            <w:hideMark/>
          </w:tcPr>
          <w:p w14:paraId="2F3B1CE3"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200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9CFF22E"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2102" w:type="dxa"/>
            <w:gridSpan w:val="2"/>
            <w:tcBorders>
              <w:top w:val="nil"/>
              <w:left w:val="nil"/>
              <w:bottom w:val="double" w:sz="6" w:space="0" w:color="auto"/>
              <w:right w:val="nil"/>
            </w:tcBorders>
            <w:shd w:val="clear" w:color="auto" w:fill="auto"/>
            <w:noWrap/>
            <w:vAlign w:val="center"/>
            <w:hideMark/>
          </w:tcPr>
          <w:p w14:paraId="098A8DA8"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963326" w:rsidRPr="001C3EC8" w14:paraId="50D749D5" w14:textId="77777777" w:rsidTr="00963326">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0F977DD6"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bottom"/>
            <w:hideMark/>
          </w:tcPr>
          <w:p w14:paraId="41C33590" w14:textId="7777777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p>
        </w:tc>
        <w:tc>
          <w:tcPr>
            <w:tcW w:w="1137" w:type="dxa"/>
            <w:tcBorders>
              <w:top w:val="single" w:sz="4" w:space="0" w:color="auto"/>
              <w:left w:val="nil"/>
              <w:bottom w:val="single" w:sz="4" w:space="0" w:color="auto"/>
              <w:right w:val="nil"/>
            </w:tcBorders>
            <w:shd w:val="clear" w:color="auto" w:fill="auto"/>
            <w:noWrap/>
            <w:vAlign w:val="bottom"/>
            <w:hideMark/>
          </w:tcPr>
          <w:p w14:paraId="78EA9F57" w14:textId="1C3D4B79"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147,17</w:t>
            </w:r>
          </w:p>
        </w:tc>
        <w:tc>
          <w:tcPr>
            <w:tcW w:w="872" w:type="dxa"/>
            <w:tcBorders>
              <w:top w:val="single" w:sz="4" w:space="0" w:color="auto"/>
              <w:left w:val="nil"/>
              <w:bottom w:val="single" w:sz="4" w:space="0" w:color="auto"/>
              <w:right w:val="nil"/>
            </w:tcBorders>
            <w:shd w:val="clear" w:color="auto" w:fill="auto"/>
            <w:noWrap/>
            <w:vAlign w:val="center"/>
            <w:hideMark/>
          </w:tcPr>
          <w:p w14:paraId="5BEFB820" w14:textId="62C06950"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167796A5" w14:textId="6E3F0C06"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146,30</w:t>
            </w:r>
          </w:p>
        </w:tc>
        <w:tc>
          <w:tcPr>
            <w:tcW w:w="872" w:type="dxa"/>
            <w:tcBorders>
              <w:top w:val="nil"/>
              <w:left w:val="nil"/>
              <w:bottom w:val="single" w:sz="4" w:space="0" w:color="auto"/>
              <w:right w:val="single" w:sz="4" w:space="0" w:color="auto"/>
            </w:tcBorders>
            <w:shd w:val="clear" w:color="auto" w:fill="auto"/>
            <w:noWrap/>
            <w:vAlign w:val="center"/>
            <w:hideMark/>
          </w:tcPr>
          <w:p w14:paraId="04DAE474" w14:textId="15A6C402"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939" w:type="dxa"/>
            <w:tcBorders>
              <w:top w:val="single" w:sz="4" w:space="0" w:color="auto"/>
              <w:left w:val="nil"/>
              <w:bottom w:val="single" w:sz="4" w:space="0" w:color="auto"/>
              <w:right w:val="nil"/>
            </w:tcBorders>
            <w:shd w:val="clear" w:color="auto" w:fill="auto"/>
            <w:noWrap/>
            <w:vAlign w:val="bottom"/>
            <w:hideMark/>
          </w:tcPr>
          <w:p w14:paraId="5C7AE592" w14:textId="0B9A9E8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8,04</w:t>
            </w:r>
          </w:p>
        </w:tc>
        <w:tc>
          <w:tcPr>
            <w:tcW w:w="1163" w:type="dxa"/>
            <w:tcBorders>
              <w:top w:val="single" w:sz="4" w:space="0" w:color="auto"/>
              <w:left w:val="nil"/>
              <w:bottom w:val="single" w:sz="4" w:space="0" w:color="auto"/>
              <w:right w:val="nil"/>
            </w:tcBorders>
            <w:shd w:val="clear" w:color="auto" w:fill="auto"/>
            <w:noWrap/>
            <w:vAlign w:val="center"/>
            <w:hideMark/>
          </w:tcPr>
          <w:p w14:paraId="71C5EB0D" w14:textId="39518AF7"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963326" w:rsidRPr="001C3EC8" w14:paraId="1FC1E79F"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6E3850CF"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60" w:type="dxa"/>
            <w:tcBorders>
              <w:top w:val="nil"/>
              <w:left w:val="nil"/>
              <w:bottom w:val="single" w:sz="4" w:space="0" w:color="auto"/>
              <w:right w:val="nil"/>
            </w:tcBorders>
            <w:shd w:val="clear" w:color="auto" w:fill="auto"/>
            <w:noWrap/>
            <w:vAlign w:val="bottom"/>
            <w:hideMark/>
          </w:tcPr>
          <w:p w14:paraId="01810CA4" w14:textId="7777777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w:t>
            </w:r>
          </w:p>
        </w:tc>
        <w:tc>
          <w:tcPr>
            <w:tcW w:w="1137" w:type="dxa"/>
            <w:tcBorders>
              <w:top w:val="nil"/>
              <w:left w:val="nil"/>
              <w:bottom w:val="single" w:sz="4" w:space="0" w:color="auto"/>
              <w:right w:val="nil"/>
            </w:tcBorders>
            <w:shd w:val="clear" w:color="auto" w:fill="auto"/>
            <w:noWrap/>
            <w:vAlign w:val="bottom"/>
            <w:hideMark/>
          </w:tcPr>
          <w:p w14:paraId="4ECE915F" w14:textId="00B34A42"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135,89</w:t>
            </w:r>
          </w:p>
        </w:tc>
        <w:tc>
          <w:tcPr>
            <w:tcW w:w="872" w:type="dxa"/>
            <w:tcBorders>
              <w:top w:val="nil"/>
              <w:left w:val="nil"/>
              <w:bottom w:val="single" w:sz="4" w:space="0" w:color="auto"/>
              <w:right w:val="nil"/>
            </w:tcBorders>
            <w:shd w:val="clear" w:color="auto" w:fill="auto"/>
            <w:noWrap/>
            <w:vAlign w:val="center"/>
            <w:hideMark/>
          </w:tcPr>
          <w:p w14:paraId="65ABC047" w14:textId="0D3D327B"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08FC5623" w14:textId="6AE8228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134,00</w:t>
            </w:r>
          </w:p>
        </w:tc>
        <w:tc>
          <w:tcPr>
            <w:tcW w:w="872" w:type="dxa"/>
            <w:tcBorders>
              <w:top w:val="nil"/>
              <w:left w:val="nil"/>
              <w:bottom w:val="single" w:sz="4" w:space="0" w:color="auto"/>
              <w:right w:val="single" w:sz="4" w:space="0" w:color="auto"/>
            </w:tcBorders>
            <w:shd w:val="clear" w:color="auto" w:fill="auto"/>
            <w:noWrap/>
            <w:vAlign w:val="center"/>
            <w:hideMark/>
          </w:tcPr>
          <w:p w14:paraId="5381373C" w14:textId="77221E85"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939" w:type="dxa"/>
            <w:tcBorders>
              <w:top w:val="nil"/>
              <w:left w:val="nil"/>
              <w:bottom w:val="single" w:sz="4" w:space="0" w:color="auto"/>
              <w:right w:val="nil"/>
            </w:tcBorders>
            <w:shd w:val="clear" w:color="auto" w:fill="auto"/>
            <w:noWrap/>
            <w:vAlign w:val="bottom"/>
            <w:hideMark/>
          </w:tcPr>
          <w:p w14:paraId="1F30CD51" w14:textId="2F1D6E8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3,33</w:t>
            </w:r>
          </w:p>
        </w:tc>
        <w:tc>
          <w:tcPr>
            <w:tcW w:w="1163" w:type="dxa"/>
            <w:tcBorders>
              <w:top w:val="nil"/>
              <w:left w:val="nil"/>
              <w:bottom w:val="single" w:sz="4" w:space="0" w:color="auto"/>
              <w:right w:val="nil"/>
            </w:tcBorders>
            <w:shd w:val="clear" w:color="auto" w:fill="auto"/>
            <w:noWrap/>
            <w:vAlign w:val="center"/>
            <w:hideMark/>
          </w:tcPr>
          <w:p w14:paraId="2E417212" w14:textId="718F2FC6"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+118 </w:t>
            </w:r>
            <w:r w:rsidR="00B07E76">
              <w:rPr>
                <w:rFonts w:eastAsia="Times New Roman"/>
                <w:color w:val="000000" w:themeColor="text1"/>
                <w:sz w:val="20"/>
                <w:szCs w:val="20"/>
                <w:lang w:eastAsia="cs-CZ"/>
              </w:rPr>
              <w:t>%</w:t>
            </w:r>
          </w:p>
        </w:tc>
      </w:tr>
      <w:tr w:rsidR="00963326" w:rsidRPr="001C3EC8" w14:paraId="39E6C041"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6CDF7263"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60" w:type="dxa"/>
            <w:tcBorders>
              <w:top w:val="nil"/>
              <w:left w:val="nil"/>
              <w:bottom w:val="single" w:sz="4" w:space="0" w:color="auto"/>
              <w:right w:val="nil"/>
            </w:tcBorders>
            <w:shd w:val="clear" w:color="auto" w:fill="auto"/>
            <w:noWrap/>
            <w:vAlign w:val="bottom"/>
            <w:hideMark/>
          </w:tcPr>
          <w:p w14:paraId="53341F93" w14:textId="42F68C5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w:t>
            </w:r>
          </w:p>
        </w:tc>
        <w:tc>
          <w:tcPr>
            <w:tcW w:w="1137" w:type="dxa"/>
            <w:tcBorders>
              <w:top w:val="nil"/>
              <w:left w:val="nil"/>
              <w:bottom w:val="single" w:sz="4" w:space="0" w:color="auto"/>
              <w:right w:val="nil"/>
            </w:tcBorders>
            <w:shd w:val="clear" w:color="auto" w:fill="auto"/>
            <w:noWrap/>
            <w:vAlign w:val="bottom"/>
            <w:hideMark/>
          </w:tcPr>
          <w:p w14:paraId="11AC1B8E" w14:textId="4E14DE1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100,57</w:t>
            </w:r>
          </w:p>
        </w:tc>
        <w:tc>
          <w:tcPr>
            <w:tcW w:w="872" w:type="dxa"/>
            <w:tcBorders>
              <w:top w:val="nil"/>
              <w:left w:val="nil"/>
              <w:bottom w:val="single" w:sz="4" w:space="0" w:color="auto"/>
              <w:right w:val="nil"/>
            </w:tcBorders>
            <w:shd w:val="clear" w:color="auto" w:fill="auto"/>
            <w:noWrap/>
            <w:vAlign w:val="center"/>
            <w:hideMark/>
          </w:tcPr>
          <w:p w14:paraId="12A9BF33" w14:textId="3C3CAF80"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1518CC3D" w14:textId="358D02F2"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96,32</w:t>
            </w:r>
          </w:p>
        </w:tc>
        <w:tc>
          <w:tcPr>
            <w:tcW w:w="872" w:type="dxa"/>
            <w:tcBorders>
              <w:top w:val="nil"/>
              <w:left w:val="nil"/>
              <w:bottom w:val="single" w:sz="4" w:space="0" w:color="auto"/>
              <w:right w:val="single" w:sz="4" w:space="0" w:color="auto"/>
            </w:tcBorders>
            <w:shd w:val="clear" w:color="auto" w:fill="auto"/>
            <w:noWrap/>
            <w:vAlign w:val="center"/>
            <w:hideMark/>
          </w:tcPr>
          <w:p w14:paraId="7360094A" w14:textId="5F4C9B38"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939" w:type="dxa"/>
            <w:tcBorders>
              <w:top w:val="nil"/>
              <w:left w:val="nil"/>
              <w:bottom w:val="single" w:sz="4" w:space="0" w:color="auto"/>
              <w:right w:val="nil"/>
            </w:tcBorders>
            <w:shd w:val="clear" w:color="auto" w:fill="auto"/>
            <w:noWrap/>
            <w:vAlign w:val="bottom"/>
            <w:hideMark/>
          </w:tcPr>
          <w:p w14:paraId="46514083" w14:textId="6A5A7A7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13,40</w:t>
            </w:r>
          </w:p>
        </w:tc>
        <w:tc>
          <w:tcPr>
            <w:tcW w:w="1163" w:type="dxa"/>
            <w:tcBorders>
              <w:top w:val="nil"/>
              <w:left w:val="nil"/>
              <w:bottom w:val="single" w:sz="4" w:space="0" w:color="auto"/>
              <w:right w:val="nil"/>
            </w:tcBorders>
            <w:shd w:val="clear" w:color="auto" w:fill="auto"/>
            <w:noWrap/>
            <w:vAlign w:val="center"/>
            <w:hideMark/>
          </w:tcPr>
          <w:p w14:paraId="3624B955" w14:textId="1FF0119C"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r>
      <w:tr w:rsidR="00963326" w:rsidRPr="001C3EC8" w14:paraId="114FD8C9"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646A574D"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60" w:type="dxa"/>
            <w:tcBorders>
              <w:top w:val="nil"/>
              <w:left w:val="nil"/>
              <w:bottom w:val="single" w:sz="4" w:space="0" w:color="auto"/>
              <w:right w:val="nil"/>
            </w:tcBorders>
            <w:shd w:val="clear" w:color="auto" w:fill="auto"/>
            <w:noWrap/>
            <w:vAlign w:val="bottom"/>
            <w:hideMark/>
          </w:tcPr>
          <w:p w14:paraId="5EA40F12" w14:textId="5884079A"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16,3</w:t>
            </w:r>
          </w:p>
        </w:tc>
        <w:tc>
          <w:tcPr>
            <w:tcW w:w="1137" w:type="dxa"/>
            <w:tcBorders>
              <w:top w:val="nil"/>
              <w:left w:val="nil"/>
              <w:bottom w:val="single" w:sz="4" w:space="0" w:color="auto"/>
              <w:right w:val="nil"/>
            </w:tcBorders>
            <w:shd w:val="clear" w:color="auto" w:fill="auto"/>
            <w:noWrap/>
            <w:vAlign w:val="bottom"/>
            <w:hideMark/>
          </w:tcPr>
          <w:p w14:paraId="56E3072B" w14:textId="025C591B"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122,76</w:t>
            </w:r>
          </w:p>
        </w:tc>
        <w:tc>
          <w:tcPr>
            <w:tcW w:w="872" w:type="dxa"/>
            <w:tcBorders>
              <w:top w:val="nil"/>
              <w:left w:val="nil"/>
              <w:bottom w:val="single" w:sz="4" w:space="0" w:color="auto"/>
              <w:right w:val="nil"/>
            </w:tcBorders>
            <w:shd w:val="clear" w:color="auto" w:fill="auto"/>
            <w:noWrap/>
            <w:vAlign w:val="center"/>
            <w:hideMark/>
          </w:tcPr>
          <w:p w14:paraId="5E96F075" w14:textId="545ABC01"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5F93B1A9" w14:textId="589EEA2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120,43</w:t>
            </w:r>
          </w:p>
        </w:tc>
        <w:tc>
          <w:tcPr>
            <w:tcW w:w="872" w:type="dxa"/>
            <w:tcBorders>
              <w:top w:val="nil"/>
              <w:left w:val="nil"/>
              <w:bottom w:val="single" w:sz="4" w:space="0" w:color="auto"/>
              <w:right w:val="single" w:sz="4" w:space="0" w:color="auto"/>
            </w:tcBorders>
            <w:shd w:val="clear" w:color="auto" w:fill="auto"/>
            <w:noWrap/>
            <w:vAlign w:val="center"/>
            <w:hideMark/>
          </w:tcPr>
          <w:p w14:paraId="40139595" w14:textId="5CD68A85"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39" w:type="dxa"/>
            <w:tcBorders>
              <w:top w:val="nil"/>
              <w:left w:val="nil"/>
              <w:bottom w:val="single" w:sz="4" w:space="0" w:color="auto"/>
              <w:right w:val="nil"/>
            </w:tcBorders>
            <w:shd w:val="clear" w:color="auto" w:fill="auto"/>
            <w:noWrap/>
            <w:vAlign w:val="bottom"/>
            <w:hideMark/>
          </w:tcPr>
          <w:p w14:paraId="4A5E5244" w14:textId="2BE408F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13,31</w:t>
            </w:r>
          </w:p>
        </w:tc>
        <w:tc>
          <w:tcPr>
            <w:tcW w:w="1163" w:type="dxa"/>
            <w:tcBorders>
              <w:top w:val="nil"/>
              <w:left w:val="nil"/>
              <w:bottom w:val="single" w:sz="4" w:space="0" w:color="auto"/>
              <w:right w:val="nil"/>
            </w:tcBorders>
            <w:shd w:val="clear" w:color="auto" w:fill="auto"/>
            <w:noWrap/>
            <w:vAlign w:val="center"/>
            <w:hideMark/>
          </w:tcPr>
          <w:p w14:paraId="1F86CC14" w14:textId="1649E0CE"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r>
      <w:tr w:rsidR="00963326" w:rsidRPr="001C3EC8" w14:paraId="0893DEF9"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3F3C4F5E"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60" w:type="dxa"/>
            <w:tcBorders>
              <w:top w:val="nil"/>
              <w:left w:val="nil"/>
              <w:bottom w:val="single" w:sz="4" w:space="0" w:color="auto"/>
              <w:right w:val="nil"/>
            </w:tcBorders>
            <w:shd w:val="clear" w:color="auto" w:fill="auto"/>
            <w:noWrap/>
            <w:vAlign w:val="bottom"/>
            <w:hideMark/>
          </w:tcPr>
          <w:p w14:paraId="07BD9368" w14:textId="1AC0DED9"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21,5</w:t>
            </w:r>
          </w:p>
        </w:tc>
        <w:tc>
          <w:tcPr>
            <w:tcW w:w="1137" w:type="dxa"/>
            <w:tcBorders>
              <w:top w:val="nil"/>
              <w:left w:val="nil"/>
              <w:bottom w:val="single" w:sz="4" w:space="0" w:color="auto"/>
              <w:right w:val="nil"/>
            </w:tcBorders>
            <w:shd w:val="clear" w:color="auto" w:fill="auto"/>
            <w:noWrap/>
            <w:vAlign w:val="bottom"/>
            <w:hideMark/>
          </w:tcPr>
          <w:p w14:paraId="0ECCB07C" w14:textId="3A9FD20D"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136,79</w:t>
            </w:r>
          </w:p>
        </w:tc>
        <w:tc>
          <w:tcPr>
            <w:tcW w:w="872" w:type="dxa"/>
            <w:tcBorders>
              <w:top w:val="nil"/>
              <w:left w:val="nil"/>
              <w:bottom w:val="single" w:sz="4" w:space="0" w:color="auto"/>
              <w:right w:val="nil"/>
            </w:tcBorders>
            <w:shd w:val="clear" w:color="auto" w:fill="auto"/>
            <w:noWrap/>
            <w:vAlign w:val="center"/>
            <w:hideMark/>
          </w:tcPr>
          <w:p w14:paraId="5D9B4542" w14:textId="1BB4BBD7"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28BCE85E" w14:textId="523CC76B"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134,28</w:t>
            </w:r>
          </w:p>
        </w:tc>
        <w:tc>
          <w:tcPr>
            <w:tcW w:w="872" w:type="dxa"/>
            <w:tcBorders>
              <w:top w:val="nil"/>
              <w:left w:val="nil"/>
              <w:bottom w:val="single" w:sz="4" w:space="0" w:color="auto"/>
              <w:right w:val="single" w:sz="4" w:space="0" w:color="auto"/>
            </w:tcBorders>
            <w:shd w:val="clear" w:color="auto" w:fill="auto"/>
            <w:noWrap/>
            <w:vAlign w:val="center"/>
            <w:hideMark/>
          </w:tcPr>
          <w:p w14:paraId="722B2D7F" w14:textId="5C8DF24B"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939" w:type="dxa"/>
            <w:tcBorders>
              <w:top w:val="nil"/>
              <w:left w:val="nil"/>
              <w:bottom w:val="single" w:sz="4" w:space="0" w:color="auto"/>
              <w:right w:val="nil"/>
            </w:tcBorders>
            <w:shd w:val="clear" w:color="auto" w:fill="auto"/>
            <w:noWrap/>
            <w:vAlign w:val="bottom"/>
            <w:hideMark/>
          </w:tcPr>
          <w:p w14:paraId="7D7D48AF" w14:textId="2A4254DB"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16,74</w:t>
            </w:r>
          </w:p>
        </w:tc>
        <w:tc>
          <w:tcPr>
            <w:tcW w:w="1163" w:type="dxa"/>
            <w:tcBorders>
              <w:top w:val="nil"/>
              <w:left w:val="nil"/>
              <w:bottom w:val="single" w:sz="4" w:space="0" w:color="auto"/>
              <w:right w:val="nil"/>
            </w:tcBorders>
            <w:shd w:val="clear" w:color="auto" w:fill="auto"/>
            <w:noWrap/>
            <w:vAlign w:val="center"/>
            <w:hideMark/>
          </w:tcPr>
          <w:p w14:paraId="4A5A62FA" w14:textId="1025C351"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963326" w:rsidRPr="001C3EC8" w14:paraId="0CBEA709"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2BDDBB3E"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60" w:type="dxa"/>
            <w:tcBorders>
              <w:top w:val="nil"/>
              <w:left w:val="nil"/>
              <w:bottom w:val="single" w:sz="4" w:space="0" w:color="auto"/>
              <w:right w:val="nil"/>
            </w:tcBorders>
            <w:shd w:val="clear" w:color="auto" w:fill="auto"/>
            <w:noWrap/>
            <w:vAlign w:val="bottom"/>
            <w:hideMark/>
          </w:tcPr>
          <w:p w14:paraId="7465099E" w14:textId="7777777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c>
          <w:tcPr>
            <w:tcW w:w="1137" w:type="dxa"/>
            <w:tcBorders>
              <w:top w:val="nil"/>
              <w:left w:val="nil"/>
              <w:bottom w:val="single" w:sz="4" w:space="0" w:color="auto"/>
              <w:right w:val="nil"/>
            </w:tcBorders>
            <w:shd w:val="clear" w:color="auto" w:fill="auto"/>
            <w:noWrap/>
            <w:vAlign w:val="bottom"/>
            <w:hideMark/>
          </w:tcPr>
          <w:p w14:paraId="632EF944" w14:textId="12F1077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164,82</w:t>
            </w:r>
          </w:p>
        </w:tc>
        <w:tc>
          <w:tcPr>
            <w:tcW w:w="872" w:type="dxa"/>
            <w:tcBorders>
              <w:top w:val="nil"/>
              <w:left w:val="nil"/>
              <w:bottom w:val="single" w:sz="4" w:space="0" w:color="auto"/>
              <w:right w:val="nil"/>
            </w:tcBorders>
            <w:shd w:val="clear" w:color="auto" w:fill="auto"/>
            <w:noWrap/>
            <w:vAlign w:val="center"/>
            <w:hideMark/>
          </w:tcPr>
          <w:p w14:paraId="1C1DA41C" w14:textId="2EA787D1"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382D8A0F" w14:textId="7D6A7091"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164,73</w:t>
            </w:r>
          </w:p>
        </w:tc>
        <w:tc>
          <w:tcPr>
            <w:tcW w:w="872" w:type="dxa"/>
            <w:tcBorders>
              <w:top w:val="nil"/>
              <w:left w:val="nil"/>
              <w:bottom w:val="single" w:sz="4" w:space="0" w:color="auto"/>
              <w:right w:val="single" w:sz="4" w:space="0" w:color="auto"/>
            </w:tcBorders>
            <w:shd w:val="clear" w:color="auto" w:fill="auto"/>
            <w:noWrap/>
            <w:vAlign w:val="center"/>
            <w:hideMark/>
          </w:tcPr>
          <w:p w14:paraId="46162AA7" w14:textId="0E05FA55"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939" w:type="dxa"/>
            <w:tcBorders>
              <w:top w:val="nil"/>
              <w:left w:val="nil"/>
              <w:bottom w:val="single" w:sz="4" w:space="0" w:color="auto"/>
              <w:right w:val="nil"/>
            </w:tcBorders>
            <w:shd w:val="clear" w:color="auto" w:fill="auto"/>
            <w:noWrap/>
            <w:vAlign w:val="bottom"/>
            <w:hideMark/>
          </w:tcPr>
          <w:p w14:paraId="5B6F3443" w14:textId="3A6AF9C4"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8,00</w:t>
            </w:r>
          </w:p>
        </w:tc>
        <w:tc>
          <w:tcPr>
            <w:tcW w:w="1163" w:type="dxa"/>
            <w:tcBorders>
              <w:top w:val="nil"/>
              <w:left w:val="nil"/>
              <w:bottom w:val="single" w:sz="4" w:space="0" w:color="auto"/>
              <w:right w:val="nil"/>
            </w:tcBorders>
            <w:shd w:val="clear" w:color="auto" w:fill="auto"/>
            <w:noWrap/>
            <w:vAlign w:val="center"/>
            <w:hideMark/>
          </w:tcPr>
          <w:p w14:paraId="5434E83F" w14:textId="2CB9E90B"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963326" w:rsidRPr="001C3EC8" w14:paraId="4778BE34"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091AB833"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60" w:type="dxa"/>
            <w:tcBorders>
              <w:top w:val="nil"/>
              <w:left w:val="nil"/>
              <w:bottom w:val="single" w:sz="4" w:space="0" w:color="auto"/>
              <w:right w:val="nil"/>
            </w:tcBorders>
            <w:shd w:val="clear" w:color="auto" w:fill="auto"/>
            <w:noWrap/>
            <w:vAlign w:val="bottom"/>
            <w:hideMark/>
          </w:tcPr>
          <w:p w14:paraId="61192B48" w14:textId="7777777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w:t>
            </w:r>
          </w:p>
        </w:tc>
        <w:tc>
          <w:tcPr>
            <w:tcW w:w="1137" w:type="dxa"/>
            <w:tcBorders>
              <w:top w:val="nil"/>
              <w:left w:val="nil"/>
              <w:bottom w:val="single" w:sz="4" w:space="0" w:color="auto"/>
              <w:right w:val="nil"/>
            </w:tcBorders>
            <w:shd w:val="clear" w:color="auto" w:fill="auto"/>
            <w:noWrap/>
            <w:vAlign w:val="bottom"/>
            <w:hideMark/>
          </w:tcPr>
          <w:p w14:paraId="1D9E502F" w14:textId="5C2F335B"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138,25</w:t>
            </w:r>
          </w:p>
        </w:tc>
        <w:tc>
          <w:tcPr>
            <w:tcW w:w="872" w:type="dxa"/>
            <w:tcBorders>
              <w:top w:val="nil"/>
              <w:left w:val="nil"/>
              <w:bottom w:val="single" w:sz="4" w:space="0" w:color="auto"/>
              <w:right w:val="nil"/>
            </w:tcBorders>
            <w:shd w:val="clear" w:color="auto" w:fill="auto"/>
            <w:noWrap/>
            <w:vAlign w:val="center"/>
            <w:hideMark/>
          </w:tcPr>
          <w:p w14:paraId="5D76EB8C" w14:textId="4809684D"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137" w:type="dxa"/>
            <w:tcBorders>
              <w:top w:val="nil"/>
              <w:left w:val="single" w:sz="4" w:space="0" w:color="auto"/>
              <w:bottom w:val="single" w:sz="4" w:space="0" w:color="auto"/>
              <w:right w:val="nil"/>
            </w:tcBorders>
            <w:shd w:val="clear" w:color="auto" w:fill="auto"/>
            <w:noWrap/>
            <w:vAlign w:val="bottom"/>
            <w:hideMark/>
          </w:tcPr>
          <w:p w14:paraId="363736D9" w14:textId="2D0870E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138,75</w:t>
            </w:r>
          </w:p>
        </w:tc>
        <w:tc>
          <w:tcPr>
            <w:tcW w:w="872" w:type="dxa"/>
            <w:tcBorders>
              <w:top w:val="nil"/>
              <w:left w:val="nil"/>
              <w:bottom w:val="single" w:sz="4" w:space="0" w:color="auto"/>
              <w:right w:val="single" w:sz="4" w:space="0" w:color="auto"/>
            </w:tcBorders>
            <w:shd w:val="clear" w:color="auto" w:fill="auto"/>
            <w:noWrap/>
            <w:vAlign w:val="center"/>
            <w:hideMark/>
          </w:tcPr>
          <w:p w14:paraId="7F3FE644" w14:textId="288EB723"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939" w:type="dxa"/>
            <w:tcBorders>
              <w:top w:val="nil"/>
              <w:left w:val="nil"/>
              <w:bottom w:val="single" w:sz="4" w:space="0" w:color="auto"/>
              <w:right w:val="nil"/>
            </w:tcBorders>
            <w:shd w:val="clear" w:color="auto" w:fill="auto"/>
            <w:noWrap/>
            <w:vAlign w:val="bottom"/>
            <w:hideMark/>
          </w:tcPr>
          <w:p w14:paraId="5171AAD3" w14:textId="1FFFA94F"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12,85</w:t>
            </w:r>
          </w:p>
        </w:tc>
        <w:tc>
          <w:tcPr>
            <w:tcW w:w="1163" w:type="dxa"/>
            <w:tcBorders>
              <w:top w:val="nil"/>
              <w:left w:val="nil"/>
              <w:bottom w:val="single" w:sz="4" w:space="0" w:color="auto"/>
              <w:right w:val="nil"/>
            </w:tcBorders>
            <w:shd w:val="clear" w:color="auto" w:fill="auto"/>
            <w:noWrap/>
            <w:vAlign w:val="center"/>
            <w:hideMark/>
          </w:tcPr>
          <w:p w14:paraId="10B33EB1" w14:textId="5A966C7C"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963326" w:rsidRPr="001C3EC8" w14:paraId="36B75ADC" w14:textId="77777777" w:rsidTr="00963326">
        <w:trPr>
          <w:trHeight w:val="330"/>
        </w:trPr>
        <w:tc>
          <w:tcPr>
            <w:tcW w:w="2060" w:type="dxa"/>
            <w:tcBorders>
              <w:top w:val="nil"/>
              <w:left w:val="nil"/>
              <w:bottom w:val="double" w:sz="6" w:space="0" w:color="auto"/>
              <w:right w:val="nil"/>
            </w:tcBorders>
            <w:shd w:val="clear" w:color="auto" w:fill="auto"/>
            <w:noWrap/>
            <w:vAlign w:val="bottom"/>
            <w:hideMark/>
          </w:tcPr>
          <w:p w14:paraId="7E25A9AD"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60" w:type="dxa"/>
            <w:tcBorders>
              <w:top w:val="nil"/>
              <w:left w:val="nil"/>
              <w:bottom w:val="double" w:sz="6" w:space="0" w:color="auto"/>
              <w:right w:val="nil"/>
            </w:tcBorders>
            <w:shd w:val="clear" w:color="auto" w:fill="auto"/>
            <w:noWrap/>
            <w:vAlign w:val="bottom"/>
            <w:hideMark/>
          </w:tcPr>
          <w:p w14:paraId="05EB5B6B" w14:textId="0E2E20B2"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36,33</w:t>
            </w:r>
          </w:p>
        </w:tc>
        <w:tc>
          <w:tcPr>
            <w:tcW w:w="1137" w:type="dxa"/>
            <w:tcBorders>
              <w:top w:val="nil"/>
              <w:left w:val="nil"/>
              <w:bottom w:val="double" w:sz="6" w:space="0" w:color="auto"/>
              <w:right w:val="nil"/>
            </w:tcBorders>
            <w:shd w:val="clear" w:color="auto" w:fill="auto"/>
            <w:noWrap/>
            <w:vAlign w:val="bottom"/>
            <w:hideMark/>
          </w:tcPr>
          <w:p w14:paraId="311EDE3B" w14:textId="60C7B321"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94,11</w:t>
            </w:r>
          </w:p>
        </w:tc>
        <w:tc>
          <w:tcPr>
            <w:tcW w:w="872" w:type="dxa"/>
            <w:tcBorders>
              <w:top w:val="nil"/>
              <w:left w:val="nil"/>
              <w:bottom w:val="double" w:sz="6" w:space="0" w:color="auto"/>
              <w:right w:val="nil"/>
            </w:tcBorders>
            <w:shd w:val="clear" w:color="auto" w:fill="auto"/>
            <w:noWrap/>
            <w:vAlign w:val="center"/>
            <w:hideMark/>
          </w:tcPr>
          <w:p w14:paraId="0840466B" w14:textId="65F1E807"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-34 </w:t>
            </w:r>
            <w:r w:rsidR="00B07E76">
              <w:rPr>
                <w:rFonts w:eastAsia="Times New Roman"/>
                <w:color w:val="000000" w:themeColor="text1"/>
                <w:sz w:val="20"/>
                <w:szCs w:val="20"/>
                <w:lang w:eastAsia="cs-CZ"/>
              </w:rPr>
              <w:t>%</w:t>
            </w:r>
          </w:p>
        </w:tc>
        <w:tc>
          <w:tcPr>
            <w:tcW w:w="1137" w:type="dxa"/>
            <w:tcBorders>
              <w:top w:val="nil"/>
              <w:left w:val="single" w:sz="4" w:space="0" w:color="auto"/>
              <w:bottom w:val="double" w:sz="6" w:space="0" w:color="auto"/>
              <w:right w:val="nil"/>
            </w:tcBorders>
            <w:shd w:val="clear" w:color="auto" w:fill="auto"/>
            <w:noWrap/>
            <w:vAlign w:val="bottom"/>
            <w:hideMark/>
          </w:tcPr>
          <w:p w14:paraId="24DA2734" w14:textId="0D9B21F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92,95</w:t>
            </w:r>
          </w:p>
        </w:tc>
        <w:tc>
          <w:tcPr>
            <w:tcW w:w="872" w:type="dxa"/>
            <w:tcBorders>
              <w:top w:val="nil"/>
              <w:left w:val="nil"/>
              <w:bottom w:val="double" w:sz="6" w:space="0" w:color="auto"/>
              <w:right w:val="single" w:sz="4" w:space="0" w:color="auto"/>
            </w:tcBorders>
            <w:shd w:val="clear" w:color="auto" w:fill="auto"/>
            <w:noWrap/>
            <w:vAlign w:val="center"/>
            <w:hideMark/>
          </w:tcPr>
          <w:p w14:paraId="601EAF6F" w14:textId="3AAB7577"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-35 </w:t>
            </w:r>
            <w:r w:rsidR="00B07E76">
              <w:rPr>
                <w:rFonts w:eastAsia="Times New Roman"/>
                <w:color w:val="000000" w:themeColor="text1"/>
                <w:sz w:val="20"/>
                <w:szCs w:val="20"/>
                <w:lang w:eastAsia="cs-CZ"/>
              </w:rPr>
              <w:t>%</w:t>
            </w:r>
          </w:p>
        </w:tc>
        <w:tc>
          <w:tcPr>
            <w:tcW w:w="939" w:type="dxa"/>
            <w:tcBorders>
              <w:top w:val="nil"/>
              <w:left w:val="nil"/>
              <w:bottom w:val="double" w:sz="6" w:space="0" w:color="auto"/>
              <w:right w:val="nil"/>
            </w:tcBorders>
            <w:shd w:val="clear" w:color="auto" w:fill="auto"/>
            <w:noWrap/>
            <w:vAlign w:val="bottom"/>
            <w:hideMark/>
          </w:tcPr>
          <w:p w14:paraId="143D2259" w14:textId="4F92D7B6"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9,72</w:t>
            </w:r>
          </w:p>
        </w:tc>
        <w:tc>
          <w:tcPr>
            <w:tcW w:w="1163" w:type="dxa"/>
            <w:tcBorders>
              <w:top w:val="nil"/>
              <w:left w:val="nil"/>
              <w:bottom w:val="double" w:sz="6" w:space="0" w:color="auto"/>
              <w:right w:val="nil"/>
            </w:tcBorders>
            <w:shd w:val="clear" w:color="auto" w:fill="auto"/>
            <w:noWrap/>
            <w:vAlign w:val="center"/>
            <w:hideMark/>
          </w:tcPr>
          <w:p w14:paraId="085B6ED3" w14:textId="7138165A"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963326" w:rsidRPr="001C3EC8" w14:paraId="4840D3A4" w14:textId="77777777" w:rsidTr="00963326">
        <w:trPr>
          <w:trHeight w:val="345"/>
        </w:trPr>
        <w:tc>
          <w:tcPr>
            <w:tcW w:w="2060" w:type="dxa"/>
            <w:tcBorders>
              <w:top w:val="nil"/>
              <w:left w:val="nil"/>
              <w:bottom w:val="double" w:sz="6" w:space="0" w:color="auto"/>
              <w:right w:val="nil"/>
            </w:tcBorders>
            <w:shd w:val="clear" w:color="auto" w:fill="auto"/>
            <w:noWrap/>
            <w:vAlign w:val="bottom"/>
            <w:hideMark/>
          </w:tcPr>
          <w:p w14:paraId="33258B54" w14:textId="77777777" w:rsidR="00963326" w:rsidRPr="001C3EC8" w:rsidRDefault="00963326" w:rsidP="00963326">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60" w:type="dxa"/>
            <w:tcBorders>
              <w:top w:val="nil"/>
              <w:left w:val="nil"/>
              <w:bottom w:val="double" w:sz="6" w:space="0" w:color="auto"/>
              <w:right w:val="nil"/>
            </w:tcBorders>
            <w:shd w:val="clear" w:color="auto" w:fill="auto"/>
            <w:noWrap/>
            <w:vAlign w:val="bottom"/>
            <w:hideMark/>
          </w:tcPr>
          <w:p w14:paraId="425EF473" w14:textId="3C8F3635"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156,73</w:t>
            </w:r>
          </w:p>
        </w:tc>
        <w:tc>
          <w:tcPr>
            <w:tcW w:w="1137" w:type="dxa"/>
            <w:tcBorders>
              <w:top w:val="nil"/>
              <w:left w:val="nil"/>
              <w:bottom w:val="double" w:sz="6" w:space="0" w:color="auto"/>
              <w:right w:val="nil"/>
            </w:tcBorders>
            <w:shd w:val="clear" w:color="auto" w:fill="auto"/>
            <w:noWrap/>
            <w:vAlign w:val="bottom"/>
            <w:hideMark/>
          </w:tcPr>
          <w:p w14:paraId="4FD4BEF0" w14:textId="174F2391"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126,56</w:t>
            </w:r>
          </w:p>
        </w:tc>
        <w:tc>
          <w:tcPr>
            <w:tcW w:w="872" w:type="dxa"/>
            <w:tcBorders>
              <w:top w:val="nil"/>
              <w:left w:val="nil"/>
              <w:bottom w:val="double" w:sz="6" w:space="0" w:color="auto"/>
              <w:right w:val="nil"/>
            </w:tcBorders>
            <w:shd w:val="clear" w:color="auto" w:fill="auto"/>
            <w:noWrap/>
            <w:vAlign w:val="center"/>
            <w:hideMark/>
          </w:tcPr>
          <w:p w14:paraId="2FADCAE4" w14:textId="15BD8680" w:rsidR="00963326" w:rsidRPr="001C3EC8" w:rsidRDefault="00963326" w:rsidP="00963326">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-18 </w:t>
            </w:r>
            <w:r w:rsidR="00B07E76">
              <w:rPr>
                <w:rFonts w:eastAsia="Times New Roman"/>
                <w:b/>
                <w:bCs/>
                <w:color w:val="000000" w:themeColor="text1"/>
                <w:sz w:val="20"/>
                <w:szCs w:val="20"/>
                <w:lang w:eastAsia="cs-CZ"/>
              </w:rPr>
              <w:t>%</w:t>
            </w:r>
          </w:p>
        </w:tc>
        <w:tc>
          <w:tcPr>
            <w:tcW w:w="1137" w:type="dxa"/>
            <w:tcBorders>
              <w:top w:val="nil"/>
              <w:left w:val="single" w:sz="4" w:space="0" w:color="auto"/>
              <w:bottom w:val="double" w:sz="6" w:space="0" w:color="auto"/>
              <w:right w:val="nil"/>
            </w:tcBorders>
            <w:shd w:val="clear" w:color="auto" w:fill="auto"/>
            <w:noWrap/>
            <w:vAlign w:val="bottom"/>
            <w:hideMark/>
          </w:tcPr>
          <w:p w14:paraId="394D4E2B" w14:textId="6E2C296F"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125,13</w:t>
            </w:r>
          </w:p>
        </w:tc>
        <w:tc>
          <w:tcPr>
            <w:tcW w:w="872" w:type="dxa"/>
            <w:tcBorders>
              <w:top w:val="nil"/>
              <w:left w:val="nil"/>
              <w:bottom w:val="double" w:sz="6" w:space="0" w:color="auto"/>
              <w:right w:val="single" w:sz="4" w:space="0" w:color="auto"/>
            </w:tcBorders>
            <w:shd w:val="clear" w:color="auto" w:fill="auto"/>
            <w:noWrap/>
            <w:vAlign w:val="center"/>
            <w:hideMark/>
          </w:tcPr>
          <w:p w14:paraId="65BC8A15" w14:textId="29311843" w:rsidR="00963326" w:rsidRPr="001C3EC8" w:rsidRDefault="00963326" w:rsidP="00963326">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-19 </w:t>
            </w:r>
            <w:r w:rsidR="00B07E76">
              <w:rPr>
                <w:rFonts w:eastAsia="Times New Roman"/>
                <w:b/>
                <w:bCs/>
                <w:color w:val="000000" w:themeColor="text1"/>
                <w:sz w:val="20"/>
                <w:szCs w:val="20"/>
                <w:lang w:eastAsia="cs-CZ"/>
              </w:rPr>
              <w:t>%</w:t>
            </w:r>
          </w:p>
        </w:tc>
        <w:tc>
          <w:tcPr>
            <w:tcW w:w="939" w:type="dxa"/>
            <w:tcBorders>
              <w:top w:val="nil"/>
              <w:left w:val="nil"/>
              <w:bottom w:val="double" w:sz="6" w:space="0" w:color="auto"/>
              <w:right w:val="nil"/>
            </w:tcBorders>
            <w:shd w:val="clear" w:color="auto" w:fill="auto"/>
            <w:noWrap/>
            <w:vAlign w:val="bottom"/>
            <w:hideMark/>
          </w:tcPr>
          <w:p w14:paraId="0D0A25E4" w14:textId="0C9D1AE6"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10,60</w:t>
            </w:r>
          </w:p>
        </w:tc>
        <w:tc>
          <w:tcPr>
            <w:tcW w:w="1163" w:type="dxa"/>
            <w:tcBorders>
              <w:top w:val="nil"/>
              <w:left w:val="nil"/>
              <w:bottom w:val="double" w:sz="6" w:space="0" w:color="auto"/>
              <w:right w:val="nil"/>
            </w:tcBorders>
            <w:shd w:val="clear" w:color="auto" w:fill="auto"/>
            <w:noWrap/>
            <w:vAlign w:val="center"/>
            <w:hideMark/>
          </w:tcPr>
          <w:p w14:paraId="595C62A2" w14:textId="527E308D" w:rsidR="00963326" w:rsidRPr="001C3EC8" w:rsidRDefault="00963326" w:rsidP="00963326">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+6 </w:t>
            </w:r>
            <w:r w:rsidR="00B07E76">
              <w:rPr>
                <w:rFonts w:eastAsia="Times New Roman"/>
                <w:b/>
                <w:bCs/>
                <w:color w:val="000000" w:themeColor="text1"/>
                <w:sz w:val="20"/>
                <w:szCs w:val="20"/>
                <w:lang w:eastAsia="cs-CZ"/>
              </w:rPr>
              <w:t>%</w:t>
            </w:r>
          </w:p>
        </w:tc>
      </w:tr>
    </w:tbl>
    <w:p w14:paraId="28AF7D05" w14:textId="77777777" w:rsidR="008430BD" w:rsidRPr="001C3EC8" w:rsidRDefault="008430BD" w:rsidP="008430BD">
      <w:pPr>
        <w:rPr>
          <w:color w:val="000000" w:themeColor="text1"/>
        </w:rPr>
      </w:pPr>
    </w:p>
    <w:p w14:paraId="6F5BE0B6" w14:textId="2820E876" w:rsidR="008430BD" w:rsidRPr="001C3EC8" w:rsidRDefault="008430BD" w:rsidP="008430BD">
      <w:pPr>
        <w:rPr>
          <w:color w:val="000000" w:themeColor="text1"/>
        </w:rPr>
      </w:pPr>
      <w:r w:rsidRPr="001C3EC8">
        <w:rPr>
          <w:color w:val="000000" w:themeColor="text1"/>
        </w:rPr>
        <w:t xml:space="preserve">Oproti loňskému roku se zvýšil </w:t>
      </w:r>
      <w:proofErr w:type="spellStart"/>
      <w:r w:rsidR="00505E06">
        <w:rPr>
          <w:color w:val="000000" w:themeColor="text1"/>
        </w:rPr>
        <w:t>skutečn</w:t>
      </w:r>
      <w:proofErr w:type="spellEnd"/>
      <w:r w:rsidR="00505E06">
        <w:rPr>
          <w:color w:val="000000" w:themeColor="text1"/>
        </w:rPr>
        <w:t xml:space="preserve"> </w:t>
      </w:r>
      <w:r w:rsidRPr="001C3EC8">
        <w:rPr>
          <w:color w:val="000000" w:themeColor="text1"/>
        </w:rPr>
        <w:t>počet soudců</w:t>
      </w:r>
      <w:r w:rsidR="00505E06">
        <w:rPr>
          <w:color w:val="000000" w:themeColor="text1"/>
        </w:rPr>
        <w:t xml:space="preserve"> (úvazků)</w:t>
      </w:r>
      <w:r w:rsidRPr="001C3EC8">
        <w:rPr>
          <w:color w:val="000000" w:themeColor="text1"/>
        </w:rPr>
        <w:t xml:space="preserve"> </w:t>
      </w:r>
      <w:r w:rsidR="00DE269E" w:rsidRPr="001C3EC8">
        <w:rPr>
          <w:color w:val="000000" w:themeColor="text1"/>
        </w:rPr>
        <w:t>o</w:t>
      </w:r>
      <w:r w:rsidR="00DE269E">
        <w:rPr>
          <w:color w:val="000000" w:themeColor="text1"/>
        </w:rPr>
        <w:t> </w:t>
      </w:r>
      <w:r w:rsidRPr="001C3EC8">
        <w:rPr>
          <w:color w:val="000000" w:themeColor="text1"/>
        </w:rPr>
        <w:t xml:space="preserve">13 (ze 144 na 157) </w:t>
      </w:r>
      <w:r w:rsidR="00DE269E" w:rsidRPr="001C3EC8">
        <w:rPr>
          <w:color w:val="000000" w:themeColor="text1"/>
        </w:rPr>
        <w:t>a</w:t>
      </w:r>
      <w:r w:rsidR="00DE269E">
        <w:rPr>
          <w:color w:val="000000" w:themeColor="text1"/>
        </w:rPr>
        <w:t> </w:t>
      </w:r>
      <w:r w:rsidRPr="001C3EC8">
        <w:rPr>
          <w:color w:val="000000" w:themeColor="text1"/>
        </w:rPr>
        <w:t xml:space="preserve">z předchozí podkapitoly víme, že klesl nápad </w:t>
      </w:r>
      <w:r w:rsidR="00DE269E" w:rsidRPr="001C3EC8">
        <w:rPr>
          <w:color w:val="000000" w:themeColor="text1"/>
        </w:rPr>
        <w:t>a</w:t>
      </w:r>
      <w:r w:rsidR="00DE269E">
        <w:rPr>
          <w:color w:val="000000" w:themeColor="text1"/>
        </w:rPr>
        <w:t> </w:t>
      </w:r>
      <w:r w:rsidRPr="001C3EC8">
        <w:rPr>
          <w:color w:val="000000" w:themeColor="text1"/>
        </w:rPr>
        <w:t>počet vyřízených věcí. Počt</w:t>
      </w:r>
      <w:r w:rsidR="00292D5B" w:rsidRPr="001C3EC8">
        <w:rPr>
          <w:color w:val="000000" w:themeColor="text1"/>
        </w:rPr>
        <w:t>y</w:t>
      </w:r>
      <w:r w:rsidRPr="001C3EC8">
        <w:rPr>
          <w:color w:val="000000" w:themeColor="text1"/>
        </w:rPr>
        <w:t xml:space="preserve"> příchozích věcí </w:t>
      </w:r>
      <w:r w:rsidR="00DE269E" w:rsidRPr="001C3EC8">
        <w:rPr>
          <w:color w:val="000000" w:themeColor="text1"/>
        </w:rPr>
        <w:t>a</w:t>
      </w:r>
      <w:r w:rsidR="00DE269E">
        <w:rPr>
          <w:color w:val="000000" w:themeColor="text1"/>
        </w:rPr>
        <w:t> </w:t>
      </w:r>
      <w:r w:rsidRPr="001C3EC8">
        <w:rPr>
          <w:color w:val="000000" w:themeColor="text1"/>
        </w:rPr>
        <w:t xml:space="preserve">vyřízených věcí </w:t>
      </w:r>
      <w:r w:rsidR="00CE1582" w:rsidRPr="001C3EC8">
        <w:rPr>
          <w:color w:val="000000" w:themeColor="text1"/>
        </w:rPr>
        <w:t xml:space="preserve">na soudce </w:t>
      </w:r>
      <w:r w:rsidRPr="001C3EC8">
        <w:rPr>
          <w:color w:val="000000" w:themeColor="text1"/>
        </w:rPr>
        <w:t>tedy logicky klesly také.</w:t>
      </w:r>
    </w:p>
    <w:p w14:paraId="32C8934A" w14:textId="6E070A04" w:rsidR="008430BD" w:rsidRPr="001C3EC8" w:rsidRDefault="008430BD" w:rsidP="008430BD">
      <w:pPr>
        <w:rPr>
          <w:color w:val="000000" w:themeColor="text1"/>
        </w:rPr>
      </w:pPr>
      <w:r w:rsidRPr="001C3EC8">
        <w:rPr>
          <w:color w:val="000000" w:themeColor="text1"/>
        </w:rPr>
        <w:t xml:space="preserve">Prvostupňovou agendu vyřizuje 94 soudců </w:t>
      </w:r>
      <w:r w:rsidR="00DE269E" w:rsidRPr="001C3EC8">
        <w:rPr>
          <w:color w:val="000000" w:themeColor="text1"/>
        </w:rPr>
        <w:t>a</w:t>
      </w:r>
      <w:r w:rsidR="00DE269E">
        <w:rPr>
          <w:color w:val="000000" w:themeColor="text1"/>
        </w:rPr>
        <w:t> </w:t>
      </w:r>
      <w:r w:rsidRPr="001C3EC8">
        <w:rPr>
          <w:color w:val="000000" w:themeColor="text1"/>
        </w:rPr>
        <w:t xml:space="preserve">odvolací agendu 157 soudců, vidíme tedy, že odvolací úsek je </w:t>
      </w:r>
      <w:r w:rsidR="00CE1582" w:rsidRPr="001C3EC8">
        <w:rPr>
          <w:color w:val="000000" w:themeColor="text1"/>
        </w:rPr>
        <w:t xml:space="preserve">zhruba </w:t>
      </w:r>
      <w:r w:rsidR="00DE269E" w:rsidRPr="001C3EC8">
        <w:rPr>
          <w:color w:val="000000" w:themeColor="text1"/>
        </w:rPr>
        <w:t>o</w:t>
      </w:r>
      <w:r w:rsidR="00DE269E">
        <w:rPr>
          <w:color w:val="000000" w:themeColor="text1"/>
        </w:rPr>
        <w:t> </w:t>
      </w:r>
      <w:r w:rsidR="00CE1582" w:rsidRPr="001C3EC8">
        <w:rPr>
          <w:color w:val="000000" w:themeColor="text1"/>
        </w:rPr>
        <w:t>dvě třetiny</w:t>
      </w:r>
      <w:r w:rsidRPr="001C3EC8">
        <w:rPr>
          <w:color w:val="000000" w:themeColor="text1"/>
        </w:rPr>
        <w:t xml:space="preserve"> větší než úsek prvostupňový. Pokud oba počty soudců sečteme, dostaneme číslo 251, což je číslo prakticky shodné s evidenčním počtem soudců. Vidíme tedy, že na rozdíl od okresních soudů evidenční počet </w:t>
      </w:r>
      <w:r w:rsidR="003845F0">
        <w:rPr>
          <w:color w:val="000000" w:themeColor="text1"/>
        </w:rPr>
        <w:t>je podobný jako</w:t>
      </w:r>
      <w:r w:rsidRPr="001C3EC8">
        <w:rPr>
          <w:color w:val="000000" w:themeColor="text1"/>
        </w:rPr>
        <w:t xml:space="preserve"> „reálný“ počet soudců</w:t>
      </w:r>
      <w:r w:rsidR="003C39D9" w:rsidRPr="001C3EC8">
        <w:rPr>
          <w:color w:val="000000" w:themeColor="text1"/>
        </w:rPr>
        <w:t xml:space="preserve">. </w:t>
      </w:r>
      <w:r w:rsidRPr="001C3EC8">
        <w:rPr>
          <w:color w:val="000000" w:themeColor="text1"/>
        </w:rPr>
        <w:t xml:space="preserve">Roli zde mimo jiné určitě budou hrát mateřské/rodičovské dovolené, kterých je </w:t>
      </w:r>
      <w:r w:rsidR="00DE269E" w:rsidRPr="001C3EC8">
        <w:rPr>
          <w:color w:val="000000" w:themeColor="text1"/>
        </w:rPr>
        <w:t>u</w:t>
      </w:r>
      <w:r w:rsidR="00DE269E">
        <w:rPr>
          <w:color w:val="000000" w:themeColor="text1"/>
        </w:rPr>
        <w:t> </w:t>
      </w:r>
      <w:r w:rsidRPr="001C3EC8">
        <w:rPr>
          <w:color w:val="000000" w:themeColor="text1"/>
        </w:rPr>
        <w:t xml:space="preserve">krajských soudů výrazně méně. Počet je vyšší zřejmě kvůli stážím z okresních soudů </w:t>
      </w:r>
      <w:r w:rsidR="00DE269E" w:rsidRPr="001C3EC8">
        <w:rPr>
          <w:color w:val="000000" w:themeColor="text1"/>
        </w:rPr>
        <w:t>a</w:t>
      </w:r>
      <w:r w:rsidR="00DE269E">
        <w:rPr>
          <w:color w:val="000000" w:themeColor="text1"/>
        </w:rPr>
        <w:t> </w:t>
      </w:r>
      <w:r w:rsidRPr="001C3EC8">
        <w:rPr>
          <w:color w:val="000000" w:themeColor="text1"/>
        </w:rPr>
        <w:t xml:space="preserve">případně </w:t>
      </w:r>
      <w:r w:rsidR="00CE1582" w:rsidRPr="001C3EC8">
        <w:rPr>
          <w:color w:val="000000" w:themeColor="text1"/>
        </w:rPr>
        <w:t xml:space="preserve">(byť zřejmě v menší míře, </w:t>
      </w:r>
      <w:r w:rsidR="00CE1582" w:rsidRPr="001C3EC8">
        <w:rPr>
          <w:color w:val="000000" w:themeColor="text1"/>
        </w:rPr>
        <w:lastRenderedPageBreak/>
        <w:t xml:space="preserve">neboť soudci se v drtivé většině věnují své specializaci) </w:t>
      </w:r>
      <w:r w:rsidRPr="001C3EC8">
        <w:rPr>
          <w:color w:val="000000" w:themeColor="text1"/>
        </w:rPr>
        <w:t>posílení trestního úseku na úkor úseku civilního.</w:t>
      </w:r>
    </w:p>
    <w:p w14:paraId="53C74A62" w14:textId="77777777" w:rsidR="008430BD" w:rsidRPr="001C3EC8" w:rsidRDefault="008430BD" w:rsidP="008430BD">
      <w:pPr>
        <w:pStyle w:val="Nadpis3"/>
        <w:numPr>
          <w:ilvl w:val="2"/>
          <w:numId w:val="1"/>
        </w:numPr>
        <w:rPr>
          <w:color w:val="000000" w:themeColor="text1"/>
        </w:rPr>
      </w:pPr>
      <w:bookmarkStart w:id="574" w:name="_Toc515871265"/>
      <w:bookmarkStart w:id="575" w:name="_Toc75952107"/>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574"/>
      <w:proofErr w:type="spellEnd"/>
      <w:r w:rsidRPr="001C3EC8">
        <w:rPr>
          <w:color w:val="000000" w:themeColor="text1"/>
        </w:rPr>
        <w:t xml:space="preserve"> (dispoziční čas)</w:t>
      </w:r>
      <w:bookmarkEnd w:id="575"/>
    </w:p>
    <w:p w14:paraId="1F7D7CE7" w14:textId="29D2C997" w:rsidR="008430BD" w:rsidRPr="001C3EC8" w:rsidRDefault="008430BD" w:rsidP="008430BD">
      <w:pPr>
        <w:rPr>
          <w:color w:val="000000" w:themeColor="text1"/>
        </w:rPr>
      </w:pPr>
      <w:r w:rsidRPr="001C3EC8">
        <w:rPr>
          <w:color w:val="000000" w:themeColor="text1"/>
        </w:rPr>
        <w:t xml:space="preserve">Z grafu je patrné, že DT je opravdu nízký </w:t>
      </w:r>
      <w:r w:rsidR="00DE269E" w:rsidRPr="001C3EC8">
        <w:rPr>
          <w:color w:val="000000" w:themeColor="text1"/>
        </w:rPr>
        <w:t>a</w:t>
      </w:r>
      <w:r w:rsidR="00DE269E">
        <w:rPr>
          <w:color w:val="000000" w:themeColor="text1"/>
        </w:rPr>
        <w:t> </w:t>
      </w:r>
      <w:r w:rsidRPr="001C3EC8">
        <w:rPr>
          <w:color w:val="000000" w:themeColor="text1"/>
        </w:rPr>
        <w:t>byl neměnný, což vyplývalo z poměru vyřízených a nevyřízených věcí a </w:t>
      </w:r>
      <w:r w:rsidR="00DE269E" w:rsidRPr="001C3EC8">
        <w:rPr>
          <w:color w:val="000000" w:themeColor="text1"/>
        </w:rPr>
        <w:t>z</w:t>
      </w:r>
      <w:r w:rsidR="00DE269E">
        <w:rPr>
          <w:color w:val="000000" w:themeColor="text1"/>
        </w:rPr>
        <w:t> </w:t>
      </w:r>
      <w:r w:rsidRPr="001C3EC8">
        <w:rPr>
          <w:color w:val="000000" w:themeColor="text1"/>
        </w:rPr>
        <w:t xml:space="preserve">toho, že jsou tyto ukazatele také poměrně neměnné. Vzhledem k poklesu nápadu, </w:t>
      </w:r>
      <w:r w:rsidR="00DE269E" w:rsidRPr="001C3EC8">
        <w:rPr>
          <w:color w:val="000000" w:themeColor="text1"/>
        </w:rPr>
        <w:t>a</w:t>
      </w:r>
      <w:r w:rsidR="00DE269E">
        <w:rPr>
          <w:color w:val="000000" w:themeColor="text1"/>
        </w:rPr>
        <w:t> </w:t>
      </w:r>
      <w:r w:rsidRPr="001C3EC8">
        <w:rPr>
          <w:color w:val="000000" w:themeColor="text1"/>
        </w:rPr>
        <w:t xml:space="preserve">tedy </w:t>
      </w:r>
      <w:r w:rsidR="00DE269E" w:rsidRPr="001C3EC8">
        <w:rPr>
          <w:color w:val="000000" w:themeColor="text1"/>
        </w:rPr>
        <w:t>i</w:t>
      </w:r>
      <w:r w:rsidR="00DE269E">
        <w:rPr>
          <w:color w:val="000000" w:themeColor="text1"/>
        </w:rPr>
        <w:t> </w:t>
      </w:r>
      <w:r w:rsidRPr="001C3EC8">
        <w:rPr>
          <w:color w:val="000000" w:themeColor="text1"/>
        </w:rPr>
        <w:t xml:space="preserve">vyřízených věcí </w:t>
      </w:r>
      <w:r w:rsidR="00DE269E" w:rsidRPr="001C3EC8">
        <w:rPr>
          <w:color w:val="000000" w:themeColor="text1"/>
        </w:rPr>
        <w:t>a</w:t>
      </w:r>
      <w:r w:rsidR="00DE269E">
        <w:rPr>
          <w:color w:val="000000" w:themeColor="text1"/>
        </w:rPr>
        <w:t> </w:t>
      </w:r>
      <w:r w:rsidRPr="001C3EC8">
        <w:rPr>
          <w:color w:val="000000" w:themeColor="text1"/>
        </w:rPr>
        <w:t xml:space="preserve">mírnému růstu počtu nevyřízených věcí, bylo jasné, že DT tento rok vzroste. </w:t>
      </w:r>
      <w:r w:rsidR="00CE1582" w:rsidRPr="001C3EC8">
        <w:rPr>
          <w:color w:val="000000" w:themeColor="text1"/>
        </w:rPr>
        <w:t xml:space="preserve">Nárůst činí </w:t>
      </w:r>
      <w:r w:rsidR="00DE269E" w:rsidRPr="001C3EC8">
        <w:rPr>
          <w:color w:val="000000" w:themeColor="text1"/>
        </w:rPr>
        <w:t>7</w:t>
      </w:r>
      <w:r w:rsidR="00DE269E">
        <w:rPr>
          <w:color w:val="000000" w:themeColor="text1"/>
        </w:rPr>
        <w:t> </w:t>
      </w:r>
      <w:r w:rsidR="00CE1582" w:rsidRPr="001C3EC8">
        <w:rPr>
          <w:color w:val="000000" w:themeColor="text1"/>
        </w:rPr>
        <w:t>dnů</w:t>
      </w:r>
      <w:r w:rsidRPr="001C3EC8">
        <w:rPr>
          <w:color w:val="000000" w:themeColor="text1"/>
        </w:rPr>
        <w:t xml:space="preserve">, což ale </w:t>
      </w:r>
      <w:r w:rsidR="00CE1582" w:rsidRPr="001C3EC8">
        <w:rPr>
          <w:color w:val="000000" w:themeColor="text1"/>
        </w:rPr>
        <w:t>představuje</w:t>
      </w:r>
      <w:r w:rsidRPr="001C3EC8">
        <w:rPr>
          <w:color w:val="000000" w:themeColor="text1"/>
        </w:rPr>
        <w:t xml:space="preserve"> 29 %.</w:t>
      </w:r>
    </w:p>
    <w:p w14:paraId="2C2D6197" w14:textId="5F0BB6A6" w:rsidR="008430BD" w:rsidRPr="001C3EC8" w:rsidRDefault="008430BD" w:rsidP="008430BD">
      <w:pPr>
        <w:pStyle w:val="Podnadpis"/>
        <w:rPr>
          <w:color w:val="000000" w:themeColor="text1"/>
        </w:rPr>
      </w:pPr>
      <w:bookmarkStart w:id="576" w:name="_Toc515871396"/>
      <w:bookmarkStart w:id="577" w:name="_Toc11135127"/>
      <w:bookmarkStart w:id="578" w:name="_Toc43841446"/>
      <w:bookmarkStart w:id="579" w:name="_Toc7595224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68</w:t>
      </w:r>
      <w:r w:rsidRPr="001C3EC8">
        <w:rPr>
          <w:noProof/>
          <w:color w:val="000000" w:themeColor="text1"/>
        </w:rPr>
        <w:fldChar w:fldCharType="end"/>
      </w:r>
      <w:r w:rsidRPr="001C3EC8">
        <w:rPr>
          <w:color w:val="000000" w:themeColor="text1"/>
        </w:rPr>
        <w:t>: KS – DT odvolacího trestního řízení v letech 2008–</w:t>
      </w:r>
      <w:bookmarkEnd w:id="576"/>
      <w:r w:rsidRPr="001C3EC8">
        <w:rPr>
          <w:color w:val="000000" w:themeColor="text1"/>
        </w:rPr>
        <w:t>20</w:t>
      </w:r>
      <w:bookmarkEnd w:id="577"/>
      <w:bookmarkEnd w:id="578"/>
      <w:r w:rsidRPr="001C3EC8">
        <w:rPr>
          <w:color w:val="000000" w:themeColor="text1"/>
        </w:rPr>
        <w:t>20</w:t>
      </w:r>
      <w:bookmarkEnd w:id="579"/>
    </w:p>
    <w:p w14:paraId="6405B61E"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7F5C25E7" wp14:editId="0D27163E">
            <wp:extent cx="5114925" cy="3743325"/>
            <wp:effectExtent l="0" t="0" r="0" b="9525"/>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A289C0D" w14:textId="31F02552" w:rsidR="008430BD" w:rsidRPr="001C3EC8" w:rsidRDefault="008430BD" w:rsidP="008430BD">
      <w:pPr>
        <w:pStyle w:val="Podnadpis"/>
        <w:rPr>
          <w:color w:val="000000" w:themeColor="text1"/>
        </w:rPr>
      </w:pPr>
      <w:bookmarkStart w:id="580" w:name="_Toc11133256"/>
      <w:bookmarkStart w:id="581" w:name="_Toc43931235"/>
      <w:bookmarkStart w:id="582" w:name="_Toc75952368"/>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65</w:t>
      </w:r>
      <w:r w:rsidRPr="001C3EC8">
        <w:rPr>
          <w:noProof/>
          <w:color w:val="000000" w:themeColor="text1"/>
        </w:rPr>
        <w:fldChar w:fldCharType="end"/>
      </w:r>
      <w:r w:rsidRPr="001C3EC8">
        <w:rPr>
          <w:color w:val="000000" w:themeColor="text1"/>
        </w:rPr>
        <w:t>: KS – DT odvolacího trestního řízení dle soudů</w:t>
      </w:r>
      <w:bookmarkEnd w:id="580"/>
      <w:bookmarkEnd w:id="581"/>
      <w:bookmarkEnd w:id="582"/>
    </w:p>
    <w:p w14:paraId="12F781EE" w14:textId="77777777" w:rsidR="008430BD" w:rsidRPr="001C3EC8" w:rsidRDefault="008430BD" w:rsidP="008430BD">
      <w:pPr>
        <w:spacing w:line="240" w:lineRule="auto"/>
        <w:jc w:val="left"/>
        <w:rPr>
          <w:color w:val="000000" w:themeColor="text1"/>
        </w:rPr>
      </w:pPr>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46263FC2"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C404DD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09F63A46"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4518F09B"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4468D56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04CEFDA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w:t>
            </w:r>
          </w:p>
        </w:tc>
        <w:tc>
          <w:tcPr>
            <w:tcW w:w="1927" w:type="dxa"/>
            <w:tcBorders>
              <w:top w:val="nil"/>
              <w:left w:val="nil"/>
              <w:bottom w:val="single" w:sz="4" w:space="0" w:color="auto"/>
              <w:right w:val="nil"/>
            </w:tcBorders>
            <w:shd w:val="clear" w:color="auto" w:fill="auto"/>
            <w:noWrap/>
            <w:vAlign w:val="center"/>
            <w:hideMark/>
          </w:tcPr>
          <w:p w14:paraId="13E4A19E" w14:textId="421E601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8430BD" w:rsidRPr="001C3EC8" w14:paraId="2FF8E4D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68D34BB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0D0C8A6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w:t>
            </w:r>
          </w:p>
        </w:tc>
        <w:tc>
          <w:tcPr>
            <w:tcW w:w="1927" w:type="dxa"/>
            <w:tcBorders>
              <w:top w:val="nil"/>
              <w:left w:val="nil"/>
              <w:bottom w:val="single" w:sz="4" w:space="0" w:color="auto"/>
              <w:right w:val="nil"/>
            </w:tcBorders>
            <w:shd w:val="clear" w:color="auto" w:fill="auto"/>
            <w:noWrap/>
            <w:vAlign w:val="center"/>
            <w:hideMark/>
          </w:tcPr>
          <w:p w14:paraId="3526E3AB" w14:textId="711305F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r>
      <w:tr w:rsidR="008430BD" w:rsidRPr="001C3EC8" w14:paraId="6B7E97A0"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A6F33F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172A59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w:t>
            </w:r>
          </w:p>
        </w:tc>
        <w:tc>
          <w:tcPr>
            <w:tcW w:w="1927" w:type="dxa"/>
            <w:tcBorders>
              <w:top w:val="nil"/>
              <w:left w:val="nil"/>
              <w:bottom w:val="single" w:sz="4" w:space="0" w:color="auto"/>
              <w:right w:val="nil"/>
            </w:tcBorders>
            <w:shd w:val="clear" w:color="auto" w:fill="auto"/>
            <w:noWrap/>
            <w:vAlign w:val="center"/>
            <w:hideMark/>
          </w:tcPr>
          <w:p w14:paraId="4EC15FA2" w14:textId="177F09A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+48 </w:t>
            </w:r>
            <w:r w:rsidR="00B07E76">
              <w:rPr>
                <w:rFonts w:eastAsia="Times New Roman"/>
                <w:color w:val="000000" w:themeColor="text1"/>
                <w:sz w:val="20"/>
                <w:szCs w:val="20"/>
                <w:lang w:eastAsia="cs-CZ"/>
              </w:rPr>
              <w:t>%</w:t>
            </w:r>
          </w:p>
        </w:tc>
      </w:tr>
      <w:tr w:rsidR="008430BD" w:rsidRPr="001C3EC8" w14:paraId="005600A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28BC3C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76E327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1927" w:type="dxa"/>
            <w:tcBorders>
              <w:top w:val="nil"/>
              <w:left w:val="nil"/>
              <w:bottom w:val="single" w:sz="4" w:space="0" w:color="auto"/>
              <w:right w:val="nil"/>
            </w:tcBorders>
            <w:shd w:val="clear" w:color="auto" w:fill="auto"/>
            <w:noWrap/>
            <w:vAlign w:val="center"/>
            <w:hideMark/>
          </w:tcPr>
          <w:p w14:paraId="0370255D" w14:textId="6BA7D86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34302AC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7E6301E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374C8D2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w:t>
            </w:r>
          </w:p>
        </w:tc>
        <w:tc>
          <w:tcPr>
            <w:tcW w:w="1927" w:type="dxa"/>
            <w:tcBorders>
              <w:top w:val="nil"/>
              <w:left w:val="nil"/>
              <w:bottom w:val="single" w:sz="4" w:space="0" w:color="auto"/>
              <w:right w:val="nil"/>
            </w:tcBorders>
            <w:shd w:val="clear" w:color="auto" w:fill="auto"/>
            <w:noWrap/>
            <w:vAlign w:val="center"/>
            <w:hideMark/>
          </w:tcPr>
          <w:p w14:paraId="0ECEF240" w14:textId="57C3463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13964C7A"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6E5467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14CC41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1927" w:type="dxa"/>
            <w:tcBorders>
              <w:top w:val="nil"/>
              <w:left w:val="nil"/>
              <w:bottom w:val="single" w:sz="4" w:space="0" w:color="auto"/>
              <w:right w:val="nil"/>
            </w:tcBorders>
            <w:shd w:val="clear" w:color="auto" w:fill="auto"/>
            <w:noWrap/>
            <w:vAlign w:val="center"/>
            <w:hideMark/>
          </w:tcPr>
          <w:p w14:paraId="7AF7E843" w14:textId="096C60B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8430BD" w:rsidRPr="001C3EC8" w14:paraId="25D81AB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8009AC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1A3F39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129</w:t>
            </w:r>
          </w:p>
        </w:tc>
        <w:tc>
          <w:tcPr>
            <w:tcW w:w="1927" w:type="dxa"/>
            <w:tcBorders>
              <w:top w:val="nil"/>
              <w:left w:val="nil"/>
              <w:bottom w:val="single" w:sz="4" w:space="0" w:color="auto"/>
              <w:right w:val="nil"/>
            </w:tcBorders>
            <w:shd w:val="clear" w:color="auto" w:fill="auto"/>
            <w:noWrap/>
            <w:vAlign w:val="center"/>
            <w:hideMark/>
          </w:tcPr>
          <w:p w14:paraId="0691E3AD" w14:textId="0802A01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7D4D59E1"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6E84F70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7E04C11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107</w:t>
            </w:r>
          </w:p>
        </w:tc>
        <w:tc>
          <w:tcPr>
            <w:tcW w:w="1927" w:type="dxa"/>
            <w:tcBorders>
              <w:top w:val="nil"/>
              <w:left w:val="nil"/>
              <w:bottom w:val="double" w:sz="6" w:space="0" w:color="auto"/>
              <w:right w:val="nil"/>
            </w:tcBorders>
            <w:shd w:val="clear" w:color="auto" w:fill="auto"/>
            <w:noWrap/>
            <w:vAlign w:val="center"/>
            <w:hideMark/>
          </w:tcPr>
          <w:p w14:paraId="1771A180" w14:textId="1D2BC28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+60 </w:t>
            </w:r>
            <w:r w:rsidR="00B07E76">
              <w:rPr>
                <w:rFonts w:eastAsia="Times New Roman"/>
                <w:color w:val="000000" w:themeColor="text1"/>
                <w:sz w:val="20"/>
                <w:szCs w:val="20"/>
                <w:lang w:eastAsia="cs-CZ"/>
              </w:rPr>
              <w:t>%</w:t>
            </w:r>
          </w:p>
        </w:tc>
      </w:tr>
      <w:tr w:rsidR="008430BD" w:rsidRPr="001C3EC8" w14:paraId="73C90D7C"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1B7DF74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4A8490B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73</w:t>
            </w:r>
          </w:p>
        </w:tc>
        <w:tc>
          <w:tcPr>
            <w:tcW w:w="1927" w:type="dxa"/>
            <w:tcBorders>
              <w:top w:val="nil"/>
              <w:left w:val="nil"/>
              <w:bottom w:val="double" w:sz="6" w:space="0" w:color="auto"/>
              <w:right w:val="nil"/>
            </w:tcBorders>
            <w:shd w:val="clear" w:color="auto" w:fill="auto"/>
            <w:noWrap/>
            <w:vAlign w:val="center"/>
            <w:hideMark/>
          </w:tcPr>
          <w:p w14:paraId="5AB1D86F" w14:textId="64D4358F"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+18 </w:t>
            </w:r>
            <w:r w:rsidR="00B07E76">
              <w:rPr>
                <w:rFonts w:eastAsia="Times New Roman"/>
                <w:b/>
                <w:bCs/>
                <w:color w:val="000000" w:themeColor="text1"/>
                <w:sz w:val="20"/>
                <w:szCs w:val="20"/>
                <w:lang w:eastAsia="cs-CZ"/>
              </w:rPr>
              <w:t>%</w:t>
            </w:r>
          </w:p>
        </w:tc>
      </w:tr>
    </w:tbl>
    <w:p w14:paraId="03175539" w14:textId="77777777" w:rsidR="008430BD" w:rsidRPr="001C3EC8" w:rsidRDefault="008430BD" w:rsidP="008430BD">
      <w:pPr>
        <w:spacing w:line="240" w:lineRule="auto"/>
        <w:jc w:val="left"/>
        <w:rPr>
          <w:color w:val="000000" w:themeColor="text1"/>
          <w:highlight w:val="yellow"/>
        </w:rPr>
      </w:pPr>
    </w:p>
    <w:p w14:paraId="2CD48FC1" w14:textId="227105B6" w:rsidR="00B07E76" w:rsidRDefault="008430BD" w:rsidP="008430BD">
      <w:pPr>
        <w:pStyle w:val="OdstavecASR"/>
        <w:rPr>
          <w:color w:val="000000" w:themeColor="text1"/>
        </w:rPr>
      </w:pPr>
      <w:r w:rsidRPr="001C3EC8">
        <w:rPr>
          <w:color w:val="000000" w:themeColor="text1"/>
        </w:rPr>
        <w:t xml:space="preserve">V tabulce vidíme, že relativní změny jsou u některých soudů celkem velké, největší je nárůst </w:t>
      </w:r>
      <w:r w:rsidR="00DE269E" w:rsidRPr="001C3EC8">
        <w:rPr>
          <w:color w:val="000000" w:themeColor="text1"/>
        </w:rPr>
        <w:t>o</w:t>
      </w:r>
      <w:r w:rsidR="00DE269E">
        <w:rPr>
          <w:color w:val="000000" w:themeColor="text1"/>
        </w:rPr>
        <w:t> </w:t>
      </w:r>
      <w:r w:rsidRPr="001C3EC8">
        <w:rPr>
          <w:color w:val="000000" w:themeColor="text1"/>
        </w:rPr>
        <w:t xml:space="preserve">60 % </w:t>
      </w:r>
      <w:r w:rsidR="00DE269E" w:rsidRPr="001C3EC8">
        <w:rPr>
          <w:color w:val="000000" w:themeColor="text1"/>
        </w:rPr>
        <w:t>u</w:t>
      </w:r>
      <w:r w:rsidR="00DE269E">
        <w:rPr>
          <w:color w:val="000000" w:themeColor="text1"/>
        </w:rPr>
        <w:t> </w:t>
      </w:r>
      <w:r w:rsidRPr="001C3EC8">
        <w:rPr>
          <w:color w:val="000000" w:themeColor="text1"/>
        </w:rPr>
        <w:t>KS v Ostravě.</w:t>
      </w:r>
      <w:r w:rsidR="00E10CA4">
        <w:rPr>
          <w:color w:val="000000" w:themeColor="text1"/>
        </w:rPr>
        <w:t xml:space="preserve"> </w:t>
      </w:r>
      <w:r w:rsidRPr="001C3EC8">
        <w:rPr>
          <w:color w:val="000000" w:themeColor="text1"/>
        </w:rPr>
        <w:t>Výsledky v této podkapitole korespondují s výsledky z podkapitol </w:t>
      </w:r>
      <w:r w:rsidRPr="001C3EC8">
        <w:rPr>
          <w:color w:val="000000" w:themeColor="text1"/>
        </w:rPr>
        <w:fldChar w:fldCharType="begin"/>
      </w:r>
      <w:r w:rsidRPr="001C3EC8">
        <w:rPr>
          <w:color w:val="000000" w:themeColor="text1"/>
        </w:rPr>
        <w:instrText xml:space="preserve"> REF _Ref511391169 \r \h  \* MERGEFORMAT </w:instrText>
      </w:r>
      <w:r w:rsidRPr="001C3EC8">
        <w:rPr>
          <w:color w:val="000000" w:themeColor="text1"/>
        </w:rPr>
      </w:r>
      <w:r w:rsidRPr="001C3EC8">
        <w:rPr>
          <w:color w:val="000000" w:themeColor="text1"/>
        </w:rPr>
        <w:fldChar w:fldCharType="separate"/>
      </w:r>
      <w:r w:rsidR="009C575D">
        <w:rPr>
          <w:color w:val="000000" w:themeColor="text1"/>
        </w:rPr>
        <w:t>3.5.1</w:t>
      </w:r>
      <w:r w:rsidRPr="001C3EC8">
        <w:rPr>
          <w:color w:val="000000" w:themeColor="text1"/>
        </w:rPr>
        <w:fldChar w:fldCharType="end"/>
      </w:r>
      <w:r w:rsidRPr="001C3EC8">
        <w:rPr>
          <w:color w:val="000000" w:themeColor="text1"/>
        </w:rPr>
        <w:t xml:space="preserve"> a </w:t>
      </w:r>
      <w:r w:rsidRPr="001C3EC8">
        <w:rPr>
          <w:color w:val="000000" w:themeColor="text1"/>
        </w:rPr>
        <w:fldChar w:fldCharType="begin"/>
      </w:r>
      <w:r w:rsidRPr="001C3EC8">
        <w:rPr>
          <w:color w:val="000000" w:themeColor="text1"/>
        </w:rPr>
        <w:instrText xml:space="preserve"> REF _Ref40897302 \r \h </w:instrText>
      </w:r>
      <w:r w:rsidRPr="001C3EC8">
        <w:rPr>
          <w:color w:val="000000" w:themeColor="text1"/>
        </w:rPr>
      </w:r>
      <w:r w:rsidRPr="001C3EC8">
        <w:rPr>
          <w:color w:val="000000" w:themeColor="text1"/>
        </w:rPr>
        <w:fldChar w:fldCharType="separate"/>
      </w:r>
      <w:r w:rsidR="009C575D">
        <w:rPr>
          <w:color w:val="000000" w:themeColor="text1"/>
        </w:rPr>
        <w:t>3.5.2</w:t>
      </w:r>
      <w:r w:rsidRPr="001C3EC8">
        <w:rPr>
          <w:color w:val="000000" w:themeColor="text1"/>
        </w:rPr>
        <w:fldChar w:fldCharType="end"/>
      </w:r>
      <w:r w:rsidRPr="001C3EC8">
        <w:rPr>
          <w:color w:val="000000" w:themeColor="text1"/>
        </w:rPr>
        <w:t>.</w:t>
      </w:r>
    </w:p>
    <w:p w14:paraId="3BC19C47" w14:textId="560B1F84" w:rsidR="00E10CA4" w:rsidRDefault="00DE269E" w:rsidP="008430BD">
      <w:pPr>
        <w:pStyle w:val="OdstavecASR"/>
        <w:rPr>
          <w:color w:val="000000" w:themeColor="text1"/>
        </w:rPr>
      </w:pPr>
      <w:r w:rsidRPr="001C3EC8">
        <w:rPr>
          <w:color w:val="000000" w:themeColor="text1"/>
        </w:rPr>
        <w:lastRenderedPageBreak/>
        <w:t>I</w:t>
      </w:r>
      <w:r>
        <w:rPr>
          <w:color w:val="000000" w:themeColor="text1"/>
        </w:rPr>
        <w:t> </w:t>
      </w:r>
      <w:r w:rsidR="008430BD" w:rsidRPr="001C3EC8">
        <w:rPr>
          <w:color w:val="000000" w:themeColor="text1"/>
        </w:rPr>
        <w:t xml:space="preserve">přes zhoršení všech statistik v roce 2020 je agenda ze statistického hlediska na vyřizování v zásadě bezproblémová </w:t>
      </w:r>
      <w:r w:rsidRPr="001C3EC8">
        <w:rPr>
          <w:color w:val="000000" w:themeColor="text1"/>
        </w:rPr>
        <w:t>a</w:t>
      </w:r>
      <w:r>
        <w:rPr>
          <w:color w:val="000000" w:themeColor="text1"/>
        </w:rPr>
        <w:t> </w:t>
      </w:r>
      <w:r w:rsidR="008430BD" w:rsidRPr="001C3EC8">
        <w:rPr>
          <w:color w:val="000000" w:themeColor="text1"/>
        </w:rPr>
        <w:t>lze očekávat, že v příštích letech se opět ustálí.</w:t>
      </w:r>
    </w:p>
    <w:p w14:paraId="293AB4F6" w14:textId="0BA7B46E" w:rsidR="008430BD" w:rsidRPr="001C3EC8" w:rsidRDefault="008430BD" w:rsidP="008430BD">
      <w:pPr>
        <w:pStyle w:val="OdstavecASR"/>
        <w:rPr>
          <w:color w:val="000000" w:themeColor="text1"/>
          <w:highlight w:val="yellow"/>
        </w:rPr>
      </w:pPr>
      <w:r w:rsidRPr="001C3EC8">
        <w:rPr>
          <w:color w:val="000000" w:themeColor="text1"/>
          <w:highlight w:val="yellow"/>
        </w:rPr>
        <w:br w:type="page"/>
      </w:r>
    </w:p>
    <w:p w14:paraId="4C3CFCB6" w14:textId="77777777" w:rsidR="008430BD" w:rsidRPr="001C3EC8" w:rsidRDefault="008430BD" w:rsidP="008430BD">
      <w:pPr>
        <w:pStyle w:val="Nadpis2"/>
        <w:numPr>
          <w:ilvl w:val="1"/>
          <w:numId w:val="1"/>
        </w:numPr>
        <w:spacing w:before="120"/>
      </w:pPr>
      <w:bookmarkStart w:id="583" w:name="_Toc515871266"/>
      <w:bookmarkStart w:id="584" w:name="_Ref70586663"/>
      <w:bookmarkStart w:id="585" w:name="_Toc75952108"/>
      <w:r w:rsidRPr="001C3EC8">
        <w:lastRenderedPageBreak/>
        <w:t>Správní agenda</w:t>
      </w:r>
      <w:bookmarkEnd w:id="583"/>
      <w:bookmarkEnd w:id="584"/>
      <w:bookmarkEnd w:id="585"/>
    </w:p>
    <w:p w14:paraId="5AB7A68F" w14:textId="754BF9C5" w:rsidR="008430BD" w:rsidRPr="001C3EC8" w:rsidRDefault="008430BD" w:rsidP="008430BD">
      <w:pPr>
        <w:pStyle w:val="OdstavecASR"/>
        <w:rPr>
          <w:color w:val="000000" w:themeColor="text1"/>
        </w:rPr>
      </w:pPr>
      <w:r w:rsidRPr="001C3EC8">
        <w:rPr>
          <w:color w:val="000000" w:themeColor="text1"/>
        </w:rPr>
        <w:t>Správní agenda krajských soudů zahrnuje rejstříky </w:t>
      </w:r>
      <w:r w:rsidR="00DE269E" w:rsidRPr="001C3EC8">
        <w:rPr>
          <w:color w:val="000000" w:themeColor="text1"/>
        </w:rPr>
        <w:t>A</w:t>
      </w:r>
      <w:r w:rsidR="00DE269E">
        <w:rPr>
          <w:color w:val="000000" w:themeColor="text1"/>
        </w:rPr>
        <w:t xml:space="preserve"> </w:t>
      </w:r>
      <w:r w:rsidRPr="001C3EC8">
        <w:rPr>
          <w:color w:val="000000" w:themeColor="text1"/>
        </w:rPr>
        <w:t xml:space="preserve">(všeobecná správní agenda), </w:t>
      </w:r>
      <w:proofErr w:type="spellStart"/>
      <w:r w:rsidRPr="001C3EC8">
        <w:rPr>
          <w:color w:val="000000" w:themeColor="text1"/>
        </w:rPr>
        <w:t>Af</w:t>
      </w:r>
      <w:proofErr w:type="spellEnd"/>
      <w:r w:rsidRPr="001C3EC8">
        <w:rPr>
          <w:color w:val="000000" w:themeColor="text1"/>
        </w:rPr>
        <w:t xml:space="preserve"> (agenda ve věcech finanční správy), Ad (sociální a důchodová agenda) a </w:t>
      </w:r>
      <w:proofErr w:type="spellStart"/>
      <w:r w:rsidRPr="001C3EC8">
        <w:rPr>
          <w:color w:val="000000" w:themeColor="text1"/>
        </w:rPr>
        <w:t>Az</w:t>
      </w:r>
      <w:proofErr w:type="spellEnd"/>
      <w:r w:rsidRPr="001C3EC8">
        <w:rPr>
          <w:color w:val="000000" w:themeColor="text1"/>
        </w:rPr>
        <w:t xml:space="preserve"> (azylová agenda). V roce 2010 došlo ke změně ve vykazování. Do roku 2009 totiž správní agenda zahrnovala rejstříky </w:t>
      </w:r>
      <w:proofErr w:type="spellStart"/>
      <w:r w:rsidRPr="001C3EC8">
        <w:rPr>
          <w:color w:val="000000" w:themeColor="text1"/>
        </w:rPr>
        <w:t>Az</w:t>
      </w:r>
      <w:proofErr w:type="spellEnd"/>
      <w:r w:rsidRPr="001C3EC8">
        <w:rPr>
          <w:color w:val="000000" w:themeColor="text1"/>
        </w:rPr>
        <w:t>, Ca a </w:t>
      </w:r>
      <w:proofErr w:type="spellStart"/>
      <w:r w:rsidRPr="001C3EC8">
        <w:rPr>
          <w:color w:val="000000" w:themeColor="text1"/>
        </w:rPr>
        <w:t>Cad</w:t>
      </w:r>
      <w:proofErr w:type="spellEnd"/>
      <w:r w:rsidRPr="001C3EC8">
        <w:rPr>
          <w:color w:val="000000" w:themeColor="text1"/>
        </w:rPr>
        <w:t>. K žádným dalším změnám ve vedení statistik nedošlo. V roce 2012 došlo ke změně v příslušnosti správních soudů, která do určité míry ulevila Městskému soudu v Praze.</w:t>
      </w:r>
    </w:p>
    <w:p w14:paraId="527DB0FD" w14:textId="77777777" w:rsidR="008430BD" w:rsidRPr="001C3EC8" w:rsidRDefault="008430BD" w:rsidP="008430BD">
      <w:pPr>
        <w:pStyle w:val="Nadpis3"/>
        <w:numPr>
          <w:ilvl w:val="2"/>
          <w:numId w:val="1"/>
        </w:numPr>
        <w:rPr>
          <w:color w:val="000000" w:themeColor="text1"/>
        </w:rPr>
      </w:pPr>
      <w:bookmarkStart w:id="586" w:name="_Toc43903076"/>
      <w:bookmarkStart w:id="587" w:name="_Toc75952109"/>
      <w:r w:rsidRPr="001C3EC8">
        <w:rPr>
          <w:color w:val="000000" w:themeColor="text1"/>
        </w:rPr>
        <w:t>Délka řízení</w:t>
      </w:r>
      <w:bookmarkEnd w:id="586"/>
      <w:bookmarkEnd w:id="587"/>
    </w:p>
    <w:p w14:paraId="3AFBA91C" w14:textId="77777777" w:rsidR="008430BD" w:rsidRPr="001C3EC8" w:rsidRDefault="008430BD" w:rsidP="008430BD">
      <w:pPr>
        <w:pStyle w:val="OdstavecASR"/>
        <w:rPr>
          <w:color w:val="000000" w:themeColor="text1"/>
        </w:rPr>
      </w:pPr>
      <w:bookmarkStart w:id="588" w:name="_Toc515871397"/>
      <w:bookmarkStart w:id="589" w:name="_Toc11135128"/>
      <w:bookmarkStart w:id="590" w:name="_Toc43841447"/>
      <w:r w:rsidRPr="001C3EC8">
        <w:rPr>
          <w:color w:val="000000" w:themeColor="text1"/>
        </w:rPr>
        <w:t>Z grafu vyplývá, že délka řízení vykazovala až do roku 2014 (respektive 2015) jasný stoupající trend. Ten byl způsoben především tím, že správní úseky soudů byly značně zatížené a soudy, především pak MS Praha, stíhaly vyřizovat správní věci jen s velkými obtížemi.</w:t>
      </w:r>
    </w:p>
    <w:p w14:paraId="639370C9" w14:textId="6229A137" w:rsidR="008430BD" w:rsidRPr="001C3EC8" w:rsidRDefault="008430BD" w:rsidP="00F47516">
      <w:pPr>
        <w:pStyle w:val="OdstavecASR"/>
        <w:rPr>
          <w:color w:val="000000" w:themeColor="text1"/>
          <w:highlight w:val="yellow"/>
        </w:rPr>
      </w:pPr>
      <w:r w:rsidRPr="001C3EC8">
        <w:rPr>
          <w:color w:val="000000" w:themeColor="text1"/>
        </w:rPr>
        <w:t xml:space="preserve">Teprve v posledních letech se podařilo rostoucí trend v délce řízení zastavit. V roce 2017 sice mírně vzrostl medián, ale na druhou stranu zase klesl devadesátý percentil. V roce 2018 dokonce klesl medián, průměr </w:t>
      </w:r>
      <w:r w:rsidR="00DE269E" w:rsidRPr="001C3EC8">
        <w:rPr>
          <w:color w:val="000000" w:themeColor="text1"/>
        </w:rPr>
        <w:t>i</w:t>
      </w:r>
      <w:r w:rsidR="00DE269E">
        <w:rPr>
          <w:color w:val="000000" w:themeColor="text1"/>
        </w:rPr>
        <w:t> </w:t>
      </w:r>
      <w:r w:rsidRPr="001C3EC8">
        <w:rPr>
          <w:color w:val="000000" w:themeColor="text1"/>
        </w:rPr>
        <w:t xml:space="preserve">devadesátý percentil. V roce 2019 ale všechny ukazatele vzrostly asi na úroveň v roce 2017. </w:t>
      </w:r>
      <w:r w:rsidR="00DE269E" w:rsidRPr="001C3EC8">
        <w:rPr>
          <w:color w:val="000000" w:themeColor="text1"/>
        </w:rPr>
        <w:t>V</w:t>
      </w:r>
      <w:r w:rsidR="00DE269E">
        <w:rPr>
          <w:color w:val="000000" w:themeColor="text1"/>
        </w:rPr>
        <w:t> </w:t>
      </w:r>
      <w:r w:rsidR="00F47516" w:rsidRPr="001C3EC8">
        <w:rPr>
          <w:color w:val="000000" w:themeColor="text1"/>
        </w:rPr>
        <w:t xml:space="preserve">roce 2020 pak růst pokračoval. Průměr </w:t>
      </w:r>
      <w:r w:rsidR="00DE269E" w:rsidRPr="001C3EC8">
        <w:rPr>
          <w:color w:val="000000" w:themeColor="text1"/>
        </w:rPr>
        <w:t>a</w:t>
      </w:r>
      <w:r w:rsidR="00DE269E">
        <w:rPr>
          <w:color w:val="000000" w:themeColor="text1"/>
        </w:rPr>
        <w:t> </w:t>
      </w:r>
      <w:r w:rsidR="00F47516" w:rsidRPr="001C3EC8">
        <w:rPr>
          <w:color w:val="000000" w:themeColor="text1"/>
        </w:rPr>
        <w:t xml:space="preserve">medián jsou nyní nejvyšší ve sledovaném období. To sice lze vnímat jako znepokojivý jev, tento údaj je však třeba vykládat </w:t>
      </w:r>
      <w:r w:rsidR="00DE269E" w:rsidRPr="001C3EC8">
        <w:rPr>
          <w:color w:val="000000" w:themeColor="text1"/>
        </w:rPr>
        <w:t>v</w:t>
      </w:r>
      <w:r w:rsidR="00DE269E">
        <w:rPr>
          <w:color w:val="000000" w:themeColor="text1"/>
        </w:rPr>
        <w:t> </w:t>
      </w:r>
      <w:r w:rsidR="00F47516" w:rsidRPr="001C3EC8">
        <w:rPr>
          <w:color w:val="000000" w:themeColor="text1"/>
        </w:rPr>
        <w:t xml:space="preserve">kontextu složení portfolia vyřizovaných věcí </w:t>
      </w:r>
      <w:r w:rsidR="00DE269E" w:rsidRPr="001C3EC8">
        <w:rPr>
          <w:color w:val="000000" w:themeColor="text1"/>
        </w:rPr>
        <w:t>v</w:t>
      </w:r>
      <w:r w:rsidR="00DE269E">
        <w:rPr>
          <w:color w:val="000000" w:themeColor="text1"/>
        </w:rPr>
        <w:t> </w:t>
      </w:r>
      <w:r w:rsidR="00F47516" w:rsidRPr="001C3EC8">
        <w:rPr>
          <w:color w:val="000000" w:themeColor="text1"/>
        </w:rPr>
        <w:t xml:space="preserve">daném období, kdy se zvýšil podíl vyřízených věcí starších časových řad; </w:t>
      </w:r>
      <w:r w:rsidR="00DE269E" w:rsidRPr="001C3EC8">
        <w:rPr>
          <w:color w:val="000000" w:themeColor="text1"/>
        </w:rPr>
        <w:t>k</w:t>
      </w:r>
      <w:r w:rsidR="00DE269E">
        <w:rPr>
          <w:color w:val="000000" w:themeColor="text1"/>
        </w:rPr>
        <w:t> </w:t>
      </w:r>
      <w:r w:rsidR="00F47516" w:rsidRPr="001C3EC8">
        <w:rPr>
          <w:color w:val="000000" w:themeColor="text1"/>
        </w:rPr>
        <w:t>tomu viz bod 3.6.2. zprávy</w:t>
      </w:r>
    </w:p>
    <w:p w14:paraId="2A5AB227" w14:textId="1B899BA6" w:rsidR="008430BD" w:rsidRPr="001C3EC8" w:rsidRDefault="008430BD" w:rsidP="008430BD">
      <w:pPr>
        <w:pStyle w:val="Podnadpis"/>
        <w:rPr>
          <w:color w:val="000000" w:themeColor="text1"/>
        </w:rPr>
      </w:pPr>
      <w:bookmarkStart w:id="591" w:name="_Toc7595224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69</w:t>
      </w:r>
      <w:r w:rsidRPr="001C3EC8">
        <w:rPr>
          <w:noProof/>
          <w:color w:val="000000" w:themeColor="text1"/>
        </w:rPr>
        <w:fldChar w:fldCharType="end"/>
      </w:r>
      <w:r w:rsidRPr="001C3EC8">
        <w:rPr>
          <w:color w:val="000000" w:themeColor="text1"/>
        </w:rPr>
        <w:t>: KS – délka správního řízení u KS v letech 2008–20</w:t>
      </w:r>
      <w:bookmarkEnd w:id="588"/>
      <w:bookmarkEnd w:id="589"/>
      <w:bookmarkEnd w:id="590"/>
      <w:r w:rsidRPr="001C3EC8">
        <w:rPr>
          <w:color w:val="000000" w:themeColor="text1"/>
        </w:rPr>
        <w:t>20</w:t>
      </w:r>
      <w:bookmarkEnd w:id="591"/>
    </w:p>
    <w:p w14:paraId="7471418E"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F8CFDCC" wp14:editId="4EF15A91">
            <wp:extent cx="5114925" cy="3743325"/>
            <wp:effectExtent l="0" t="0" r="0" b="9525"/>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7ECD80D" w14:textId="0F669480" w:rsidR="008430BD" w:rsidRPr="001C3EC8" w:rsidRDefault="008430BD" w:rsidP="008430BD">
      <w:pPr>
        <w:pStyle w:val="OdstavecASR"/>
        <w:rPr>
          <w:color w:val="000000" w:themeColor="text1"/>
        </w:rPr>
      </w:pPr>
      <w:r w:rsidRPr="001C3EC8">
        <w:rPr>
          <w:color w:val="000000" w:themeColor="text1"/>
        </w:rPr>
        <w:t xml:space="preserve">Z tabulky vyčteme, že MS Praha opravdu vykazuje velmi vysoké délky řízení, což potvrzuje výše uvedené tvrzení o zatíženosti soudů. Vysoké délky řízení ale už vykazuje </w:t>
      </w:r>
      <w:r w:rsidR="00DE269E" w:rsidRPr="001C3EC8">
        <w:rPr>
          <w:color w:val="000000" w:themeColor="text1"/>
        </w:rPr>
        <w:t>i</w:t>
      </w:r>
      <w:r w:rsidR="00DE269E">
        <w:rPr>
          <w:color w:val="000000" w:themeColor="text1"/>
        </w:rPr>
        <w:t> </w:t>
      </w:r>
      <w:r w:rsidRPr="001C3EC8">
        <w:rPr>
          <w:color w:val="000000" w:themeColor="text1"/>
        </w:rPr>
        <w:t>například KS Brno</w:t>
      </w:r>
      <w:r w:rsidR="00E10CA4">
        <w:rPr>
          <w:color w:val="000000" w:themeColor="text1"/>
        </w:rPr>
        <w:t xml:space="preserve"> </w:t>
      </w:r>
      <w:r w:rsidR="00CE1582" w:rsidRPr="001C3EC8">
        <w:rPr>
          <w:color w:val="000000" w:themeColor="text1"/>
        </w:rPr>
        <w:t>a</w:t>
      </w:r>
      <w:r w:rsidR="00E10CA4">
        <w:rPr>
          <w:color w:val="000000" w:themeColor="text1"/>
        </w:rPr>
        <w:t> </w:t>
      </w:r>
      <w:r w:rsidR="00CE1582" w:rsidRPr="001C3EC8">
        <w:rPr>
          <w:color w:val="000000" w:themeColor="text1"/>
        </w:rPr>
        <w:t xml:space="preserve">další soudy. V zásadě tak můžeme konstatovat, </w:t>
      </w:r>
      <w:r w:rsidRPr="001C3EC8">
        <w:rPr>
          <w:color w:val="000000" w:themeColor="text1"/>
        </w:rPr>
        <w:t xml:space="preserve">že </w:t>
      </w:r>
      <w:r w:rsidR="00CE1582" w:rsidRPr="001C3EC8">
        <w:rPr>
          <w:color w:val="000000" w:themeColor="text1"/>
        </w:rPr>
        <w:t xml:space="preserve">se s délkou řízení potýká </w:t>
      </w:r>
      <w:r w:rsidRPr="001C3EC8">
        <w:rPr>
          <w:color w:val="000000" w:themeColor="text1"/>
        </w:rPr>
        <w:t>většina soudů.</w:t>
      </w:r>
    </w:p>
    <w:p w14:paraId="1429411E" w14:textId="77777777" w:rsidR="008430BD" w:rsidRPr="001C3EC8" w:rsidRDefault="008430BD" w:rsidP="008430BD">
      <w:pPr>
        <w:pStyle w:val="OdstavecASR"/>
        <w:rPr>
          <w:color w:val="000000" w:themeColor="text1"/>
        </w:rPr>
      </w:pPr>
      <w:r w:rsidRPr="001C3EC8">
        <w:rPr>
          <w:color w:val="000000" w:themeColor="text1"/>
        </w:rPr>
        <w:lastRenderedPageBreak/>
        <w:t>Rozdíl mezi MS Praha a ostatními soudy byl nicméně v letech 2016 a 2017 výrazně menší než dříve, což můžeme považovat za příznivé znamení. Největší rozdíl registrujeme v roce 2014, kdy byla mediánová délka řízení v Praze 763 dnů a 310 dnů ve zbytku ČR.</w:t>
      </w:r>
    </w:p>
    <w:p w14:paraId="48A2AAF7" w14:textId="0747BFCF" w:rsidR="008430BD" w:rsidRPr="001C3EC8" w:rsidRDefault="008430BD" w:rsidP="008430BD">
      <w:pPr>
        <w:rPr>
          <w:color w:val="000000" w:themeColor="text1"/>
        </w:rPr>
      </w:pPr>
      <w:r w:rsidRPr="001C3EC8">
        <w:rPr>
          <w:color w:val="000000" w:themeColor="text1"/>
        </w:rPr>
        <w:t xml:space="preserve">Poměrně zajímavý je fakt, že mediánová délka řízení je </w:t>
      </w:r>
      <w:r w:rsidR="00DE269E" w:rsidRPr="001C3EC8">
        <w:rPr>
          <w:color w:val="000000" w:themeColor="text1"/>
        </w:rPr>
        <w:t>u</w:t>
      </w:r>
      <w:r w:rsidR="00DE269E">
        <w:rPr>
          <w:color w:val="000000" w:themeColor="text1"/>
        </w:rPr>
        <w:t> </w:t>
      </w:r>
      <w:r w:rsidRPr="001C3EC8">
        <w:rPr>
          <w:color w:val="000000" w:themeColor="text1"/>
        </w:rPr>
        <w:t xml:space="preserve">KS </w:t>
      </w:r>
      <w:r w:rsidR="00DE269E" w:rsidRPr="001C3EC8">
        <w:rPr>
          <w:color w:val="000000" w:themeColor="text1"/>
        </w:rPr>
        <w:t>v</w:t>
      </w:r>
      <w:r w:rsidR="00DE269E">
        <w:rPr>
          <w:color w:val="000000" w:themeColor="text1"/>
        </w:rPr>
        <w:t> </w:t>
      </w:r>
      <w:r w:rsidRPr="001C3EC8">
        <w:rPr>
          <w:color w:val="000000" w:themeColor="text1"/>
        </w:rPr>
        <w:t>Brně vyšší než průměrná délka řízení. To je v oblasti soudnictví značně nezvyklé, neboť průměrné délky řízení jsou obvykle „taženy“ extrémně vysokými hodnotami. Ani u ostatních krajských soudů nejsou rozdíly mezi mediánem a průměrem příliš velké.</w:t>
      </w:r>
    </w:p>
    <w:p w14:paraId="2385A916" w14:textId="3734602C" w:rsidR="008430BD" w:rsidRPr="001C3EC8" w:rsidRDefault="008430BD" w:rsidP="008430BD">
      <w:pPr>
        <w:pStyle w:val="Podnadpis"/>
        <w:rPr>
          <w:color w:val="000000" w:themeColor="text1"/>
        </w:rPr>
      </w:pPr>
      <w:bookmarkStart w:id="592" w:name="_Toc515871490"/>
      <w:bookmarkStart w:id="593" w:name="_Toc11133257"/>
      <w:bookmarkStart w:id="594" w:name="_Toc43931236"/>
      <w:bookmarkStart w:id="595" w:name="_Toc7595236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66</w:t>
      </w:r>
      <w:r w:rsidRPr="001C3EC8">
        <w:rPr>
          <w:noProof/>
          <w:color w:val="000000" w:themeColor="text1"/>
        </w:rPr>
        <w:fldChar w:fldCharType="end"/>
      </w:r>
      <w:r w:rsidRPr="001C3EC8">
        <w:rPr>
          <w:color w:val="000000" w:themeColor="text1"/>
        </w:rPr>
        <w:t>: KS – délky správního řízení dle soudů</w:t>
      </w:r>
      <w:bookmarkEnd w:id="592"/>
      <w:bookmarkEnd w:id="593"/>
      <w:bookmarkEnd w:id="594"/>
      <w:bookmarkEnd w:id="595"/>
    </w:p>
    <w:tbl>
      <w:tblPr>
        <w:tblW w:w="7520" w:type="dxa"/>
        <w:tblCellMar>
          <w:left w:w="70" w:type="dxa"/>
          <w:right w:w="70" w:type="dxa"/>
        </w:tblCellMar>
        <w:tblLook w:val="04A0" w:firstRow="1" w:lastRow="0" w:firstColumn="1" w:lastColumn="0" w:noHBand="0" w:noVBand="1"/>
      </w:tblPr>
      <w:tblGrid>
        <w:gridCol w:w="2480"/>
        <w:gridCol w:w="637"/>
        <w:gridCol w:w="979"/>
        <w:gridCol w:w="636"/>
        <w:gridCol w:w="979"/>
        <w:gridCol w:w="830"/>
        <w:gridCol w:w="979"/>
      </w:tblGrid>
      <w:tr w:rsidR="008430BD" w:rsidRPr="001C3EC8" w14:paraId="6CA53333"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9B48549" w14:textId="6F0D092C"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7D6A289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4B7C7737"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18AA2AD5"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616" w:type="dxa"/>
            <w:gridSpan w:val="2"/>
            <w:tcBorders>
              <w:top w:val="nil"/>
              <w:left w:val="nil"/>
              <w:bottom w:val="double" w:sz="6" w:space="0" w:color="auto"/>
              <w:right w:val="nil"/>
            </w:tcBorders>
            <w:shd w:val="clear" w:color="auto" w:fill="auto"/>
            <w:noWrap/>
            <w:vAlign w:val="center"/>
            <w:hideMark/>
          </w:tcPr>
          <w:p w14:paraId="5339F83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61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1F4DAE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809" w:type="dxa"/>
            <w:gridSpan w:val="2"/>
            <w:tcBorders>
              <w:top w:val="nil"/>
              <w:left w:val="nil"/>
              <w:bottom w:val="double" w:sz="6" w:space="0" w:color="auto"/>
              <w:right w:val="nil"/>
            </w:tcBorders>
            <w:shd w:val="clear" w:color="auto" w:fill="auto"/>
            <w:noWrap/>
            <w:vAlign w:val="center"/>
            <w:hideMark/>
          </w:tcPr>
          <w:p w14:paraId="597DD5B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25911B5E"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0F6597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637" w:type="dxa"/>
            <w:tcBorders>
              <w:top w:val="single" w:sz="4" w:space="0" w:color="auto"/>
              <w:left w:val="nil"/>
              <w:bottom w:val="single" w:sz="4" w:space="0" w:color="auto"/>
              <w:right w:val="nil"/>
            </w:tcBorders>
            <w:shd w:val="clear" w:color="auto" w:fill="auto"/>
            <w:noWrap/>
            <w:vAlign w:val="bottom"/>
            <w:hideMark/>
          </w:tcPr>
          <w:p w14:paraId="05D3E87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699</w:t>
            </w:r>
          </w:p>
        </w:tc>
        <w:tc>
          <w:tcPr>
            <w:tcW w:w="979" w:type="dxa"/>
            <w:tcBorders>
              <w:top w:val="single" w:sz="4" w:space="0" w:color="auto"/>
              <w:left w:val="nil"/>
              <w:bottom w:val="single" w:sz="4" w:space="0" w:color="auto"/>
              <w:right w:val="nil"/>
            </w:tcBorders>
            <w:shd w:val="clear" w:color="auto" w:fill="auto"/>
            <w:noWrap/>
            <w:vAlign w:val="center"/>
            <w:hideMark/>
          </w:tcPr>
          <w:p w14:paraId="2D896E07" w14:textId="6E20FC77"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0C4ED74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623</w:t>
            </w:r>
          </w:p>
        </w:tc>
        <w:tc>
          <w:tcPr>
            <w:tcW w:w="979" w:type="dxa"/>
            <w:tcBorders>
              <w:top w:val="nil"/>
              <w:left w:val="nil"/>
              <w:bottom w:val="single" w:sz="4" w:space="0" w:color="auto"/>
              <w:right w:val="single" w:sz="4" w:space="0" w:color="auto"/>
            </w:tcBorders>
            <w:shd w:val="clear" w:color="auto" w:fill="auto"/>
            <w:noWrap/>
            <w:vAlign w:val="center"/>
            <w:hideMark/>
          </w:tcPr>
          <w:p w14:paraId="47A45820" w14:textId="5DF4FBA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830" w:type="dxa"/>
            <w:tcBorders>
              <w:top w:val="single" w:sz="4" w:space="0" w:color="auto"/>
              <w:left w:val="nil"/>
              <w:bottom w:val="single" w:sz="4" w:space="0" w:color="auto"/>
              <w:right w:val="nil"/>
            </w:tcBorders>
            <w:shd w:val="clear" w:color="auto" w:fill="auto"/>
            <w:noWrap/>
            <w:vAlign w:val="bottom"/>
            <w:hideMark/>
          </w:tcPr>
          <w:p w14:paraId="06D5A9B8" w14:textId="6450625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42</w:t>
            </w:r>
            <w:r w:rsidR="003C39D9" w:rsidRPr="001C3EC8">
              <w:rPr>
                <w:rFonts w:eastAsia="Times New Roman"/>
                <w:color w:val="000000" w:themeColor="text1"/>
                <w:szCs w:val="24"/>
                <w:lang w:eastAsia="cs-CZ"/>
              </w:rPr>
              <w:t>5</w:t>
            </w:r>
          </w:p>
        </w:tc>
        <w:tc>
          <w:tcPr>
            <w:tcW w:w="979" w:type="dxa"/>
            <w:tcBorders>
              <w:top w:val="single" w:sz="4" w:space="0" w:color="auto"/>
              <w:left w:val="nil"/>
              <w:bottom w:val="single" w:sz="4" w:space="0" w:color="auto"/>
              <w:right w:val="nil"/>
            </w:tcBorders>
            <w:shd w:val="clear" w:color="auto" w:fill="auto"/>
            <w:noWrap/>
            <w:vAlign w:val="center"/>
            <w:hideMark/>
          </w:tcPr>
          <w:p w14:paraId="4DDCAACB" w14:textId="2129AB0A" w:rsidR="008430BD" w:rsidRPr="001C3EC8" w:rsidRDefault="003C39D9"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8430BD" w:rsidRPr="001C3EC8" w14:paraId="599A146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AD3B50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637" w:type="dxa"/>
            <w:tcBorders>
              <w:top w:val="nil"/>
              <w:left w:val="nil"/>
              <w:bottom w:val="single" w:sz="4" w:space="0" w:color="auto"/>
              <w:right w:val="nil"/>
            </w:tcBorders>
            <w:shd w:val="clear" w:color="auto" w:fill="auto"/>
            <w:noWrap/>
            <w:vAlign w:val="bottom"/>
            <w:hideMark/>
          </w:tcPr>
          <w:p w14:paraId="36D472C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520</w:t>
            </w:r>
          </w:p>
        </w:tc>
        <w:tc>
          <w:tcPr>
            <w:tcW w:w="979" w:type="dxa"/>
            <w:tcBorders>
              <w:top w:val="nil"/>
              <w:left w:val="nil"/>
              <w:bottom w:val="single" w:sz="4" w:space="0" w:color="auto"/>
              <w:right w:val="nil"/>
            </w:tcBorders>
            <w:shd w:val="clear" w:color="auto" w:fill="auto"/>
            <w:noWrap/>
            <w:vAlign w:val="center"/>
            <w:hideMark/>
          </w:tcPr>
          <w:p w14:paraId="0F444710" w14:textId="6C60123D"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4966F39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473</w:t>
            </w:r>
          </w:p>
        </w:tc>
        <w:tc>
          <w:tcPr>
            <w:tcW w:w="979" w:type="dxa"/>
            <w:tcBorders>
              <w:top w:val="nil"/>
              <w:left w:val="nil"/>
              <w:bottom w:val="single" w:sz="4" w:space="0" w:color="auto"/>
              <w:right w:val="single" w:sz="4" w:space="0" w:color="auto"/>
            </w:tcBorders>
            <w:shd w:val="clear" w:color="auto" w:fill="auto"/>
            <w:noWrap/>
            <w:vAlign w:val="center"/>
            <w:hideMark/>
          </w:tcPr>
          <w:p w14:paraId="0D9B222D" w14:textId="2C250F5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+36 </w:t>
            </w:r>
            <w:r w:rsidR="00B07E76">
              <w:rPr>
                <w:rFonts w:eastAsia="Times New Roman"/>
                <w:color w:val="000000" w:themeColor="text1"/>
                <w:sz w:val="20"/>
                <w:szCs w:val="20"/>
                <w:lang w:eastAsia="cs-CZ"/>
              </w:rPr>
              <w:t>%</w:t>
            </w:r>
          </w:p>
        </w:tc>
        <w:tc>
          <w:tcPr>
            <w:tcW w:w="830" w:type="dxa"/>
            <w:tcBorders>
              <w:top w:val="nil"/>
              <w:left w:val="nil"/>
              <w:bottom w:val="single" w:sz="4" w:space="0" w:color="auto"/>
              <w:right w:val="nil"/>
            </w:tcBorders>
            <w:shd w:val="clear" w:color="auto" w:fill="auto"/>
            <w:noWrap/>
            <w:vAlign w:val="bottom"/>
            <w:hideMark/>
          </w:tcPr>
          <w:p w14:paraId="137ACEAC" w14:textId="08FCC64E"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001</w:t>
            </w:r>
          </w:p>
        </w:tc>
        <w:tc>
          <w:tcPr>
            <w:tcW w:w="979" w:type="dxa"/>
            <w:tcBorders>
              <w:top w:val="nil"/>
              <w:left w:val="nil"/>
              <w:bottom w:val="single" w:sz="4" w:space="0" w:color="auto"/>
              <w:right w:val="nil"/>
            </w:tcBorders>
            <w:shd w:val="clear" w:color="auto" w:fill="auto"/>
            <w:noWrap/>
            <w:vAlign w:val="center"/>
            <w:hideMark/>
          </w:tcPr>
          <w:p w14:paraId="69576A68" w14:textId="6FC50FF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18ADB3D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70CF66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637" w:type="dxa"/>
            <w:tcBorders>
              <w:top w:val="nil"/>
              <w:left w:val="nil"/>
              <w:bottom w:val="single" w:sz="4" w:space="0" w:color="auto"/>
              <w:right w:val="nil"/>
            </w:tcBorders>
            <w:shd w:val="clear" w:color="auto" w:fill="auto"/>
            <w:noWrap/>
            <w:vAlign w:val="bottom"/>
            <w:hideMark/>
          </w:tcPr>
          <w:p w14:paraId="175692F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215</w:t>
            </w:r>
          </w:p>
        </w:tc>
        <w:tc>
          <w:tcPr>
            <w:tcW w:w="979" w:type="dxa"/>
            <w:tcBorders>
              <w:top w:val="nil"/>
              <w:left w:val="nil"/>
              <w:bottom w:val="single" w:sz="4" w:space="0" w:color="auto"/>
              <w:right w:val="nil"/>
            </w:tcBorders>
            <w:shd w:val="clear" w:color="auto" w:fill="auto"/>
            <w:noWrap/>
            <w:vAlign w:val="center"/>
            <w:hideMark/>
          </w:tcPr>
          <w:p w14:paraId="6F5189C9" w14:textId="02E86DB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261FE5B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172</w:t>
            </w:r>
          </w:p>
        </w:tc>
        <w:tc>
          <w:tcPr>
            <w:tcW w:w="979" w:type="dxa"/>
            <w:tcBorders>
              <w:top w:val="nil"/>
              <w:left w:val="nil"/>
              <w:bottom w:val="single" w:sz="4" w:space="0" w:color="auto"/>
              <w:right w:val="single" w:sz="4" w:space="0" w:color="auto"/>
            </w:tcBorders>
            <w:shd w:val="clear" w:color="auto" w:fill="auto"/>
            <w:noWrap/>
            <w:vAlign w:val="center"/>
            <w:hideMark/>
          </w:tcPr>
          <w:p w14:paraId="30BCADDE" w14:textId="7CE8843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30" w:type="dxa"/>
            <w:tcBorders>
              <w:top w:val="nil"/>
              <w:left w:val="nil"/>
              <w:bottom w:val="single" w:sz="4" w:space="0" w:color="auto"/>
              <w:right w:val="nil"/>
            </w:tcBorders>
            <w:shd w:val="clear" w:color="auto" w:fill="auto"/>
            <w:noWrap/>
            <w:vAlign w:val="bottom"/>
            <w:hideMark/>
          </w:tcPr>
          <w:p w14:paraId="5166F8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407</w:t>
            </w:r>
          </w:p>
        </w:tc>
        <w:tc>
          <w:tcPr>
            <w:tcW w:w="979" w:type="dxa"/>
            <w:tcBorders>
              <w:top w:val="nil"/>
              <w:left w:val="nil"/>
              <w:bottom w:val="single" w:sz="4" w:space="0" w:color="auto"/>
              <w:right w:val="nil"/>
            </w:tcBorders>
            <w:shd w:val="clear" w:color="auto" w:fill="auto"/>
            <w:noWrap/>
            <w:vAlign w:val="center"/>
            <w:hideMark/>
          </w:tcPr>
          <w:p w14:paraId="7650E6A8" w14:textId="45E266E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r>
      <w:tr w:rsidR="008430BD" w:rsidRPr="001C3EC8" w14:paraId="7937472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AD82B4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637" w:type="dxa"/>
            <w:tcBorders>
              <w:top w:val="nil"/>
              <w:left w:val="nil"/>
              <w:bottom w:val="single" w:sz="4" w:space="0" w:color="auto"/>
              <w:right w:val="nil"/>
            </w:tcBorders>
            <w:shd w:val="clear" w:color="auto" w:fill="auto"/>
            <w:noWrap/>
            <w:vAlign w:val="bottom"/>
            <w:hideMark/>
          </w:tcPr>
          <w:p w14:paraId="3200E7C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310</w:t>
            </w:r>
          </w:p>
        </w:tc>
        <w:tc>
          <w:tcPr>
            <w:tcW w:w="979" w:type="dxa"/>
            <w:tcBorders>
              <w:top w:val="nil"/>
              <w:left w:val="nil"/>
              <w:bottom w:val="single" w:sz="4" w:space="0" w:color="auto"/>
              <w:right w:val="nil"/>
            </w:tcBorders>
            <w:shd w:val="clear" w:color="auto" w:fill="auto"/>
            <w:noWrap/>
            <w:vAlign w:val="center"/>
            <w:hideMark/>
          </w:tcPr>
          <w:p w14:paraId="67C9BFB2" w14:textId="2D715573"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41CC052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236</w:t>
            </w:r>
          </w:p>
        </w:tc>
        <w:tc>
          <w:tcPr>
            <w:tcW w:w="979" w:type="dxa"/>
            <w:tcBorders>
              <w:top w:val="nil"/>
              <w:left w:val="nil"/>
              <w:bottom w:val="single" w:sz="4" w:space="0" w:color="auto"/>
              <w:right w:val="single" w:sz="4" w:space="0" w:color="auto"/>
            </w:tcBorders>
            <w:shd w:val="clear" w:color="auto" w:fill="auto"/>
            <w:noWrap/>
            <w:vAlign w:val="center"/>
            <w:hideMark/>
          </w:tcPr>
          <w:p w14:paraId="4AEE7BD0" w14:textId="2E073E7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830" w:type="dxa"/>
            <w:tcBorders>
              <w:top w:val="nil"/>
              <w:left w:val="nil"/>
              <w:bottom w:val="single" w:sz="4" w:space="0" w:color="auto"/>
              <w:right w:val="nil"/>
            </w:tcBorders>
            <w:shd w:val="clear" w:color="auto" w:fill="auto"/>
            <w:noWrap/>
            <w:vAlign w:val="bottom"/>
            <w:hideMark/>
          </w:tcPr>
          <w:p w14:paraId="3A10C1D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666</w:t>
            </w:r>
          </w:p>
        </w:tc>
        <w:tc>
          <w:tcPr>
            <w:tcW w:w="979" w:type="dxa"/>
            <w:tcBorders>
              <w:top w:val="nil"/>
              <w:left w:val="nil"/>
              <w:bottom w:val="single" w:sz="4" w:space="0" w:color="auto"/>
              <w:right w:val="nil"/>
            </w:tcBorders>
            <w:shd w:val="clear" w:color="auto" w:fill="auto"/>
            <w:noWrap/>
            <w:vAlign w:val="center"/>
            <w:hideMark/>
          </w:tcPr>
          <w:p w14:paraId="2FE82DF1" w14:textId="17B1A86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r>
      <w:tr w:rsidR="008430BD" w:rsidRPr="001C3EC8" w14:paraId="2AE1EA35"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8B24DE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637" w:type="dxa"/>
            <w:tcBorders>
              <w:top w:val="nil"/>
              <w:left w:val="nil"/>
              <w:bottom w:val="single" w:sz="4" w:space="0" w:color="auto"/>
              <w:right w:val="nil"/>
            </w:tcBorders>
            <w:shd w:val="clear" w:color="auto" w:fill="auto"/>
            <w:noWrap/>
            <w:vAlign w:val="bottom"/>
            <w:hideMark/>
          </w:tcPr>
          <w:p w14:paraId="4B639EE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566</w:t>
            </w:r>
          </w:p>
        </w:tc>
        <w:tc>
          <w:tcPr>
            <w:tcW w:w="979" w:type="dxa"/>
            <w:tcBorders>
              <w:top w:val="nil"/>
              <w:left w:val="nil"/>
              <w:bottom w:val="single" w:sz="4" w:space="0" w:color="auto"/>
              <w:right w:val="nil"/>
            </w:tcBorders>
            <w:shd w:val="clear" w:color="auto" w:fill="auto"/>
            <w:noWrap/>
            <w:vAlign w:val="center"/>
            <w:hideMark/>
          </w:tcPr>
          <w:p w14:paraId="47D4447C" w14:textId="168BDF6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35541BD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459</w:t>
            </w:r>
          </w:p>
        </w:tc>
        <w:tc>
          <w:tcPr>
            <w:tcW w:w="979" w:type="dxa"/>
            <w:tcBorders>
              <w:top w:val="nil"/>
              <w:left w:val="nil"/>
              <w:bottom w:val="single" w:sz="4" w:space="0" w:color="auto"/>
              <w:right w:val="single" w:sz="4" w:space="0" w:color="auto"/>
            </w:tcBorders>
            <w:shd w:val="clear" w:color="auto" w:fill="auto"/>
            <w:noWrap/>
            <w:vAlign w:val="center"/>
            <w:hideMark/>
          </w:tcPr>
          <w:p w14:paraId="76BCFC4A" w14:textId="1445E43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30" w:type="dxa"/>
            <w:tcBorders>
              <w:top w:val="nil"/>
              <w:left w:val="nil"/>
              <w:bottom w:val="single" w:sz="4" w:space="0" w:color="auto"/>
              <w:right w:val="nil"/>
            </w:tcBorders>
            <w:shd w:val="clear" w:color="auto" w:fill="auto"/>
            <w:noWrap/>
            <w:vAlign w:val="bottom"/>
            <w:hideMark/>
          </w:tcPr>
          <w:p w14:paraId="4B27A662" w14:textId="3F85BEFD"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161</w:t>
            </w:r>
          </w:p>
        </w:tc>
        <w:tc>
          <w:tcPr>
            <w:tcW w:w="979" w:type="dxa"/>
            <w:tcBorders>
              <w:top w:val="nil"/>
              <w:left w:val="nil"/>
              <w:bottom w:val="single" w:sz="4" w:space="0" w:color="auto"/>
              <w:right w:val="nil"/>
            </w:tcBorders>
            <w:shd w:val="clear" w:color="auto" w:fill="auto"/>
            <w:noWrap/>
            <w:vAlign w:val="center"/>
            <w:hideMark/>
          </w:tcPr>
          <w:p w14:paraId="4B26CF0C" w14:textId="26957D2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460ACA16"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7E2CDD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637" w:type="dxa"/>
            <w:tcBorders>
              <w:top w:val="nil"/>
              <w:left w:val="nil"/>
              <w:bottom w:val="single" w:sz="4" w:space="0" w:color="auto"/>
              <w:right w:val="nil"/>
            </w:tcBorders>
            <w:shd w:val="clear" w:color="auto" w:fill="auto"/>
            <w:noWrap/>
            <w:vAlign w:val="bottom"/>
            <w:hideMark/>
          </w:tcPr>
          <w:p w14:paraId="12FFA21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435</w:t>
            </w:r>
          </w:p>
        </w:tc>
        <w:tc>
          <w:tcPr>
            <w:tcW w:w="979" w:type="dxa"/>
            <w:tcBorders>
              <w:top w:val="nil"/>
              <w:left w:val="nil"/>
              <w:bottom w:val="single" w:sz="4" w:space="0" w:color="auto"/>
              <w:right w:val="nil"/>
            </w:tcBorders>
            <w:shd w:val="clear" w:color="auto" w:fill="auto"/>
            <w:noWrap/>
            <w:vAlign w:val="center"/>
            <w:hideMark/>
          </w:tcPr>
          <w:p w14:paraId="73FA6F9F" w14:textId="3A74DE5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69991F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389</w:t>
            </w:r>
          </w:p>
        </w:tc>
        <w:tc>
          <w:tcPr>
            <w:tcW w:w="979" w:type="dxa"/>
            <w:tcBorders>
              <w:top w:val="nil"/>
              <w:left w:val="nil"/>
              <w:bottom w:val="single" w:sz="4" w:space="0" w:color="auto"/>
              <w:right w:val="single" w:sz="4" w:space="0" w:color="auto"/>
            </w:tcBorders>
            <w:shd w:val="clear" w:color="auto" w:fill="auto"/>
            <w:noWrap/>
            <w:vAlign w:val="center"/>
            <w:hideMark/>
          </w:tcPr>
          <w:p w14:paraId="324AD122" w14:textId="0E68FBA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830" w:type="dxa"/>
            <w:tcBorders>
              <w:top w:val="nil"/>
              <w:left w:val="nil"/>
              <w:bottom w:val="single" w:sz="4" w:space="0" w:color="auto"/>
              <w:right w:val="nil"/>
            </w:tcBorders>
            <w:shd w:val="clear" w:color="auto" w:fill="auto"/>
            <w:noWrap/>
            <w:vAlign w:val="bottom"/>
            <w:hideMark/>
          </w:tcPr>
          <w:p w14:paraId="7B45D10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778</w:t>
            </w:r>
          </w:p>
        </w:tc>
        <w:tc>
          <w:tcPr>
            <w:tcW w:w="979" w:type="dxa"/>
            <w:tcBorders>
              <w:top w:val="nil"/>
              <w:left w:val="nil"/>
              <w:bottom w:val="single" w:sz="4" w:space="0" w:color="auto"/>
              <w:right w:val="nil"/>
            </w:tcBorders>
            <w:shd w:val="clear" w:color="auto" w:fill="auto"/>
            <w:noWrap/>
            <w:vAlign w:val="center"/>
            <w:hideMark/>
          </w:tcPr>
          <w:p w14:paraId="4070E4EA" w14:textId="182D39C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6E83335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6F7891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637" w:type="dxa"/>
            <w:tcBorders>
              <w:top w:val="nil"/>
              <w:left w:val="nil"/>
              <w:bottom w:val="single" w:sz="4" w:space="0" w:color="auto"/>
              <w:right w:val="nil"/>
            </w:tcBorders>
            <w:shd w:val="clear" w:color="auto" w:fill="auto"/>
            <w:noWrap/>
            <w:vAlign w:val="bottom"/>
            <w:hideMark/>
          </w:tcPr>
          <w:p w14:paraId="0153A5D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570</w:t>
            </w:r>
          </w:p>
        </w:tc>
        <w:tc>
          <w:tcPr>
            <w:tcW w:w="979" w:type="dxa"/>
            <w:tcBorders>
              <w:top w:val="nil"/>
              <w:left w:val="nil"/>
              <w:bottom w:val="single" w:sz="4" w:space="0" w:color="auto"/>
              <w:right w:val="nil"/>
            </w:tcBorders>
            <w:shd w:val="clear" w:color="auto" w:fill="auto"/>
            <w:noWrap/>
            <w:vAlign w:val="center"/>
            <w:hideMark/>
          </w:tcPr>
          <w:p w14:paraId="010E7C42" w14:textId="1540912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636" w:type="dxa"/>
            <w:tcBorders>
              <w:top w:val="nil"/>
              <w:left w:val="single" w:sz="4" w:space="0" w:color="auto"/>
              <w:bottom w:val="single" w:sz="4" w:space="0" w:color="auto"/>
              <w:right w:val="nil"/>
            </w:tcBorders>
            <w:shd w:val="clear" w:color="auto" w:fill="auto"/>
            <w:noWrap/>
            <w:vAlign w:val="bottom"/>
            <w:hideMark/>
          </w:tcPr>
          <w:p w14:paraId="23C19E3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597</w:t>
            </w:r>
          </w:p>
        </w:tc>
        <w:tc>
          <w:tcPr>
            <w:tcW w:w="979" w:type="dxa"/>
            <w:tcBorders>
              <w:top w:val="nil"/>
              <w:left w:val="nil"/>
              <w:bottom w:val="single" w:sz="4" w:space="0" w:color="auto"/>
              <w:right w:val="single" w:sz="4" w:space="0" w:color="auto"/>
            </w:tcBorders>
            <w:shd w:val="clear" w:color="auto" w:fill="auto"/>
            <w:noWrap/>
            <w:vAlign w:val="center"/>
            <w:hideMark/>
          </w:tcPr>
          <w:p w14:paraId="55DF3F5D" w14:textId="28B07985"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830" w:type="dxa"/>
            <w:tcBorders>
              <w:top w:val="nil"/>
              <w:left w:val="nil"/>
              <w:bottom w:val="single" w:sz="4" w:space="0" w:color="auto"/>
              <w:right w:val="nil"/>
            </w:tcBorders>
            <w:shd w:val="clear" w:color="auto" w:fill="auto"/>
            <w:noWrap/>
            <w:vAlign w:val="bottom"/>
            <w:hideMark/>
          </w:tcPr>
          <w:p w14:paraId="708EB7C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939</w:t>
            </w:r>
          </w:p>
        </w:tc>
        <w:tc>
          <w:tcPr>
            <w:tcW w:w="979" w:type="dxa"/>
            <w:tcBorders>
              <w:top w:val="nil"/>
              <w:left w:val="nil"/>
              <w:bottom w:val="single" w:sz="4" w:space="0" w:color="auto"/>
              <w:right w:val="nil"/>
            </w:tcBorders>
            <w:shd w:val="clear" w:color="auto" w:fill="auto"/>
            <w:noWrap/>
            <w:vAlign w:val="center"/>
            <w:hideMark/>
          </w:tcPr>
          <w:p w14:paraId="2E2C248E" w14:textId="54A10F7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8430BD" w:rsidRPr="001C3EC8" w14:paraId="3588B3F2"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3A54EBE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637" w:type="dxa"/>
            <w:tcBorders>
              <w:top w:val="nil"/>
              <w:left w:val="nil"/>
              <w:bottom w:val="double" w:sz="6" w:space="0" w:color="auto"/>
              <w:right w:val="nil"/>
            </w:tcBorders>
            <w:shd w:val="clear" w:color="auto" w:fill="auto"/>
            <w:noWrap/>
            <w:vAlign w:val="bottom"/>
            <w:hideMark/>
          </w:tcPr>
          <w:p w14:paraId="66EA63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233</w:t>
            </w:r>
          </w:p>
        </w:tc>
        <w:tc>
          <w:tcPr>
            <w:tcW w:w="979" w:type="dxa"/>
            <w:tcBorders>
              <w:top w:val="nil"/>
              <w:left w:val="nil"/>
              <w:bottom w:val="double" w:sz="6" w:space="0" w:color="auto"/>
              <w:right w:val="nil"/>
            </w:tcBorders>
            <w:shd w:val="clear" w:color="auto" w:fill="auto"/>
            <w:noWrap/>
            <w:vAlign w:val="center"/>
            <w:hideMark/>
          </w:tcPr>
          <w:p w14:paraId="48FE68CB" w14:textId="74A44A8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c>
          <w:tcPr>
            <w:tcW w:w="636" w:type="dxa"/>
            <w:tcBorders>
              <w:top w:val="nil"/>
              <w:left w:val="single" w:sz="4" w:space="0" w:color="auto"/>
              <w:bottom w:val="double" w:sz="6" w:space="0" w:color="auto"/>
              <w:right w:val="nil"/>
            </w:tcBorders>
            <w:shd w:val="clear" w:color="auto" w:fill="auto"/>
            <w:noWrap/>
            <w:vAlign w:val="bottom"/>
            <w:hideMark/>
          </w:tcPr>
          <w:p w14:paraId="63070D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195</w:t>
            </w:r>
          </w:p>
        </w:tc>
        <w:tc>
          <w:tcPr>
            <w:tcW w:w="979" w:type="dxa"/>
            <w:tcBorders>
              <w:top w:val="nil"/>
              <w:left w:val="nil"/>
              <w:bottom w:val="double" w:sz="6" w:space="0" w:color="auto"/>
              <w:right w:val="single" w:sz="4" w:space="0" w:color="auto"/>
            </w:tcBorders>
            <w:shd w:val="clear" w:color="auto" w:fill="auto"/>
            <w:noWrap/>
            <w:vAlign w:val="center"/>
            <w:hideMark/>
          </w:tcPr>
          <w:p w14:paraId="208FC5F1" w14:textId="54B97F3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c>
          <w:tcPr>
            <w:tcW w:w="830" w:type="dxa"/>
            <w:tcBorders>
              <w:top w:val="nil"/>
              <w:left w:val="nil"/>
              <w:bottom w:val="double" w:sz="6" w:space="0" w:color="auto"/>
              <w:right w:val="nil"/>
            </w:tcBorders>
            <w:shd w:val="clear" w:color="auto" w:fill="auto"/>
            <w:noWrap/>
            <w:vAlign w:val="bottom"/>
            <w:hideMark/>
          </w:tcPr>
          <w:p w14:paraId="46A97A4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491</w:t>
            </w:r>
          </w:p>
        </w:tc>
        <w:tc>
          <w:tcPr>
            <w:tcW w:w="979" w:type="dxa"/>
            <w:tcBorders>
              <w:top w:val="nil"/>
              <w:left w:val="nil"/>
              <w:bottom w:val="double" w:sz="6" w:space="0" w:color="auto"/>
              <w:right w:val="nil"/>
            </w:tcBorders>
            <w:shd w:val="clear" w:color="auto" w:fill="auto"/>
            <w:noWrap/>
            <w:vAlign w:val="center"/>
            <w:hideMark/>
          </w:tcPr>
          <w:p w14:paraId="6EC5CE50" w14:textId="3B3744C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8430BD" w:rsidRPr="001C3EC8" w14:paraId="2BA3E183"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586C1F8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637" w:type="dxa"/>
            <w:tcBorders>
              <w:top w:val="nil"/>
              <w:left w:val="nil"/>
              <w:bottom w:val="double" w:sz="6" w:space="0" w:color="auto"/>
              <w:right w:val="nil"/>
            </w:tcBorders>
            <w:shd w:val="clear" w:color="auto" w:fill="auto"/>
            <w:noWrap/>
            <w:vAlign w:val="bottom"/>
            <w:hideMark/>
          </w:tcPr>
          <w:p w14:paraId="47019AD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525</w:t>
            </w:r>
          </w:p>
        </w:tc>
        <w:tc>
          <w:tcPr>
            <w:tcW w:w="979" w:type="dxa"/>
            <w:tcBorders>
              <w:top w:val="nil"/>
              <w:left w:val="nil"/>
              <w:bottom w:val="double" w:sz="6" w:space="0" w:color="auto"/>
              <w:right w:val="nil"/>
            </w:tcBorders>
            <w:shd w:val="clear" w:color="auto" w:fill="auto"/>
            <w:noWrap/>
            <w:vAlign w:val="center"/>
            <w:hideMark/>
          </w:tcPr>
          <w:p w14:paraId="239DF111" w14:textId="7DE2C6AC"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+8 </w:t>
            </w:r>
            <w:r w:rsidR="00B07E76">
              <w:rPr>
                <w:rFonts w:eastAsia="Times New Roman"/>
                <w:b/>
                <w:bCs/>
                <w:color w:val="000000" w:themeColor="text1"/>
                <w:sz w:val="20"/>
                <w:szCs w:val="20"/>
                <w:lang w:eastAsia="cs-CZ"/>
              </w:rPr>
              <w:t>%</w:t>
            </w:r>
          </w:p>
        </w:tc>
        <w:tc>
          <w:tcPr>
            <w:tcW w:w="636" w:type="dxa"/>
            <w:tcBorders>
              <w:top w:val="nil"/>
              <w:left w:val="single" w:sz="4" w:space="0" w:color="auto"/>
              <w:bottom w:val="double" w:sz="6" w:space="0" w:color="auto"/>
              <w:right w:val="nil"/>
            </w:tcBorders>
            <w:shd w:val="clear" w:color="auto" w:fill="auto"/>
            <w:noWrap/>
            <w:vAlign w:val="bottom"/>
            <w:hideMark/>
          </w:tcPr>
          <w:p w14:paraId="7D35CD2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435</w:t>
            </w:r>
          </w:p>
        </w:tc>
        <w:tc>
          <w:tcPr>
            <w:tcW w:w="979" w:type="dxa"/>
            <w:tcBorders>
              <w:top w:val="nil"/>
              <w:left w:val="nil"/>
              <w:bottom w:val="double" w:sz="6" w:space="0" w:color="auto"/>
              <w:right w:val="single" w:sz="4" w:space="0" w:color="auto"/>
            </w:tcBorders>
            <w:shd w:val="clear" w:color="auto" w:fill="auto"/>
            <w:noWrap/>
            <w:vAlign w:val="center"/>
            <w:hideMark/>
          </w:tcPr>
          <w:p w14:paraId="140D1370" w14:textId="375B0FFF"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+11 </w:t>
            </w:r>
            <w:r w:rsidR="00B07E76">
              <w:rPr>
                <w:rFonts w:eastAsia="Times New Roman"/>
                <w:b/>
                <w:bCs/>
                <w:color w:val="000000" w:themeColor="text1"/>
                <w:sz w:val="20"/>
                <w:szCs w:val="20"/>
                <w:lang w:eastAsia="cs-CZ"/>
              </w:rPr>
              <w:t>%</w:t>
            </w:r>
          </w:p>
        </w:tc>
        <w:tc>
          <w:tcPr>
            <w:tcW w:w="830" w:type="dxa"/>
            <w:tcBorders>
              <w:top w:val="nil"/>
              <w:left w:val="nil"/>
              <w:bottom w:val="double" w:sz="6" w:space="0" w:color="auto"/>
              <w:right w:val="nil"/>
            </w:tcBorders>
            <w:shd w:val="clear" w:color="auto" w:fill="auto"/>
            <w:noWrap/>
            <w:vAlign w:val="bottom"/>
            <w:hideMark/>
          </w:tcPr>
          <w:p w14:paraId="54AF6C4E" w14:textId="253D662E"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154</w:t>
            </w:r>
          </w:p>
        </w:tc>
        <w:tc>
          <w:tcPr>
            <w:tcW w:w="979" w:type="dxa"/>
            <w:tcBorders>
              <w:top w:val="nil"/>
              <w:left w:val="nil"/>
              <w:bottom w:val="double" w:sz="6" w:space="0" w:color="auto"/>
              <w:right w:val="nil"/>
            </w:tcBorders>
            <w:shd w:val="clear" w:color="auto" w:fill="auto"/>
            <w:noWrap/>
            <w:vAlign w:val="center"/>
            <w:hideMark/>
          </w:tcPr>
          <w:p w14:paraId="68DAC426" w14:textId="6F6D55B8"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+11 </w:t>
            </w:r>
            <w:r w:rsidR="00B07E76">
              <w:rPr>
                <w:rFonts w:eastAsia="Times New Roman"/>
                <w:b/>
                <w:bCs/>
                <w:color w:val="000000" w:themeColor="text1"/>
                <w:sz w:val="20"/>
                <w:szCs w:val="20"/>
                <w:lang w:eastAsia="cs-CZ"/>
              </w:rPr>
              <w:t>%</w:t>
            </w:r>
          </w:p>
        </w:tc>
      </w:tr>
    </w:tbl>
    <w:p w14:paraId="490F3428" w14:textId="77777777" w:rsidR="008430BD" w:rsidRPr="001C3EC8" w:rsidRDefault="008430BD" w:rsidP="008430BD">
      <w:pPr>
        <w:rPr>
          <w:color w:val="000000" w:themeColor="text1"/>
        </w:rPr>
      </w:pPr>
    </w:p>
    <w:p w14:paraId="6750CD01" w14:textId="58C0E53F" w:rsidR="008430BD" w:rsidRPr="001C3EC8" w:rsidRDefault="008430BD" w:rsidP="008430BD">
      <w:pPr>
        <w:pStyle w:val="OdstavecASR"/>
        <w:rPr>
          <w:color w:val="000000" w:themeColor="text1"/>
        </w:rPr>
      </w:pPr>
      <w:bookmarkStart w:id="596" w:name="_Hlk68866436"/>
      <w:bookmarkStart w:id="597" w:name="_Toc515871398"/>
      <w:bookmarkStart w:id="598" w:name="_Toc11135129"/>
      <w:bookmarkStart w:id="599" w:name="_Toc43841448"/>
      <w:r w:rsidRPr="001C3EC8">
        <w:rPr>
          <w:color w:val="000000" w:themeColor="text1"/>
        </w:rPr>
        <w:t xml:space="preserve">Stejně jako u ostatních agend jsou na závěr délky řízení zobrazeny v histogramu. Šířka intervalu je 50 dnů. V porovnání s ostatními prvostupňovými agendami je ve správní agendě vysoký medián. V porovnání s rokem 2019 jsou vidět změny </w:t>
      </w:r>
      <w:r w:rsidR="00DE269E" w:rsidRPr="001C3EC8">
        <w:rPr>
          <w:color w:val="000000" w:themeColor="text1"/>
        </w:rPr>
        <w:t>i</w:t>
      </w:r>
      <w:r w:rsidR="00DE269E">
        <w:rPr>
          <w:color w:val="000000" w:themeColor="text1"/>
        </w:rPr>
        <w:t> </w:t>
      </w:r>
      <w:r w:rsidRPr="001C3EC8">
        <w:rPr>
          <w:color w:val="000000" w:themeColor="text1"/>
        </w:rPr>
        <w:t>na histogramu. Například (logicky) klesl podíl rychle vyřízených věcí. Celkově se tedy zdá, že data opět ukazují negativní trend. Je ale třeba je prozkoumat dále, velmi důležitý bude vývoj v počtu nevyřízených věcí.</w:t>
      </w:r>
    </w:p>
    <w:p w14:paraId="21D57D7A" w14:textId="50E5A55B" w:rsidR="008430BD" w:rsidRPr="001C3EC8" w:rsidRDefault="008430BD" w:rsidP="008430BD">
      <w:pPr>
        <w:pStyle w:val="Podnadpis"/>
        <w:rPr>
          <w:color w:val="000000" w:themeColor="text1"/>
        </w:rPr>
      </w:pPr>
      <w:bookmarkStart w:id="600" w:name="_Toc75952250"/>
      <w:bookmarkEnd w:id="596"/>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70</w:t>
      </w:r>
      <w:r w:rsidRPr="001C3EC8">
        <w:rPr>
          <w:color w:val="000000" w:themeColor="text1"/>
        </w:rPr>
        <w:fldChar w:fldCharType="end"/>
      </w:r>
      <w:r w:rsidRPr="001C3EC8">
        <w:rPr>
          <w:color w:val="000000" w:themeColor="text1"/>
        </w:rPr>
        <w:t>: KS – distribuce délek správního řízení</w:t>
      </w:r>
      <w:bookmarkEnd w:id="597"/>
      <w:bookmarkEnd w:id="598"/>
      <w:bookmarkEnd w:id="599"/>
      <w:bookmarkEnd w:id="600"/>
    </w:p>
    <w:p w14:paraId="163B6A32"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1C2C5641" wp14:editId="6BF5AC77">
            <wp:extent cx="5114925" cy="3743325"/>
            <wp:effectExtent l="0" t="0" r="0" b="9525"/>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065AE79" w14:textId="77777777" w:rsidR="008430BD" w:rsidRPr="001C3EC8" w:rsidRDefault="008430BD" w:rsidP="008430BD">
      <w:pPr>
        <w:pStyle w:val="Nadpis3"/>
        <w:numPr>
          <w:ilvl w:val="2"/>
          <w:numId w:val="1"/>
        </w:numPr>
        <w:rPr>
          <w:color w:val="000000" w:themeColor="text1"/>
        </w:rPr>
      </w:pPr>
      <w:bookmarkStart w:id="601" w:name="_Toc515871268"/>
      <w:bookmarkStart w:id="602" w:name="_Toc75952110"/>
      <w:r w:rsidRPr="001C3EC8">
        <w:rPr>
          <w:color w:val="000000" w:themeColor="text1"/>
        </w:rPr>
        <w:t>Vyřizování věcí</w:t>
      </w:r>
      <w:bookmarkEnd w:id="601"/>
      <w:bookmarkEnd w:id="602"/>
    </w:p>
    <w:p w14:paraId="7CFC66DB" w14:textId="675450D4" w:rsidR="00B07E76" w:rsidRDefault="008430BD" w:rsidP="008430BD">
      <w:pPr>
        <w:pStyle w:val="OdstavecASR"/>
        <w:rPr>
          <w:color w:val="000000" w:themeColor="text1"/>
        </w:rPr>
      </w:pPr>
      <w:r w:rsidRPr="001C3EC8">
        <w:rPr>
          <w:color w:val="000000" w:themeColor="text1"/>
        </w:rPr>
        <w:t xml:space="preserve">Z grafu níže je patrné, že nápad se v průběhu let poměrně rychle mění. To může plynout z legislativních změn, ze změn v jednotlivých agendách (např. v azylové agendě) nebo jednorázových šoků. Počet vyřízených věcí samozřejmě s určitým zpožděním kopíruje počet věcí napadlých. Po roce 2013 vidíme dva znepokojivé jevy. Počet příchozích věcí poměrně rychle stoupal a zároveň převyšoval počet věcí vyřízených, což vede k trvalému růstu v počtu nevyřízených věcí. Konečně teprve v roce 2019 došlo k značnému poklesu v počtu příchozích věcí. </w:t>
      </w:r>
      <w:r w:rsidR="00D406F2" w:rsidRPr="001C3EC8">
        <w:rPr>
          <w:color w:val="000000" w:themeColor="text1"/>
        </w:rPr>
        <w:t>V</w:t>
      </w:r>
      <w:r w:rsidRPr="001C3EC8">
        <w:rPr>
          <w:color w:val="000000" w:themeColor="text1"/>
        </w:rPr>
        <w:t xml:space="preserve"> roce 2020 tento trend pokračoval </w:t>
      </w:r>
      <w:r w:rsidR="00DE269E" w:rsidRPr="001C3EC8">
        <w:rPr>
          <w:color w:val="000000" w:themeColor="text1"/>
        </w:rPr>
        <w:t>a</w:t>
      </w:r>
      <w:r w:rsidR="00DE269E">
        <w:rPr>
          <w:color w:val="000000" w:themeColor="text1"/>
        </w:rPr>
        <w:t> </w:t>
      </w:r>
      <w:r w:rsidRPr="001C3EC8">
        <w:rPr>
          <w:color w:val="000000" w:themeColor="text1"/>
        </w:rPr>
        <w:t xml:space="preserve">došlo k poklesu v počtu příchozích věcí </w:t>
      </w:r>
      <w:r w:rsidR="00DE269E" w:rsidRPr="001C3EC8">
        <w:rPr>
          <w:color w:val="000000" w:themeColor="text1"/>
        </w:rPr>
        <w:t>o</w:t>
      </w:r>
      <w:r w:rsidR="00DE269E">
        <w:rPr>
          <w:color w:val="000000" w:themeColor="text1"/>
        </w:rPr>
        <w:t> </w:t>
      </w:r>
      <w:r w:rsidRPr="001C3EC8">
        <w:rPr>
          <w:color w:val="000000" w:themeColor="text1"/>
        </w:rPr>
        <w:t xml:space="preserve">dalších 562 věcí. Stejně jako </w:t>
      </w:r>
      <w:r w:rsidR="00DE269E" w:rsidRPr="001C3EC8">
        <w:rPr>
          <w:color w:val="000000" w:themeColor="text1"/>
        </w:rPr>
        <w:t>u</w:t>
      </w:r>
      <w:r w:rsidR="00DE269E">
        <w:rPr>
          <w:color w:val="000000" w:themeColor="text1"/>
        </w:rPr>
        <w:t> </w:t>
      </w:r>
      <w:r w:rsidRPr="001C3EC8">
        <w:rPr>
          <w:color w:val="000000" w:themeColor="text1"/>
        </w:rPr>
        <w:t xml:space="preserve">téměř všech ostatních agend to zřejmě bude souviset s pandemií onemocnění </w:t>
      </w:r>
      <w:r w:rsidR="000C3B1E">
        <w:rPr>
          <w:color w:val="000000" w:themeColor="text1"/>
        </w:rPr>
        <w:t>COVID</w:t>
      </w:r>
      <w:r w:rsidR="000C3B1E">
        <w:rPr>
          <w:color w:val="000000" w:themeColor="text1"/>
        </w:rPr>
        <w:noBreakHyphen/>
        <w:t>19</w:t>
      </w:r>
      <w:r w:rsidRPr="001C3EC8">
        <w:rPr>
          <w:color w:val="000000" w:themeColor="text1"/>
        </w:rPr>
        <w:t>. Počet vyřízených věcí se ale podařilo soudům udržet na úrovni roku 2019 (zřejmě díky velkému množství nedodělků), což vedlo k výraznému poklesu v počtu nevyřízených věcí.</w:t>
      </w:r>
    </w:p>
    <w:p w14:paraId="3DB02230" w14:textId="2675F7F7" w:rsidR="008430BD" w:rsidRPr="001C3EC8" w:rsidRDefault="008430BD" w:rsidP="008430BD">
      <w:pPr>
        <w:pStyle w:val="OdstavecASR"/>
        <w:rPr>
          <w:color w:val="000000" w:themeColor="text1"/>
          <w:highlight w:val="yellow"/>
        </w:rPr>
      </w:pPr>
      <w:r w:rsidRPr="001C3EC8">
        <w:rPr>
          <w:color w:val="000000" w:themeColor="text1"/>
        </w:rPr>
        <w:t xml:space="preserve">Pohled na počty nevyřízených věcí ukazuje, že počet extrémně dlouho nevyřízených věcí (déle než 3 roky, případně nevyřízené </w:t>
      </w:r>
      <w:r w:rsidR="00DE269E" w:rsidRPr="001C3EC8">
        <w:rPr>
          <w:color w:val="000000" w:themeColor="text1"/>
        </w:rPr>
        <w:t>1</w:t>
      </w:r>
      <w:r w:rsidR="00DE269E">
        <w:rPr>
          <w:color w:val="000000" w:themeColor="text1"/>
        </w:rPr>
        <w:t xml:space="preserve"> </w:t>
      </w:r>
      <w:r w:rsidRPr="001C3EC8">
        <w:rPr>
          <w:color w:val="000000" w:themeColor="text1"/>
        </w:rPr>
        <w:t xml:space="preserve">až 3 roky) mírně klesl. To je další dobrá zpráva pro správní soudnictví </w:t>
      </w:r>
      <w:r w:rsidR="00DE269E" w:rsidRPr="001C3EC8">
        <w:rPr>
          <w:color w:val="000000" w:themeColor="text1"/>
        </w:rPr>
        <w:t>a</w:t>
      </w:r>
      <w:r w:rsidR="00DE269E">
        <w:rPr>
          <w:color w:val="000000" w:themeColor="text1"/>
        </w:rPr>
        <w:t> </w:t>
      </w:r>
      <w:r w:rsidRPr="001C3EC8">
        <w:rPr>
          <w:color w:val="000000" w:themeColor="text1"/>
        </w:rPr>
        <w:t>také částečně vysvětluje nárůst v délkách řízení.</w:t>
      </w:r>
    </w:p>
    <w:p w14:paraId="291C4E33" w14:textId="6AC4EA4B" w:rsidR="008430BD" w:rsidRPr="001C3EC8" w:rsidRDefault="008430BD" w:rsidP="008430BD">
      <w:pPr>
        <w:pStyle w:val="Podnadpis"/>
        <w:rPr>
          <w:color w:val="000000" w:themeColor="text1"/>
          <w:highlight w:val="yellow"/>
        </w:rPr>
      </w:pPr>
      <w:bookmarkStart w:id="603" w:name="_Toc11135130"/>
      <w:bookmarkStart w:id="604" w:name="_Toc43841449"/>
      <w:bookmarkStart w:id="605" w:name="_Toc75952251"/>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71</w:t>
      </w:r>
      <w:r w:rsidRPr="001C3EC8">
        <w:rPr>
          <w:noProof/>
          <w:color w:val="000000" w:themeColor="text1"/>
        </w:rPr>
        <w:fldChar w:fldCharType="end"/>
      </w:r>
      <w:r w:rsidRPr="001C3EC8">
        <w:rPr>
          <w:color w:val="000000" w:themeColor="text1"/>
        </w:rPr>
        <w:t>: KS – vyřizování správních věcí v letech 2008–20</w:t>
      </w:r>
      <w:bookmarkEnd w:id="603"/>
      <w:bookmarkEnd w:id="604"/>
      <w:r w:rsidRPr="001C3EC8">
        <w:rPr>
          <w:color w:val="000000" w:themeColor="text1"/>
        </w:rPr>
        <w:t>20</w:t>
      </w:r>
      <w:bookmarkEnd w:id="605"/>
    </w:p>
    <w:p w14:paraId="3DF0CE4C"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4AE63B8E" wp14:editId="7D8786D5">
            <wp:extent cx="5114925" cy="3743325"/>
            <wp:effectExtent l="0" t="0" r="0" b="9525"/>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A27164B" w14:textId="2E8FE781" w:rsidR="008430BD" w:rsidRPr="001C3EC8" w:rsidRDefault="008430BD" w:rsidP="008430BD">
      <w:pPr>
        <w:pStyle w:val="OdstavecASR"/>
        <w:rPr>
          <w:color w:val="000000" w:themeColor="text1"/>
        </w:rPr>
      </w:pPr>
      <w:bookmarkStart w:id="606" w:name="_Toc515871491"/>
      <w:bookmarkStart w:id="607" w:name="_Toc11133258"/>
      <w:bookmarkStart w:id="608" w:name="_Toc43931237"/>
      <w:r w:rsidRPr="001C3EC8">
        <w:rPr>
          <w:color w:val="000000" w:themeColor="text1"/>
        </w:rPr>
        <w:t xml:space="preserve">Z jednotlivých soudů dokázaly v tomto roce vyřídit stejně nebo více věcí, než přišlo, všechny soudy kromě KS Ostrava. </w:t>
      </w:r>
      <w:r w:rsidR="00DE269E" w:rsidRPr="001C3EC8">
        <w:rPr>
          <w:color w:val="000000" w:themeColor="text1"/>
        </w:rPr>
        <w:t>U</w:t>
      </w:r>
      <w:r w:rsidR="00DE269E">
        <w:rPr>
          <w:color w:val="000000" w:themeColor="text1"/>
        </w:rPr>
        <w:t> </w:t>
      </w:r>
      <w:r w:rsidRPr="001C3EC8">
        <w:rPr>
          <w:color w:val="000000" w:themeColor="text1"/>
        </w:rPr>
        <w:t xml:space="preserve">některých soudů byl rozdíl výrazný (KS Plzeň, </w:t>
      </w:r>
      <w:r w:rsidR="001B6812" w:rsidRPr="001C3EC8">
        <w:rPr>
          <w:color w:val="000000" w:themeColor="text1"/>
        </w:rPr>
        <w:t>MS Praha</w:t>
      </w:r>
      <w:r w:rsidRPr="001C3EC8">
        <w:rPr>
          <w:color w:val="000000" w:themeColor="text1"/>
        </w:rPr>
        <w:t>,</w:t>
      </w:r>
      <w:r w:rsidR="001B6812" w:rsidRPr="001C3EC8">
        <w:rPr>
          <w:color w:val="000000" w:themeColor="text1"/>
        </w:rPr>
        <w:t xml:space="preserve"> KS Hradec Králové </w:t>
      </w:r>
      <w:r w:rsidR="00DE269E" w:rsidRPr="001C3EC8">
        <w:rPr>
          <w:color w:val="000000" w:themeColor="text1"/>
        </w:rPr>
        <w:t>a</w:t>
      </w:r>
      <w:r w:rsidR="00DE269E">
        <w:rPr>
          <w:color w:val="000000" w:themeColor="text1"/>
        </w:rPr>
        <w:t> </w:t>
      </w:r>
      <w:r w:rsidRPr="001C3EC8">
        <w:rPr>
          <w:color w:val="000000" w:themeColor="text1"/>
        </w:rPr>
        <w:t>KS Ústí nad Labem). Data v této podkapitole nejsou nijak normalizována, takže nelze činit závěry o celkové zatíženosti jednotlivých soudů. K tomu slouží ostatní podkapitoly.</w:t>
      </w:r>
    </w:p>
    <w:p w14:paraId="288F2F89" w14:textId="77777777" w:rsidR="008430BD" w:rsidRPr="001C3EC8" w:rsidRDefault="008430BD" w:rsidP="008430BD">
      <w:pPr>
        <w:spacing w:line="240" w:lineRule="auto"/>
        <w:jc w:val="left"/>
        <w:rPr>
          <w:rFonts w:eastAsia="Times New Roman"/>
          <w:b/>
          <w:iCs/>
          <w:color w:val="000000" w:themeColor="text1"/>
          <w:spacing w:val="15"/>
          <w:szCs w:val="24"/>
        </w:rPr>
      </w:pPr>
      <w:r w:rsidRPr="001C3EC8">
        <w:rPr>
          <w:color w:val="000000" w:themeColor="text1"/>
        </w:rPr>
        <w:br w:type="page"/>
      </w:r>
    </w:p>
    <w:p w14:paraId="181F7104" w14:textId="51B0F770" w:rsidR="008430BD" w:rsidRPr="001C3EC8" w:rsidRDefault="008430BD" w:rsidP="008430BD">
      <w:pPr>
        <w:pStyle w:val="Podnadpis"/>
        <w:rPr>
          <w:color w:val="000000" w:themeColor="text1"/>
        </w:rPr>
      </w:pPr>
      <w:bookmarkStart w:id="609" w:name="_Toc75952370"/>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67</w:t>
      </w:r>
      <w:r w:rsidRPr="001C3EC8">
        <w:rPr>
          <w:noProof/>
          <w:color w:val="000000" w:themeColor="text1"/>
        </w:rPr>
        <w:fldChar w:fldCharType="end"/>
      </w:r>
      <w:r w:rsidRPr="001C3EC8">
        <w:rPr>
          <w:color w:val="000000" w:themeColor="text1"/>
        </w:rPr>
        <w:t>: KS – vyřizování správních věcí dle soudů</w:t>
      </w:r>
      <w:bookmarkEnd w:id="606"/>
      <w:bookmarkEnd w:id="607"/>
      <w:bookmarkEnd w:id="608"/>
      <w:bookmarkEnd w:id="609"/>
    </w:p>
    <w:tbl>
      <w:tblPr>
        <w:tblW w:w="9260" w:type="dxa"/>
        <w:tblCellMar>
          <w:left w:w="70" w:type="dxa"/>
          <w:right w:w="70" w:type="dxa"/>
        </w:tblCellMar>
        <w:tblLook w:val="04A0" w:firstRow="1" w:lastRow="0" w:firstColumn="1" w:lastColumn="0" w:noHBand="0" w:noVBand="1"/>
      </w:tblPr>
      <w:tblGrid>
        <w:gridCol w:w="2020"/>
        <w:gridCol w:w="1036"/>
        <w:gridCol w:w="829"/>
        <w:gridCol w:w="1035"/>
        <w:gridCol w:w="948"/>
        <w:gridCol w:w="904"/>
        <w:gridCol w:w="948"/>
        <w:gridCol w:w="1540"/>
      </w:tblGrid>
      <w:tr w:rsidR="008430BD" w:rsidRPr="001C3EC8" w14:paraId="3D44E459"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93F5C8E" w14:textId="2AC33CE8"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5ECE6C9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302958E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Míra vyřizování</w:t>
            </w:r>
          </w:p>
        </w:tc>
      </w:tr>
      <w:tr w:rsidR="008430BD" w:rsidRPr="001C3EC8" w14:paraId="04398288"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16F8EDEC"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65" w:type="dxa"/>
            <w:gridSpan w:val="2"/>
            <w:tcBorders>
              <w:top w:val="nil"/>
              <w:left w:val="nil"/>
              <w:bottom w:val="double" w:sz="6" w:space="0" w:color="auto"/>
              <w:right w:val="nil"/>
            </w:tcBorders>
            <w:shd w:val="clear" w:color="auto" w:fill="auto"/>
            <w:noWrap/>
            <w:vAlign w:val="center"/>
            <w:hideMark/>
          </w:tcPr>
          <w:p w14:paraId="66CC241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8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09075E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852" w:type="dxa"/>
            <w:gridSpan w:val="2"/>
            <w:tcBorders>
              <w:top w:val="nil"/>
              <w:left w:val="nil"/>
              <w:bottom w:val="double" w:sz="6" w:space="0" w:color="auto"/>
              <w:right w:val="single" w:sz="4" w:space="0" w:color="000000"/>
            </w:tcBorders>
            <w:shd w:val="clear" w:color="auto" w:fill="auto"/>
            <w:noWrap/>
            <w:vAlign w:val="center"/>
            <w:hideMark/>
          </w:tcPr>
          <w:p w14:paraId="0107A43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1D348E08"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2D81B195"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D514E2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36" w:type="dxa"/>
            <w:tcBorders>
              <w:top w:val="single" w:sz="4" w:space="0" w:color="auto"/>
              <w:left w:val="nil"/>
              <w:bottom w:val="single" w:sz="4" w:space="0" w:color="auto"/>
              <w:right w:val="nil"/>
            </w:tcBorders>
            <w:shd w:val="clear" w:color="auto" w:fill="auto"/>
            <w:noWrap/>
            <w:vAlign w:val="bottom"/>
            <w:hideMark/>
          </w:tcPr>
          <w:p w14:paraId="2330B70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3 180</w:t>
            </w:r>
          </w:p>
        </w:tc>
        <w:tc>
          <w:tcPr>
            <w:tcW w:w="829" w:type="dxa"/>
            <w:tcBorders>
              <w:top w:val="single" w:sz="4" w:space="0" w:color="auto"/>
              <w:left w:val="nil"/>
              <w:bottom w:val="single" w:sz="4" w:space="0" w:color="auto"/>
              <w:right w:val="nil"/>
            </w:tcBorders>
            <w:shd w:val="clear" w:color="auto" w:fill="auto"/>
            <w:noWrap/>
            <w:vAlign w:val="center"/>
            <w:hideMark/>
          </w:tcPr>
          <w:p w14:paraId="1EE9685C" w14:textId="1B51237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1035" w:type="dxa"/>
            <w:tcBorders>
              <w:top w:val="single" w:sz="4" w:space="0" w:color="auto"/>
              <w:left w:val="single" w:sz="4" w:space="0" w:color="auto"/>
              <w:bottom w:val="single" w:sz="4" w:space="0" w:color="auto"/>
              <w:right w:val="nil"/>
            </w:tcBorders>
            <w:shd w:val="clear" w:color="auto" w:fill="auto"/>
            <w:noWrap/>
            <w:vAlign w:val="bottom"/>
            <w:hideMark/>
          </w:tcPr>
          <w:p w14:paraId="7B555C1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3 999</w:t>
            </w:r>
          </w:p>
        </w:tc>
        <w:tc>
          <w:tcPr>
            <w:tcW w:w="948" w:type="dxa"/>
            <w:tcBorders>
              <w:top w:val="single" w:sz="4" w:space="0" w:color="auto"/>
              <w:left w:val="nil"/>
              <w:bottom w:val="single" w:sz="4" w:space="0" w:color="auto"/>
              <w:right w:val="single" w:sz="4" w:space="0" w:color="auto"/>
            </w:tcBorders>
            <w:shd w:val="clear" w:color="auto" w:fill="auto"/>
            <w:noWrap/>
            <w:vAlign w:val="center"/>
            <w:hideMark/>
          </w:tcPr>
          <w:p w14:paraId="14BAA534" w14:textId="0490756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904" w:type="dxa"/>
            <w:tcBorders>
              <w:top w:val="single" w:sz="4" w:space="0" w:color="auto"/>
              <w:left w:val="nil"/>
              <w:bottom w:val="single" w:sz="4" w:space="0" w:color="auto"/>
              <w:right w:val="nil"/>
            </w:tcBorders>
            <w:shd w:val="clear" w:color="auto" w:fill="auto"/>
            <w:noWrap/>
            <w:vAlign w:val="bottom"/>
            <w:hideMark/>
          </w:tcPr>
          <w:p w14:paraId="576078A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3 798</w:t>
            </w:r>
          </w:p>
        </w:tc>
        <w:tc>
          <w:tcPr>
            <w:tcW w:w="948" w:type="dxa"/>
            <w:tcBorders>
              <w:top w:val="single" w:sz="4" w:space="0" w:color="auto"/>
              <w:left w:val="nil"/>
              <w:bottom w:val="single" w:sz="4" w:space="0" w:color="auto"/>
              <w:right w:val="single" w:sz="4" w:space="0" w:color="auto"/>
            </w:tcBorders>
            <w:shd w:val="clear" w:color="auto" w:fill="auto"/>
            <w:noWrap/>
            <w:vAlign w:val="center"/>
            <w:hideMark/>
          </w:tcPr>
          <w:p w14:paraId="2B01AAC9" w14:textId="3B5F9D9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7A01AE1E" w14:textId="6BE46085"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125,8 %</w:t>
            </w:r>
          </w:p>
        </w:tc>
      </w:tr>
      <w:tr w:rsidR="008430BD" w:rsidRPr="001C3EC8" w14:paraId="3A3EA807"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63865E3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36" w:type="dxa"/>
            <w:tcBorders>
              <w:top w:val="nil"/>
              <w:left w:val="nil"/>
              <w:bottom w:val="single" w:sz="4" w:space="0" w:color="auto"/>
              <w:right w:val="nil"/>
            </w:tcBorders>
            <w:shd w:val="clear" w:color="auto" w:fill="auto"/>
            <w:noWrap/>
            <w:vAlign w:val="bottom"/>
            <w:hideMark/>
          </w:tcPr>
          <w:p w14:paraId="34D87F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1 003</w:t>
            </w:r>
          </w:p>
        </w:tc>
        <w:tc>
          <w:tcPr>
            <w:tcW w:w="829" w:type="dxa"/>
            <w:tcBorders>
              <w:top w:val="nil"/>
              <w:left w:val="nil"/>
              <w:bottom w:val="single" w:sz="4" w:space="0" w:color="auto"/>
              <w:right w:val="nil"/>
            </w:tcBorders>
            <w:shd w:val="clear" w:color="auto" w:fill="auto"/>
            <w:noWrap/>
            <w:vAlign w:val="center"/>
            <w:hideMark/>
          </w:tcPr>
          <w:p w14:paraId="709D5B93" w14:textId="4167E06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035" w:type="dxa"/>
            <w:tcBorders>
              <w:top w:val="nil"/>
              <w:left w:val="single" w:sz="4" w:space="0" w:color="auto"/>
              <w:bottom w:val="single" w:sz="4" w:space="0" w:color="auto"/>
              <w:right w:val="nil"/>
            </w:tcBorders>
            <w:shd w:val="clear" w:color="auto" w:fill="auto"/>
            <w:noWrap/>
            <w:vAlign w:val="bottom"/>
            <w:hideMark/>
          </w:tcPr>
          <w:p w14:paraId="5FCF149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1 020</w:t>
            </w:r>
          </w:p>
        </w:tc>
        <w:tc>
          <w:tcPr>
            <w:tcW w:w="948" w:type="dxa"/>
            <w:tcBorders>
              <w:top w:val="nil"/>
              <w:left w:val="nil"/>
              <w:bottom w:val="single" w:sz="4" w:space="0" w:color="auto"/>
              <w:right w:val="single" w:sz="4" w:space="0" w:color="auto"/>
            </w:tcBorders>
            <w:shd w:val="clear" w:color="auto" w:fill="auto"/>
            <w:noWrap/>
            <w:vAlign w:val="center"/>
            <w:hideMark/>
          </w:tcPr>
          <w:p w14:paraId="26556D79" w14:textId="3720F1A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904" w:type="dxa"/>
            <w:tcBorders>
              <w:top w:val="nil"/>
              <w:left w:val="nil"/>
              <w:bottom w:val="single" w:sz="4" w:space="0" w:color="auto"/>
              <w:right w:val="nil"/>
            </w:tcBorders>
            <w:shd w:val="clear" w:color="auto" w:fill="auto"/>
            <w:noWrap/>
            <w:vAlign w:val="bottom"/>
            <w:hideMark/>
          </w:tcPr>
          <w:p w14:paraId="365590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1 012</w:t>
            </w:r>
          </w:p>
        </w:tc>
        <w:tc>
          <w:tcPr>
            <w:tcW w:w="948" w:type="dxa"/>
            <w:tcBorders>
              <w:top w:val="nil"/>
              <w:left w:val="nil"/>
              <w:bottom w:val="single" w:sz="4" w:space="0" w:color="auto"/>
              <w:right w:val="single" w:sz="4" w:space="0" w:color="auto"/>
            </w:tcBorders>
            <w:shd w:val="clear" w:color="auto" w:fill="auto"/>
            <w:noWrap/>
            <w:vAlign w:val="center"/>
            <w:hideMark/>
          </w:tcPr>
          <w:p w14:paraId="0B964F28" w14:textId="255CA23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20676948" w14:textId="44AB58D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101,7 %</w:t>
            </w:r>
          </w:p>
        </w:tc>
      </w:tr>
      <w:tr w:rsidR="008430BD" w:rsidRPr="001C3EC8" w14:paraId="742F273E"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10C0E93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36" w:type="dxa"/>
            <w:tcBorders>
              <w:top w:val="nil"/>
              <w:left w:val="nil"/>
              <w:bottom w:val="single" w:sz="4" w:space="0" w:color="auto"/>
              <w:right w:val="nil"/>
            </w:tcBorders>
            <w:shd w:val="clear" w:color="auto" w:fill="auto"/>
            <w:noWrap/>
            <w:vAlign w:val="bottom"/>
            <w:hideMark/>
          </w:tcPr>
          <w:p w14:paraId="53BFA0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331</w:t>
            </w:r>
          </w:p>
        </w:tc>
        <w:tc>
          <w:tcPr>
            <w:tcW w:w="829" w:type="dxa"/>
            <w:tcBorders>
              <w:top w:val="nil"/>
              <w:left w:val="nil"/>
              <w:bottom w:val="single" w:sz="4" w:space="0" w:color="auto"/>
              <w:right w:val="nil"/>
            </w:tcBorders>
            <w:shd w:val="clear" w:color="auto" w:fill="auto"/>
            <w:noWrap/>
            <w:vAlign w:val="center"/>
            <w:hideMark/>
          </w:tcPr>
          <w:p w14:paraId="7971875C" w14:textId="49A6911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-26 </w:t>
            </w:r>
            <w:r w:rsidR="00B07E76">
              <w:rPr>
                <w:rFonts w:eastAsia="Times New Roman"/>
                <w:color w:val="000000" w:themeColor="text1"/>
                <w:sz w:val="20"/>
                <w:szCs w:val="20"/>
                <w:lang w:eastAsia="cs-CZ"/>
              </w:rPr>
              <w:t>%</w:t>
            </w:r>
          </w:p>
        </w:tc>
        <w:tc>
          <w:tcPr>
            <w:tcW w:w="1035" w:type="dxa"/>
            <w:tcBorders>
              <w:top w:val="nil"/>
              <w:left w:val="single" w:sz="4" w:space="0" w:color="auto"/>
              <w:bottom w:val="single" w:sz="4" w:space="0" w:color="auto"/>
              <w:right w:val="nil"/>
            </w:tcBorders>
            <w:shd w:val="clear" w:color="auto" w:fill="auto"/>
            <w:noWrap/>
            <w:vAlign w:val="bottom"/>
            <w:hideMark/>
          </w:tcPr>
          <w:p w14:paraId="1362D5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354</w:t>
            </w:r>
          </w:p>
        </w:tc>
        <w:tc>
          <w:tcPr>
            <w:tcW w:w="948" w:type="dxa"/>
            <w:tcBorders>
              <w:top w:val="nil"/>
              <w:left w:val="nil"/>
              <w:bottom w:val="single" w:sz="4" w:space="0" w:color="auto"/>
              <w:right w:val="single" w:sz="4" w:space="0" w:color="auto"/>
            </w:tcBorders>
            <w:shd w:val="clear" w:color="auto" w:fill="auto"/>
            <w:noWrap/>
            <w:vAlign w:val="center"/>
            <w:hideMark/>
          </w:tcPr>
          <w:p w14:paraId="51A64E52" w14:textId="7DF0C5A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-32 </w:t>
            </w:r>
            <w:r w:rsidR="00B07E76">
              <w:rPr>
                <w:rFonts w:eastAsia="Times New Roman"/>
                <w:color w:val="000000" w:themeColor="text1"/>
                <w:sz w:val="20"/>
                <w:szCs w:val="20"/>
                <w:lang w:eastAsia="cs-CZ"/>
              </w:rPr>
              <w:t>%</w:t>
            </w:r>
          </w:p>
        </w:tc>
        <w:tc>
          <w:tcPr>
            <w:tcW w:w="904" w:type="dxa"/>
            <w:tcBorders>
              <w:top w:val="nil"/>
              <w:left w:val="nil"/>
              <w:bottom w:val="single" w:sz="4" w:space="0" w:color="auto"/>
              <w:right w:val="nil"/>
            </w:tcBorders>
            <w:shd w:val="clear" w:color="auto" w:fill="auto"/>
            <w:noWrap/>
            <w:vAlign w:val="bottom"/>
            <w:hideMark/>
          </w:tcPr>
          <w:p w14:paraId="7417750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157</w:t>
            </w:r>
          </w:p>
        </w:tc>
        <w:tc>
          <w:tcPr>
            <w:tcW w:w="948" w:type="dxa"/>
            <w:tcBorders>
              <w:top w:val="nil"/>
              <w:left w:val="nil"/>
              <w:bottom w:val="single" w:sz="4" w:space="0" w:color="auto"/>
              <w:right w:val="single" w:sz="4" w:space="0" w:color="auto"/>
            </w:tcBorders>
            <w:shd w:val="clear" w:color="auto" w:fill="auto"/>
            <w:noWrap/>
            <w:vAlign w:val="center"/>
            <w:hideMark/>
          </w:tcPr>
          <w:p w14:paraId="42F28F0D" w14:textId="106286D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6E66AE07" w14:textId="59062C1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106,9 %</w:t>
            </w:r>
          </w:p>
        </w:tc>
      </w:tr>
      <w:tr w:rsidR="008430BD" w:rsidRPr="001C3EC8" w14:paraId="503DDE62"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50017A8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36" w:type="dxa"/>
            <w:tcBorders>
              <w:top w:val="nil"/>
              <w:left w:val="nil"/>
              <w:bottom w:val="single" w:sz="4" w:space="0" w:color="auto"/>
              <w:right w:val="nil"/>
            </w:tcBorders>
            <w:shd w:val="clear" w:color="auto" w:fill="auto"/>
            <w:noWrap/>
            <w:vAlign w:val="bottom"/>
            <w:hideMark/>
          </w:tcPr>
          <w:p w14:paraId="63C62A0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684</w:t>
            </w:r>
          </w:p>
        </w:tc>
        <w:tc>
          <w:tcPr>
            <w:tcW w:w="829" w:type="dxa"/>
            <w:tcBorders>
              <w:top w:val="nil"/>
              <w:left w:val="nil"/>
              <w:bottom w:val="single" w:sz="4" w:space="0" w:color="auto"/>
              <w:right w:val="nil"/>
            </w:tcBorders>
            <w:shd w:val="clear" w:color="auto" w:fill="auto"/>
            <w:noWrap/>
            <w:vAlign w:val="center"/>
            <w:hideMark/>
          </w:tcPr>
          <w:p w14:paraId="4447A6C9" w14:textId="1F118CA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c>
          <w:tcPr>
            <w:tcW w:w="1035" w:type="dxa"/>
            <w:tcBorders>
              <w:top w:val="nil"/>
              <w:left w:val="single" w:sz="4" w:space="0" w:color="auto"/>
              <w:bottom w:val="single" w:sz="4" w:space="0" w:color="auto"/>
              <w:right w:val="nil"/>
            </w:tcBorders>
            <w:shd w:val="clear" w:color="auto" w:fill="auto"/>
            <w:noWrap/>
            <w:vAlign w:val="bottom"/>
            <w:hideMark/>
          </w:tcPr>
          <w:p w14:paraId="0BD64F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915</w:t>
            </w:r>
          </w:p>
        </w:tc>
        <w:tc>
          <w:tcPr>
            <w:tcW w:w="948" w:type="dxa"/>
            <w:tcBorders>
              <w:top w:val="nil"/>
              <w:left w:val="nil"/>
              <w:bottom w:val="single" w:sz="4" w:space="0" w:color="auto"/>
              <w:right w:val="single" w:sz="4" w:space="0" w:color="auto"/>
            </w:tcBorders>
            <w:shd w:val="clear" w:color="auto" w:fill="auto"/>
            <w:noWrap/>
            <w:vAlign w:val="center"/>
            <w:hideMark/>
          </w:tcPr>
          <w:p w14:paraId="37A5695E" w14:textId="6A41B3F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904" w:type="dxa"/>
            <w:tcBorders>
              <w:top w:val="nil"/>
              <w:left w:val="nil"/>
              <w:bottom w:val="single" w:sz="4" w:space="0" w:color="auto"/>
              <w:right w:val="nil"/>
            </w:tcBorders>
            <w:shd w:val="clear" w:color="auto" w:fill="auto"/>
            <w:noWrap/>
            <w:vAlign w:val="bottom"/>
            <w:hideMark/>
          </w:tcPr>
          <w:p w14:paraId="5FC81B9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433</w:t>
            </w:r>
          </w:p>
        </w:tc>
        <w:tc>
          <w:tcPr>
            <w:tcW w:w="948" w:type="dxa"/>
            <w:tcBorders>
              <w:top w:val="nil"/>
              <w:left w:val="nil"/>
              <w:bottom w:val="single" w:sz="4" w:space="0" w:color="auto"/>
              <w:right w:val="single" w:sz="4" w:space="0" w:color="auto"/>
            </w:tcBorders>
            <w:shd w:val="clear" w:color="auto" w:fill="auto"/>
            <w:noWrap/>
            <w:vAlign w:val="center"/>
            <w:hideMark/>
          </w:tcPr>
          <w:p w14:paraId="1AD6F434" w14:textId="6303561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-35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36336E6" w14:textId="241E369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133,8 %</w:t>
            </w:r>
          </w:p>
        </w:tc>
      </w:tr>
      <w:tr w:rsidR="008430BD" w:rsidRPr="001C3EC8" w14:paraId="1EDA6163"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708944B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36" w:type="dxa"/>
            <w:tcBorders>
              <w:top w:val="nil"/>
              <w:left w:val="nil"/>
              <w:bottom w:val="single" w:sz="4" w:space="0" w:color="auto"/>
              <w:right w:val="nil"/>
            </w:tcBorders>
            <w:shd w:val="clear" w:color="auto" w:fill="auto"/>
            <w:noWrap/>
            <w:vAlign w:val="bottom"/>
            <w:hideMark/>
          </w:tcPr>
          <w:p w14:paraId="5D1E2EF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749</w:t>
            </w:r>
          </w:p>
        </w:tc>
        <w:tc>
          <w:tcPr>
            <w:tcW w:w="829" w:type="dxa"/>
            <w:tcBorders>
              <w:top w:val="nil"/>
              <w:left w:val="nil"/>
              <w:bottom w:val="single" w:sz="4" w:space="0" w:color="auto"/>
              <w:right w:val="nil"/>
            </w:tcBorders>
            <w:shd w:val="clear" w:color="auto" w:fill="auto"/>
            <w:noWrap/>
            <w:vAlign w:val="center"/>
            <w:hideMark/>
          </w:tcPr>
          <w:p w14:paraId="69FDB2B1" w14:textId="315A4E6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1035" w:type="dxa"/>
            <w:tcBorders>
              <w:top w:val="nil"/>
              <w:left w:val="single" w:sz="4" w:space="0" w:color="auto"/>
              <w:bottom w:val="single" w:sz="4" w:space="0" w:color="auto"/>
              <w:right w:val="nil"/>
            </w:tcBorders>
            <w:shd w:val="clear" w:color="auto" w:fill="auto"/>
            <w:noWrap/>
            <w:vAlign w:val="bottom"/>
            <w:hideMark/>
          </w:tcPr>
          <w:p w14:paraId="44BD2A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915</w:t>
            </w:r>
          </w:p>
        </w:tc>
        <w:tc>
          <w:tcPr>
            <w:tcW w:w="948" w:type="dxa"/>
            <w:tcBorders>
              <w:top w:val="nil"/>
              <w:left w:val="nil"/>
              <w:bottom w:val="single" w:sz="4" w:space="0" w:color="auto"/>
              <w:right w:val="single" w:sz="4" w:space="0" w:color="auto"/>
            </w:tcBorders>
            <w:shd w:val="clear" w:color="auto" w:fill="auto"/>
            <w:noWrap/>
            <w:vAlign w:val="center"/>
            <w:hideMark/>
          </w:tcPr>
          <w:p w14:paraId="28064188" w14:textId="721EAD6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904" w:type="dxa"/>
            <w:tcBorders>
              <w:top w:val="nil"/>
              <w:left w:val="nil"/>
              <w:bottom w:val="single" w:sz="4" w:space="0" w:color="auto"/>
              <w:right w:val="nil"/>
            </w:tcBorders>
            <w:shd w:val="clear" w:color="auto" w:fill="auto"/>
            <w:noWrap/>
            <w:vAlign w:val="bottom"/>
            <w:hideMark/>
          </w:tcPr>
          <w:p w14:paraId="130CB6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886</w:t>
            </w:r>
          </w:p>
        </w:tc>
        <w:tc>
          <w:tcPr>
            <w:tcW w:w="948" w:type="dxa"/>
            <w:tcBorders>
              <w:top w:val="nil"/>
              <w:left w:val="nil"/>
              <w:bottom w:val="single" w:sz="4" w:space="0" w:color="auto"/>
              <w:right w:val="single" w:sz="4" w:space="0" w:color="auto"/>
            </w:tcBorders>
            <w:shd w:val="clear" w:color="auto" w:fill="auto"/>
            <w:noWrap/>
            <w:vAlign w:val="center"/>
            <w:hideMark/>
          </w:tcPr>
          <w:p w14:paraId="69C054E2" w14:textId="70937C5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12854CA7" w14:textId="28C17D40"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122,2 %</w:t>
            </w:r>
          </w:p>
        </w:tc>
      </w:tr>
      <w:tr w:rsidR="008430BD" w:rsidRPr="001C3EC8" w14:paraId="7106EBCB"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3AD6C7B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36" w:type="dxa"/>
            <w:tcBorders>
              <w:top w:val="nil"/>
              <w:left w:val="nil"/>
              <w:bottom w:val="single" w:sz="4" w:space="0" w:color="auto"/>
              <w:right w:val="nil"/>
            </w:tcBorders>
            <w:shd w:val="clear" w:color="auto" w:fill="auto"/>
            <w:noWrap/>
            <w:vAlign w:val="bottom"/>
            <w:hideMark/>
          </w:tcPr>
          <w:p w14:paraId="5CB88C8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668</w:t>
            </w:r>
          </w:p>
        </w:tc>
        <w:tc>
          <w:tcPr>
            <w:tcW w:w="829" w:type="dxa"/>
            <w:tcBorders>
              <w:top w:val="nil"/>
              <w:left w:val="nil"/>
              <w:bottom w:val="single" w:sz="4" w:space="0" w:color="auto"/>
              <w:right w:val="nil"/>
            </w:tcBorders>
            <w:shd w:val="clear" w:color="auto" w:fill="auto"/>
            <w:noWrap/>
            <w:vAlign w:val="center"/>
            <w:hideMark/>
          </w:tcPr>
          <w:p w14:paraId="2EF3D0BD" w14:textId="2EE1B69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035" w:type="dxa"/>
            <w:tcBorders>
              <w:top w:val="nil"/>
              <w:left w:val="single" w:sz="4" w:space="0" w:color="auto"/>
              <w:bottom w:val="single" w:sz="4" w:space="0" w:color="auto"/>
              <w:right w:val="nil"/>
            </w:tcBorders>
            <w:shd w:val="clear" w:color="auto" w:fill="auto"/>
            <w:noWrap/>
            <w:vAlign w:val="bottom"/>
            <w:hideMark/>
          </w:tcPr>
          <w:p w14:paraId="5A9BB74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817</w:t>
            </w:r>
          </w:p>
        </w:tc>
        <w:tc>
          <w:tcPr>
            <w:tcW w:w="948" w:type="dxa"/>
            <w:tcBorders>
              <w:top w:val="nil"/>
              <w:left w:val="nil"/>
              <w:bottom w:val="single" w:sz="4" w:space="0" w:color="auto"/>
              <w:right w:val="single" w:sz="4" w:space="0" w:color="auto"/>
            </w:tcBorders>
            <w:shd w:val="clear" w:color="auto" w:fill="auto"/>
            <w:noWrap/>
            <w:vAlign w:val="center"/>
            <w:hideMark/>
          </w:tcPr>
          <w:p w14:paraId="22D2153A" w14:textId="0F6545D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904" w:type="dxa"/>
            <w:tcBorders>
              <w:top w:val="nil"/>
              <w:left w:val="nil"/>
              <w:bottom w:val="single" w:sz="4" w:space="0" w:color="auto"/>
              <w:right w:val="nil"/>
            </w:tcBorders>
            <w:shd w:val="clear" w:color="auto" w:fill="auto"/>
            <w:noWrap/>
            <w:vAlign w:val="bottom"/>
            <w:hideMark/>
          </w:tcPr>
          <w:p w14:paraId="7085190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577</w:t>
            </w:r>
          </w:p>
        </w:tc>
        <w:tc>
          <w:tcPr>
            <w:tcW w:w="948" w:type="dxa"/>
            <w:tcBorders>
              <w:top w:val="nil"/>
              <w:left w:val="nil"/>
              <w:bottom w:val="single" w:sz="4" w:space="0" w:color="auto"/>
              <w:right w:val="single" w:sz="4" w:space="0" w:color="auto"/>
            </w:tcBorders>
            <w:shd w:val="clear" w:color="auto" w:fill="auto"/>
            <w:noWrap/>
            <w:vAlign w:val="center"/>
            <w:hideMark/>
          </w:tcPr>
          <w:p w14:paraId="3D1DFBE8" w14:textId="0A07624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4255CF85" w14:textId="7CD00C0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122,3 %</w:t>
            </w:r>
          </w:p>
        </w:tc>
      </w:tr>
      <w:tr w:rsidR="008430BD" w:rsidRPr="001C3EC8" w14:paraId="286BA6BF" w14:textId="77777777" w:rsidTr="00E077F3">
        <w:trPr>
          <w:trHeight w:val="315"/>
        </w:trPr>
        <w:tc>
          <w:tcPr>
            <w:tcW w:w="2020" w:type="dxa"/>
            <w:tcBorders>
              <w:top w:val="nil"/>
              <w:left w:val="nil"/>
              <w:bottom w:val="single" w:sz="4" w:space="0" w:color="auto"/>
              <w:right w:val="nil"/>
            </w:tcBorders>
            <w:shd w:val="clear" w:color="auto" w:fill="auto"/>
            <w:noWrap/>
            <w:vAlign w:val="bottom"/>
            <w:hideMark/>
          </w:tcPr>
          <w:p w14:paraId="3190B9B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36" w:type="dxa"/>
            <w:tcBorders>
              <w:top w:val="nil"/>
              <w:left w:val="nil"/>
              <w:bottom w:val="single" w:sz="4" w:space="0" w:color="auto"/>
              <w:right w:val="nil"/>
            </w:tcBorders>
            <w:shd w:val="clear" w:color="auto" w:fill="auto"/>
            <w:noWrap/>
            <w:vAlign w:val="bottom"/>
            <w:hideMark/>
          </w:tcPr>
          <w:p w14:paraId="18317BC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1 934</w:t>
            </w:r>
          </w:p>
        </w:tc>
        <w:tc>
          <w:tcPr>
            <w:tcW w:w="829" w:type="dxa"/>
            <w:tcBorders>
              <w:top w:val="nil"/>
              <w:left w:val="nil"/>
              <w:bottom w:val="single" w:sz="4" w:space="0" w:color="auto"/>
              <w:right w:val="nil"/>
            </w:tcBorders>
            <w:shd w:val="clear" w:color="auto" w:fill="auto"/>
            <w:noWrap/>
            <w:vAlign w:val="center"/>
            <w:hideMark/>
          </w:tcPr>
          <w:p w14:paraId="3D6609AF" w14:textId="09DEB5A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1035" w:type="dxa"/>
            <w:tcBorders>
              <w:top w:val="nil"/>
              <w:left w:val="single" w:sz="4" w:space="0" w:color="auto"/>
              <w:bottom w:val="single" w:sz="4" w:space="0" w:color="auto"/>
              <w:right w:val="nil"/>
            </w:tcBorders>
            <w:shd w:val="clear" w:color="auto" w:fill="auto"/>
            <w:noWrap/>
            <w:vAlign w:val="bottom"/>
            <w:hideMark/>
          </w:tcPr>
          <w:p w14:paraId="0E8E65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1 952</w:t>
            </w:r>
          </w:p>
        </w:tc>
        <w:tc>
          <w:tcPr>
            <w:tcW w:w="948" w:type="dxa"/>
            <w:tcBorders>
              <w:top w:val="nil"/>
              <w:left w:val="nil"/>
              <w:bottom w:val="single" w:sz="4" w:space="0" w:color="auto"/>
              <w:right w:val="single" w:sz="4" w:space="0" w:color="auto"/>
            </w:tcBorders>
            <w:shd w:val="clear" w:color="auto" w:fill="auto"/>
            <w:noWrap/>
            <w:vAlign w:val="center"/>
            <w:hideMark/>
          </w:tcPr>
          <w:p w14:paraId="07DC956C" w14:textId="5F3DDEF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904" w:type="dxa"/>
            <w:tcBorders>
              <w:top w:val="nil"/>
              <w:left w:val="nil"/>
              <w:bottom w:val="single" w:sz="4" w:space="0" w:color="auto"/>
              <w:right w:val="nil"/>
            </w:tcBorders>
            <w:shd w:val="clear" w:color="auto" w:fill="auto"/>
            <w:noWrap/>
            <w:vAlign w:val="bottom"/>
            <w:hideMark/>
          </w:tcPr>
          <w:p w14:paraId="345D06D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2 098</w:t>
            </w:r>
          </w:p>
        </w:tc>
        <w:tc>
          <w:tcPr>
            <w:tcW w:w="948" w:type="dxa"/>
            <w:tcBorders>
              <w:top w:val="nil"/>
              <w:left w:val="nil"/>
              <w:bottom w:val="single" w:sz="4" w:space="0" w:color="auto"/>
              <w:right w:val="single" w:sz="4" w:space="0" w:color="auto"/>
            </w:tcBorders>
            <w:shd w:val="clear" w:color="auto" w:fill="auto"/>
            <w:noWrap/>
            <w:vAlign w:val="center"/>
            <w:hideMark/>
          </w:tcPr>
          <w:p w14:paraId="6FDCE95B" w14:textId="18D2814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1540" w:type="dxa"/>
            <w:tcBorders>
              <w:top w:val="nil"/>
              <w:left w:val="nil"/>
              <w:bottom w:val="single" w:sz="4" w:space="0" w:color="auto"/>
              <w:right w:val="nil"/>
            </w:tcBorders>
            <w:shd w:val="clear" w:color="auto" w:fill="auto"/>
            <w:noWrap/>
            <w:vAlign w:val="center"/>
            <w:hideMark/>
          </w:tcPr>
          <w:p w14:paraId="08F1342F" w14:textId="2CD2FA81"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100,9 %</w:t>
            </w:r>
          </w:p>
        </w:tc>
      </w:tr>
      <w:tr w:rsidR="008430BD" w:rsidRPr="001C3EC8" w14:paraId="645A9009" w14:textId="77777777" w:rsidTr="00E077F3">
        <w:trPr>
          <w:trHeight w:val="330"/>
        </w:trPr>
        <w:tc>
          <w:tcPr>
            <w:tcW w:w="2020" w:type="dxa"/>
            <w:tcBorders>
              <w:top w:val="nil"/>
              <w:left w:val="nil"/>
              <w:bottom w:val="double" w:sz="6" w:space="0" w:color="auto"/>
              <w:right w:val="nil"/>
            </w:tcBorders>
            <w:shd w:val="clear" w:color="auto" w:fill="auto"/>
            <w:noWrap/>
            <w:vAlign w:val="bottom"/>
            <w:hideMark/>
          </w:tcPr>
          <w:p w14:paraId="44E8C5A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36" w:type="dxa"/>
            <w:tcBorders>
              <w:top w:val="nil"/>
              <w:left w:val="nil"/>
              <w:bottom w:val="double" w:sz="6" w:space="0" w:color="auto"/>
              <w:right w:val="nil"/>
            </w:tcBorders>
            <w:shd w:val="clear" w:color="auto" w:fill="auto"/>
            <w:noWrap/>
            <w:vAlign w:val="bottom"/>
            <w:hideMark/>
          </w:tcPr>
          <w:p w14:paraId="30F3707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1 469</w:t>
            </w:r>
          </w:p>
        </w:tc>
        <w:tc>
          <w:tcPr>
            <w:tcW w:w="829" w:type="dxa"/>
            <w:tcBorders>
              <w:top w:val="nil"/>
              <w:left w:val="nil"/>
              <w:bottom w:val="double" w:sz="6" w:space="0" w:color="auto"/>
              <w:right w:val="nil"/>
            </w:tcBorders>
            <w:shd w:val="clear" w:color="auto" w:fill="auto"/>
            <w:noWrap/>
            <w:vAlign w:val="center"/>
            <w:hideMark/>
          </w:tcPr>
          <w:p w14:paraId="062E1BB6" w14:textId="1838029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1035" w:type="dxa"/>
            <w:tcBorders>
              <w:top w:val="nil"/>
              <w:left w:val="single" w:sz="4" w:space="0" w:color="auto"/>
              <w:bottom w:val="double" w:sz="6" w:space="0" w:color="auto"/>
              <w:right w:val="nil"/>
            </w:tcBorders>
            <w:shd w:val="clear" w:color="auto" w:fill="auto"/>
            <w:noWrap/>
            <w:vAlign w:val="bottom"/>
            <w:hideMark/>
          </w:tcPr>
          <w:p w14:paraId="31E9DB7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1 303</w:t>
            </w:r>
          </w:p>
        </w:tc>
        <w:tc>
          <w:tcPr>
            <w:tcW w:w="948" w:type="dxa"/>
            <w:tcBorders>
              <w:top w:val="nil"/>
              <w:left w:val="nil"/>
              <w:bottom w:val="double" w:sz="6" w:space="0" w:color="auto"/>
              <w:right w:val="single" w:sz="4" w:space="0" w:color="auto"/>
            </w:tcBorders>
            <w:shd w:val="clear" w:color="auto" w:fill="auto"/>
            <w:noWrap/>
            <w:vAlign w:val="center"/>
            <w:hideMark/>
          </w:tcPr>
          <w:p w14:paraId="7395A04C" w14:textId="6D2E5F6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904" w:type="dxa"/>
            <w:tcBorders>
              <w:top w:val="nil"/>
              <w:left w:val="nil"/>
              <w:bottom w:val="double" w:sz="6" w:space="0" w:color="auto"/>
              <w:right w:val="nil"/>
            </w:tcBorders>
            <w:shd w:val="clear" w:color="auto" w:fill="auto"/>
            <w:noWrap/>
            <w:vAlign w:val="bottom"/>
            <w:hideMark/>
          </w:tcPr>
          <w:p w14:paraId="4E3380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823</w:t>
            </w:r>
          </w:p>
        </w:tc>
        <w:tc>
          <w:tcPr>
            <w:tcW w:w="948" w:type="dxa"/>
            <w:tcBorders>
              <w:top w:val="nil"/>
              <w:left w:val="nil"/>
              <w:bottom w:val="double" w:sz="6" w:space="0" w:color="auto"/>
              <w:right w:val="single" w:sz="4" w:space="0" w:color="auto"/>
            </w:tcBorders>
            <w:shd w:val="clear" w:color="auto" w:fill="auto"/>
            <w:noWrap/>
            <w:vAlign w:val="center"/>
            <w:hideMark/>
          </w:tcPr>
          <w:p w14:paraId="28DBD9BE" w14:textId="1647971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+25 </w:t>
            </w:r>
            <w:r w:rsidR="00B07E76">
              <w:rPr>
                <w:rFonts w:eastAsia="Times New Roman"/>
                <w:color w:val="000000" w:themeColor="text1"/>
                <w:sz w:val="20"/>
                <w:szCs w:val="20"/>
                <w:lang w:eastAsia="cs-CZ"/>
              </w:rPr>
              <w:t>%</w:t>
            </w:r>
          </w:p>
        </w:tc>
        <w:tc>
          <w:tcPr>
            <w:tcW w:w="1540" w:type="dxa"/>
            <w:tcBorders>
              <w:top w:val="nil"/>
              <w:left w:val="nil"/>
              <w:bottom w:val="nil"/>
              <w:right w:val="nil"/>
            </w:tcBorders>
            <w:shd w:val="clear" w:color="auto" w:fill="auto"/>
            <w:noWrap/>
            <w:vAlign w:val="center"/>
            <w:hideMark/>
          </w:tcPr>
          <w:p w14:paraId="153D1BA7" w14:textId="09F5EB4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88,7 %</w:t>
            </w:r>
          </w:p>
        </w:tc>
      </w:tr>
      <w:tr w:rsidR="008430BD" w:rsidRPr="001C3EC8" w14:paraId="435820AC" w14:textId="77777777" w:rsidTr="00E077F3">
        <w:trPr>
          <w:trHeight w:val="345"/>
        </w:trPr>
        <w:tc>
          <w:tcPr>
            <w:tcW w:w="2020" w:type="dxa"/>
            <w:tcBorders>
              <w:top w:val="nil"/>
              <w:left w:val="nil"/>
              <w:bottom w:val="double" w:sz="6" w:space="0" w:color="auto"/>
              <w:right w:val="nil"/>
            </w:tcBorders>
            <w:shd w:val="clear" w:color="auto" w:fill="auto"/>
            <w:noWrap/>
            <w:vAlign w:val="bottom"/>
            <w:hideMark/>
          </w:tcPr>
          <w:p w14:paraId="0154963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36" w:type="dxa"/>
            <w:tcBorders>
              <w:top w:val="nil"/>
              <w:left w:val="nil"/>
              <w:bottom w:val="double" w:sz="6" w:space="0" w:color="auto"/>
              <w:right w:val="nil"/>
            </w:tcBorders>
            <w:shd w:val="clear" w:color="auto" w:fill="auto"/>
            <w:noWrap/>
            <w:vAlign w:val="bottom"/>
            <w:hideMark/>
          </w:tcPr>
          <w:p w14:paraId="251399D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10 018</w:t>
            </w:r>
          </w:p>
        </w:tc>
        <w:tc>
          <w:tcPr>
            <w:tcW w:w="829" w:type="dxa"/>
            <w:tcBorders>
              <w:top w:val="nil"/>
              <w:left w:val="nil"/>
              <w:bottom w:val="double" w:sz="6" w:space="0" w:color="auto"/>
              <w:right w:val="nil"/>
            </w:tcBorders>
            <w:shd w:val="clear" w:color="auto" w:fill="auto"/>
            <w:noWrap/>
            <w:vAlign w:val="center"/>
            <w:hideMark/>
          </w:tcPr>
          <w:p w14:paraId="7C02A3FA" w14:textId="41C953EF"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-5 </w:t>
            </w:r>
            <w:r w:rsidR="00B07E76">
              <w:rPr>
                <w:rFonts w:eastAsia="Times New Roman"/>
                <w:b/>
                <w:bCs/>
                <w:color w:val="000000" w:themeColor="text1"/>
                <w:sz w:val="20"/>
                <w:szCs w:val="20"/>
                <w:lang w:eastAsia="cs-CZ"/>
              </w:rPr>
              <w:t>%</w:t>
            </w:r>
          </w:p>
        </w:tc>
        <w:tc>
          <w:tcPr>
            <w:tcW w:w="1035" w:type="dxa"/>
            <w:tcBorders>
              <w:top w:val="nil"/>
              <w:left w:val="single" w:sz="4" w:space="0" w:color="auto"/>
              <w:bottom w:val="double" w:sz="6" w:space="0" w:color="auto"/>
              <w:right w:val="nil"/>
            </w:tcBorders>
            <w:shd w:val="clear" w:color="auto" w:fill="auto"/>
            <w:noWrap/>
            <w:vAlign w:val="bottom"/>
            <w:hideMark/>
          </w:tcPr>
          <w:p w14:paraId="0C599A5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11 275</w:t>
            </w:r>
          </w:p>
        </w:tc>
        <w:tc>
          <w:tcPr>
            <w:tcW w:w="948" w:type="dxa"/>
            <w:tcBorders>
              <w:top w:val="nil"/>
              <w:left w:val="nil"/>
              <w:bottom w:val="double" w:sz="6" w:space="0" w:color="auto"/>
              <w:right w:val="single" w:sz="4" w:space="0" w:color="auto"/>
            </w:tcBorders>
            <w:shd w:val="clear" w:color="auto" w:fill="auto"/>
            <w:noWrap/>
            <w:vAlign w:val="center"/>
            <w:hideMark/>
          </w:tcPr>
          <w:p w14:paraId="64835FE9" w14:textId="6BBC94AD"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904" w:type="dxa"/>
            <w:tcBorders>
              <w:top w:val="nil"/>
              <w:left w:val="nil"/>
              <w:bottom w:val="double" w:sz="6" w:space="0" w:color="auto"/>
              <w:right w:val="nil"/>
            </w:tcBorders>
            <w:shd w:val="clear" w:color="auto" w:fill="auto"/>
            <w:noWrap/>
            <w:vAlign w:val="bottom"/>
            <w:hideMark/>
          </w:tcPr>
          <w:p w14:paraId="1F03591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9 784</w:t>
            </w:r>
          </w:p>
        </w:tc>
        <w:tc>
          <w:tcPr>
            <w:tcW w:w="948" w:type="dxa"/>
            <w:tcBorders>
              <w:top w:val="nil"/>
              <w:left w:val="nil"/>
              <w:bottom w:val="double" w:sz="6" w:space="0" w:color="auto"/>
              <w:right w:val="single" w:sz="4" w:space="0" w:color="auto"/>
            </w:tcBorders>
            <w:shd w:val="clear" w:color="auto" w:fill="auto"/>
            <w:noWrap/>
            <w:vAlign w:val="center"/>
            <w:hideMark/>
          </w:tcPr>
          <w:p w14:paraId="5E7DB353" w14:textId="7AFA39F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-11 </w:t>
            </w:r>
            <w:r w:rsidR="00B07E76">
              <w:rPr>
                <w:rFonts w:eastAsia="Times New Roman"/>
                <w:b/>
                <w:bCs/>
                <w:color w:val="000000" w:themeColor="text1"/>
                <w:sz w:val="20"/>
                <w:szCs w:val="20"/>
                <w:lang w:eastAsia="cs-CZ"/>
              </w:rPr>
              <w:t>%</w:t>
            </w:r>
          </w:p>
        </w:tc>
        <w:tc>
          <w:tcPr>
            <w:tcW w:w="1540" w:type="dxa"/>
            <w:tcBorders>
              <w:top w:val="double" w:sz="6" w:space="0" w:color="auto"/>
              <w:left w:val="nil"/>
              <w:bottom w:val="double" w:sz="6" w:space="0" w:color="auto"/>
              <w:right w:val="nil"/>
            </w:tcBorders>
            <w:shd w:val="clear" w:color="auto" w:fill="auto"/>
            <w:noWrap/>
            <w:vAlign w:val="center"/>
            <w:hideMark/>
          </w:tcPr>
          <w:p w14:paraId="17556D8B" w14:textId="1EBB96F8"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112,5 %</w:t>
            </w:r>
          </w:p>
        </w:tc>
      </w:tr>
    </w:tbl>
    <w:p w14:paraId="26EA42A6" w14:textId="77777777" w:rsidR="008430BD" w:rsidRPr="001C3EC8" w:rsidRDefault="008430BD" w:rsidP="008430BD">
      <w:pPr>
        <w:rPr>
          <w:color w:val="000000" w:themeColor="text1"/>
        </w:rPr>
      </w:pPr>
    </w:p>
    <w:p w14:paraId="040B9DD2" w14:textId="3563761D" w:rsidR="008430BD" w:rsidRPr="001C3EC8" w:rsidRDefault="00DE269E" w:rsidP="008430BD">
      <w:pPr>
        <w:pStyle w:val="OdstavecASR"/>
        <w:rPr>
          <w:color w:val="000000" w:themeColor="text1"/>
        </w:rPr>
      </w:pPr>
      <w:bookmarkStart w:id="610" w:name="_Toc515871400"/>
      <w:bookmarkStart w:id="611" w:name="_Toc11135131"/>
      <w:r w:rsidRPr="001C3EC8">
        <w:rPr>
          <w:color w:val="000000" w:themeColor="text1"/>
        </w:rPr>
        <w:t>U</w:t>
      </w:r>
      <w:r>
        <w:rPr>
          <w:color w:val="000000" w:themeColor="text1"/>
        </w:rPr>
        <w:t> </w:t>
      </w:r>
      <w:r w:rsidR="008430BD" w:rsidRPr="001C3EC8">
        <w:rPr>
          <w:color w:val="000000" w:themeColor="text1"/>
        </w:rPr>
        <w:t xml:space="preserve">správní agendy rovněž můžeme zkoumat, jak se měnilo složení příchozích věcí. K tomu slouží následující skládaný plošný graf. Graf ukazuje, že od roku 2012 roste počet příchozích věcí ve všeobecné správní agendě (rejstřík A). V roce 2012, kdy začal růst rejstřík A, byl počet příchozích věcí v tomto rejstříku 3 895 (45,4 % z celkového počtu příchozích věcí ve správním soudnictví). V roce 2018 přišlo v tomto rejstříku </w:t>
      </w:r>
      <w:r w:rsidRPr="001C3EC8">
        <w:rPr>
          <w:color w:val="000000" w:themeColor="text1"/>
        </w:rPr>
        <w:t>7</w:t>
      </w:r>
      <w:r>
        <w:rPr>
          <w:color w:val="000000" w:themeColor="text1"/>
        </w:rPr>
        <w:t> </w:t>
      </w:r>
      <w:r w:rsidR="008430BD" w:rsidRPr="001C3EC8">
        <w:rPr>
          <w:color w:val="000000" w:themeColor="text1"/>
        </w:rPr>
        <w:t xml:space="preserve">002 věcí (62,9 % z celkového počtu). V posledních letech roste také azylová agenda (rejstřík </w:t>
      </w:r>
      <w:proofErr w:type="spellStart"/>
      <w:r w:rsidR="008430BD" w:rsidRPr="001C3EC8">
        <w:rPr>
          <w:color w:val="000000" w:themeColor="text1"/>
        </w:rPr>
        <w:t>Az</w:t>
      </w:r>
      <w:proofErr w:type="spellEnd"/>
      <w:r w:rsidR="008430BD" w:rsidRPr="001C3EC8">
        <w:rPr>
          <w:color w:val="000000" w:themeColor="text1"/>
        </w:rPr>
        <w:t xml:space="preserve">). V roce 2019 došlo k poklesu především v rejstříku A, mírně rovněž v rejstříku </w:t>
      </w:r>
      <w:proofErr w:type="spellStart"/>
      <w:r w:rsidR="008430BD" w:rsidRPr="001C3EC8">
        <w:rPr>
          <w:color w:val="000000" w:themeColor="text1"/>
        </w:rPr>
        <w:t>Af</w:t>
      </w:r>
      <w:proofErr w:type="spellEnd"/>
      <w:r w:rsidR="008430BD" w:rsidRPr="001C3EC8">
        <w:rPr>
          <w:color w:val="000000" w:themeColor="text1"/>
        </w:rPr>
        <w:t xml:space="preserve">. Naopak poněkud narostl rejstřík </w:t>
      </w:r>
      <w:proofErr w:type="spellStart"/>
      <w:r w:rsidR="008430BD" w:rsidRPr="001C3EC8">
        <w:rPr>
          <w:color w:val="000000" w:themeColor="text1"/>
        </w:rPr>
        <w:t>Az</w:t>
      </w:r>
      <w:proofErr w:type="spellEnd"/>
      <w:r w:rsidR="008430BD" w:rsidRPr="001C3EC8">
        <w:rPr>
          <w:color w:val="000000" w:themeColor="text1"/>
        </w:rPr>
        <w:t>. V roce 2020 pokračoval pokles v rejstříku A.</w:t>
      </w:r>
    </w:p>
    <w:p w14:paraId="4CB227A7" w14:textId="42FEECCF" w:rsidR="008430BD" w:rsidRPr="001C3EC8" w:rsidRDefault="008430BD" w:rsidP="008430BD">
      <w:pPr>
        <w:pStyle w:val="Podnadpis"/>
        <w:rPr>
          <w:color w:val="000000" w:themeColor="text1"/>
        </w:rPr>
      </w:pPr>
      <w:bookmarkStart w:id="612" w:name="_Toc43841450"/>
      <w:bookmarkStart w:id="613" w:name="_Toc75952252"/>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72</w:t>
      </w:r>
      <w:r w:rsidRPr="001C3EC8">
        <w:rPr>
          <w:noProof/>
          <w:color w:val="000000" w:themeColor="text1"/>
        </w:rPr>
        <w:fldChar w:fldCharType="end"/>
      </w:r>
      <w:r w:rsidRPr="001C3EC8">
        <w:rPr>
          <w:color w:val="000000" w:themeColor="text1"/>
        </w:rPr>
        <w:t>: KS – vývoj počtu příchozích věcí dle agend správního soudnictví</w:t>
      </w:r>
      <w:bookmarkEnd w:id="610"/>
      <w:bookmarkEnd w:id="611"/>
      <w:bookmarkEnd w:id="612"/>
      <w:bookmarkEnd w:id="613"/>
    </w:p>
    <w:p w14:paraId="69A80B81"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534C87D3" wp14:editId="3A03799A">
            <wp:extent cx="5114925" cy="3743325"/>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ECE4BE5" w14:textId="77777777" w:rsidR="008430BD" w:rsidRPr="001C3EC8" w:rsidRDefault="008430BD" w:rsidP="008430BD">
      <w:pPr>
        <w:rPr>
          <w:color w:val="000000" w:themeColor="text1"/>
        </w:rPr>
      </w:pPr>
    </w:p>
    <w:p w14:paraId="57EAF4A4" w14:textId="77777777" w:rsidR="00B07E76" w:rsidRDefault="008430BD" w:rsidP="008430BD">
      <w:pPr>
        <w:pStyle w:val="OdstavecASR"/>
        <w:rPr>
          <w:color w:val="000000" w:themeColor="text1"/>
        </w:rPr>
      </w:pPr>
      <w:r w:rsidRPr="001C3EC8">
        <w:rPr>
          <w:color w:val="000000" w:themeColor="text1"/>
        </w:rPr>
        <w:lastRenderedPageBreak/>
        <w:t xml:space="preserve">Další tabulka ukazuje složení nevyřízených věcí ve správním soudnictví v procentech k 31. 12. 2020. Za nejtěžší bývá v průměru považována agenda </w:t>
      </w:r>
      <w:proofErr w:type="spellStart"/>
      <w:r w:rsidRPr="001C3EC8">
        <w:rPr>
          <w:color w:val="000000" w:themeColor="text1"/>
        </w:rPr>
        <w:t>Af</w:t>
      </w:r>
      <w:proofErr w:type="spellEnd"/>
      <w:r w:rsidR="004518D4" w:rsidRPr="001C3EC8">
        <w:rPr>
          <w:color w:val="000000" w:themeColor="text1"/>
        </w:rPr>
        <w:t>.</w:t>
      </w:r>
      <w:r w:rsidRPr="001C3EC8">
        <w:rPr>
          <w:color w:val="000000" w:themeColor="text1"/>
        </w:rPr>
        <w:t xml:space="preserve"> </w:t>
      </w:r>
      <w:r w:rsidR="004518D4" w:rsidRPr="001C3EC8">
        <w:rPr>
          <w:color w:val="000000" w:themeColor="text1"/>
        </w:rPr>
        <w:t>Byť je</w:t>
      </w:r>
      <w:r w:rsidRPr="001C3EC8">
        <w:rPr>
          <w:color w:val="000000" w:themeColor="text1"/>
        </w:rPr>
        <w:t xml:space="preserve"> toto tvrzení nutno brát s rezervou zejména vzhledem k vysoké variabilitě skladby „zbytkové“ všeobecné agendy A</w:t>
      </w:r>
      <w:r w:rsidR="004518D4" w:rsidRPr="001C3EC8">
        <w:rPr>
          <w:color w:val="000000" w:themeColor="text1"/>
        </w:rPr>
        <w:t xml:space="preserve">, potvrzuje je fakt, že agenda </w:t>
      </w:r>
      <w:proofErr w:type="spellStart"/>
      <w:r w:rsidR="004518D4" w:rsidRPr="001C3EC8">
        <w:rPr>
          <w:color w:val="000000" w:themeColor="text1"/>
        </w:rPr>
        <w:t>Af</w:t>
      </w:r>
      <w:proofErr w:type="spellEnd"/>
      <w:r w:rsidRPr="001C3EC8">
        <w:rPr>
          <w:color w:val="000000" w:themeColor="text1"/>
        </w:rPr>
        <w:t xml:space="preserve"> tvoří výrazně větší část počtu nevyřízených věcí, než je její podíl na celkovém počtu ve věcech příchozích. U soudu </w:t>
      </w:r>
      <w:r w:rsidR="004518D4" w:rsidRPr="001C3EC8">
        <w:rPr>
          <w:color w:val="000000" w:themeColor="text1"/>
        </w:rPr>
        <w:t>tak</w:t>
      </w:r>
      <w:r w:rsidRPr="001C3EC8">
        <w:rPr>
          <w:color w:val="000000" w:themeColor="text1"/>
        </w:rPr>
        <w:t xml:space="preserve"> zůstávají tyto věci v průměru nejdéle nevyřízené</w:t>
      </w:r>
      <w:r w:rsidR="004518D4" w:rsidRPr="001C3EC8">
        <w:rPr>
          <w:color w:val="000000" w:themeColor="text1"/>
        </w:rPr>
        <w:t xml:space="preserve">, což </w:t>
      </w:r>
      <w:r w:rsidRPr="001C3EC8">
        <w:rPr>
          <w:color w:val="000000" w:themeColor="text1"/>
        </w:rPr>
        <w:t>potvrzuje i délka řízení získaná z pravomocně skončených věcí.</w:t>
      </w:r>
    </w:p>
    <w:p w14:paraId="43990537" w14:textId="7A02C921" w:rsidR="008430BD" w:rsidRPr="001C3EC8" w:rsidRDefault="008430BD" w:rsidP="008430BD">
      <w:pPr>
        <w:pStyle w:val="Podnadpis"/>
        <w:rPr>
          <w:color w:val="000000" w:themeColor="text1"/>
        </w:rPr>
      </w:pPr>
      <w:bookmarkStart w:id="614" w:name="_Toc515871492"/>
      <w:bookmarkStart w:id="615" w:name="_Toc11133259"/>
      <w:bookmarkStart w:id="616" w:name="_Toc43931238"/>
      <w:bookmarkStart w:id="617" w:name="_Toc75952371"/>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68</w:t>
      </w:r>
      <w:r w:rsidRPr="001C3EC8">
        <w:rPr>
          <w:noProof/>
          <w:color w:val="000000" w:themeColor="text1"/>
        </w:rPr>
        <w:fldChar w:fldCharType="end"/>
      </w:r>
      <w:r w:rsidRPr="001C3EC8">
        <w:rPr>
          <w:color w:val="000000" w:themeColor="text1"/>
        </w:rPr>
        <w:t>: KS – podíl nevyřízených věcí druhů agendy správního soudnictví</w:t>
      </w:r>
      <w:bookmarkEnd w:id="614"/>
      <w:bookmarkEnd w:id="615"/>
      <w:bookmarkEnd w:id="616"/>
      <w:bookmarkEnd w:id="617"/>
    </w:p>
    <w:tbl>
      <w:tblPr>
        <w:tblW w:w="6200" w:type="dxa"/>
        <w:tblCellMar>
          <w:left w:w="70" w:type="dxa"/>
          <w:right w:w="70" w:type="dxa"/>
        </w:tblCellMar>
        <w:tblLook w:val="04A0" w:firstRow="1" w:lastRow="0" w:firstColumn="1" w:lastColumn="0" w:noHBand="0" w:noVBand="1"/>
      </w:tblPr>
      <w:tblGrid>
        <w:gridCol w:w="2200"/>
        <w:gridCol w:w="1000"/>
        <w:gridCol w:w="1000"/>
        <w:gridCol w:w="1000"/>
        <w:gridCol w:w="1000"/>
      </w:tblGrid>
      <w:tr w:rsidR="008430BD" w:rsidRPr="001C3EC8" w14:paraId="0AB2820A" w14:textId="77777777" w:rsidTr="00E077F3">
        <w:trPr>
          <w:trHeight w:val="345"/>
        </w:trPr>
        <w:tc>
          <w:tcPr>
            <w:tcW w:w="2200" w:type="dxa"/>
            <w:vMerge w:val="restart"/>
            <w:tcBorders>
              <w:top w:val="double" w:sz="6" w:space="0" w:color="auto"/>
              <w:left w:val="nil"/>
              <w:bottom w:val="double" w:sz="6" w:space="0" w:color="000000"/>
              <w:right w:val="nil"/>
            </w:tcBorders>
            <w:shd w:val="clear" w:color="auto" w:fill="auto"/>
            <w:vAlign w:val="center"/>
            <w:hideMark/>
          </w:tcPr>
          <w:p w14:paraId="6069E1C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4000" w:type="dxa"/>
            <w:gridSpan w:val="4"/>
            <w:tcBorders>
              <w:top w:val="double" w:sz="6" w:space="0" w:color="auto"/>
              <w:left w:val="nil"/>
              <w:bottom w:val="nil"/>
              <w:right w:val="nil"/>
            </w:tcBorders>
            <w:shd w:val="clear" w:color="auto" w:fill="auto"/>
            <w:noWrap/>
            <w:vAlign w:val="bottom"/>
            <w:hideMark/>
          </w:tcPr>
          <w:p w14:paraId="59075E1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Agenda</w:t>
            </w:r>
          </w:p>
        </w:tc>
      </w:tr>
      <w:tr w:rsidR="008430BD" w:rsidRPr="001C3EC8" w14:paraId="5D494FB3" w14:textId="77777777" w:rsidTr="00E077F3">
        <w:trPr>
          <w:trHeight w:val="345"/>
        </w:trPr>
        <w:tc>
          <w:tcPr>
            <w:tcW w:w="2200" w:type="dxa"/>
            <w:vMerge/>
            <w:tcBorders>
              <w:top w:val="double" w:sz="6" w:space="0" w:color="auto"/>
              <w:left w:val="nil"/>
              <w:bottom w:val="double" w:sz="6" w:space="0" w:color="000000"/>
              <w:right w:val="nil"/>
            </w:tcBorders>
            <w:vAlign w:val="center"/>
            <w:hideMark/>
          </w:tcPr>
          <w:p w14:paraId="7D3364A3"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000" w:type="dxa"/>
            <w:tcBorders>
              <w:top w:val="nil"/>
              <w:left w:val="nil"/>
              <w:bottom w:val="double" w:sz="6" w:space="0" w:color="auto"/>
              <w:right w:val="nil"/>
            </w:tcBorders>
            <w:shd w:val="clear" w:color="auto" w:fill="auto"/>
            <w:vAlign w:val="center"/>
            <w:hideMark/>
          </w:tcPr>
          <w:p w14:paraId="37A8CB7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A</w:t>
            </w:r>
          </w:p>
        </w:tc>
        <w:tc>
          <w:tcPr>
            <w:tcW w:w="1000" w:type="dxa"/>
            <w:tcBorders>
              <w:top w:val="nil"/>
              <w:left w:val="nil"/>
              <w:bottom w:val="double" w:sz="6" w:space="0" w:color="auto"/>
              <w:right w:val="nil"/>
            </w:tcBorders>
            <w:shd w:val="clear" w:color="auto" w:fill="auto"/>
            <w:vAlign w:val="center"/>
            <w:hideMark/>
          </w:tcPr>
          <w:p w14:paraId="61922649"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Af</w:t>
            </w:r>
            <w:proofErr w:type="spellEnd"/>
          </w:p>
        </w:tc>
        <w:tc>
          <w:tcPr>
            <w:tcW w:w="1000" w:type="dxa"/>
            <w:tcBorders>
              <w:top w:val="nil"/>
              <w:left w:val="nil"/>
              <w:bottom w:val="double" w:sz="6" w:space="0" w:color="auto"/>
              <w:right w:val="nil"/>
            </w:tcBorders>
            <w:shd w:val="clear" w:color="auto" w:fill="auto"/>
            <w:vAlign w:val="center"/>
            <w:hideMark/>
          </w:tcPr>
          <w:p w14:paraId="3ED3B61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Ad</w:t>
            </w:r>
          </w:p>
        </w:tc>
        <w:tc>
          <w:tcPr>
            <w:tcW w:w="1000" w:type="dxa"/>
            <w:tcBorders>
              <w:top w:val="nil"/>
              <w:left w:val="nil"/>
              <w:bottom w:val="double" w:sz="6" w:space="0" w:color="auto"/>
              <w:right w:val="nil"/>
            </w:tcBorders>
            <w:shd w:val="clear" w:color="auto" w:fill="auto"/>
            <w:vAlign w:val="center"/>
            <w:hideMark/>
          </w:tcPr>
          <w:p w14:paraId="5AFDFFC0"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Az</w:t>
            </w:r>
            <w:proofErr w:type="spellEnd"/>
          </w:p>
        </w:tc>
      </w:tr>
      <w:tr w:rsidR="008430BD" w:rsidRPr="001C3EC8" w14:paraId="5DB79405" w14:textId="77777777" w:rsidTr="00E077F3">
        <w:trPr>
          <w:trHeight w:val="330"/>
        </w:trPr>
        <w:tc>
          <w:tcPr>
            <w:tcW w:w="2200" w:type="dxa"/>
            <w:tcBorders>
              <w:top w:val="nil"/>
              <w:left w:val="nil"/>
              <w:bottom w:val="single" w:sz="4" w:space="0" w:color="auto"/>
              <w:right w:val="nil"/>
            </w:tcBorders>
            <w:shd w:val="clear" w:color="auto" w:fill="auto"/>
            <w:noWrap/>
            <w:vAlign w:val="bottom"/>
            <w:hideMark/>
          </w:tcPr>
          <w:p w14:paraId="608375E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00" w:type="dxa"/>
            <w:tcBorders>
              <w:top w:val="nil"/>
              <w:left w:val="nil"/>
              <w:bottom w:val="single" w:sz="4" w:space="0" w:color="auto"/>
              <w:right w:val="nil"/>
            </w:tcBorders>
            <w:shd w:val="clear" w:color="auto" w:fill="auto"/>
            <w:noWrap/>
            <w:vAlign w:val="bottom"/>
            <w:hideMark/>
          </w:tcPr>
          <w:p w14:paraId="2E4EB3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58,93</w:t>
            </w:r>
          </w:p>
        </w:tc>
        <w:tc>
          <w:tcPr>
            <w:tcW w:w="1000" w:type="dxa"/>
            <w:tcBorders>
              <w:top w:val="nil"/>
              <w:left w:val="nil"/>
              <w:bottom w:val="single" w:sz="4" w:space="0" w:color="auto"/>
              <w:right w:val="nil"/>
            </w:tcBorders>
            <w:shd w:val="clear" w:color="auto" w:fill="auto"/>
            <w:noWrap/>
            <w:vAlign w:val="bottom"/>
            <w:hideMark/>
          </w:tcPr>
          <w:p w14:paraId="1C4154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20,30</w:t>
            </w:r>
          </w:p>
        </w:tc>
        <w:tc>
          <w:tcPr>
            <w:tcW w:w="1000" w:type="dxa"/>
            <w:tcBorders>
              <w:top w:val="nil"/>
              <w:left w:val="nil"/>
              <w:bottom w:val="single" w:sz="4" w:space="0" w:color="auto"/>
              <w:right w:val="nil"/>
            </w:tcBorders>
            <w:shd w:val="clear" w:color="auto" w:fill="auto"/>
            <w:noWrap/>
            <w:vAlign w:val="bottom"/>
            <w:hideMark/>
          </w:tcPr>
          <w:p w14:paraId="1141A68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13,24</w:t>
            </w:r>
          </w:p>
        </w:tc>
        <w:tc>
          <w:tcPr>
            <w:tcW w:w="1000" w:type="dxa"/>
            <w:tcBorders>
              <w:top w:val="nil"/>
              <w:left w:val="nil"/>
              <w:bottom w:val="single" w:sz="4" w:space="0" w:color="auto"/>
              <w:right w:val="nil"/>
            </w:tcBorders>
            <w:shd w:val="clear" w:color="auto" w:fill="auto"/>
            <w:noWrap/>
            <w:vAlign w:val="bottom"/>
            <w:hideMark/>
          </w:tcPr>
          <w:p w14:paraId="1E9F3B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7,53</w:t>
            </w:r>
          </w:p>
        </w:tc>
      </w:tr>
      <w:tr w:rsidR="008430BD" w:rsidRPr="001C3EC8" w14:paraId="419012F5" w14:textId="77777777" w:rsidTr="00E077F3">
        <w:trPr>
          <w:trHeight w:val="315"/>
        </w:trPr>
        <w:tc>
          <w:tcPr>
            <w:tcW w:w="2200" w:type="dxa"/>
            <w:tcBorders>
              <w:top w:val="nil"/>
              <w:left w:val="nil"/>
              <w:bottom w:val="single" w:sz="4" w:space="0" w:color="auto"/>
              <w:right w:val="nil"/>
            </w:tcBorders>
            <w:shd w:val="clear" w:color="auto" w:fill="auto"/>
            <w:noWrap/>
            <w:vAlign w:val="bottom"/>
            <w:hideMark/>
          </w:tcPr>
          <w:p w14:paraId="66B6725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00" w:type="dxa"/>
            <w:tcBorders>
              <w:top w:val="nil"/>
              <w:left w:val="nil"/>
              <w:bottom w:val="single" w:sz="4" w:space="0" w:color="auto"/>
              <w:right w:val="nil"/>
            </w:tcBorders>
            <w:shd w:val="clear" w:color="auto" w:fill="auto"/>
            <w:noWrap/>
            <w:vAlign w:val="bottom"/>
            <w:hideMark/>
          </w:tcPr>
          <w:p w14:paraId="004D240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56,42</w:t>
            </w:r>
          </w:p>
        </w:tc>
        <w:tc>
          <w:tcPr>
            <w:tcW w:w="1000" w:type="dxa"/>
            <w:tcBorders>
              <w:top w:val="nil"/>
              <w:left w:val="nil"/>
              <w:bottom w:val="single" w:sz="4" w:space="0" w:color="auto"/>
              <w:right w:val="nil"/>
            </w:tcBorders>
            <w:shd w:val="clear" w:color="auto" w:fill="auto"/>
            <w:noWrap/>
            <w:vAlign w:val="bottom"/>
            <w:hideMark/>
          </w:tcPr>
          <w:p w14:paraId="2A6B479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23,72</w:t>
            </w:r>
          </w:p>
        </w:tc>
        <w:tc>
          <w:tcPr>
            <w:tcW w:w="1000" w:type="dxa"/>
            <w:tcBorders>
              <w:top w:val="nil"/>
              <w:left w:val="nil"/>
              <w:bottom w:val="single" w:sz="4" w:space="0" w:color="auto"/>
              <w:right w:val="nil"/>
            </w:tcBorders>
            <w:shd w:val="clear" w:color="auto" w:fill="auto"/>
            <w:noWrap/>
            <w:vAlign w:val="bottom"/>
            <w:hideMark/>
          </w:tcPr>
          <w:p w14:paraId="70A6C7D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16,70</w:t>
            </w:r>
          </w:p>
        </w:tc>
        <w:tc>
          <w:tcPr>
            <w:tcW w:w="1000" w:type="dxa"/>
            <w:tcBorders>
              <w:top w:val="nil"/>
              <w:left w:val="nil"/>
              <w:bottom w:val="single" w:sz="4" w:space="0" w:color="auto"/>
              <w:right w:val="nil"/>
            </w:tcBorders>
            <w:shd w:val="clear" w:color="auto" w:fill="auto"/>
            <w:noWrap/>
            <w:vAlign w:val="bottom"/>
            <w:hideMark/>
          </w:tcPr>
          <w:p w14:paraId="494D9D1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3,16</w:t>
            </w:r>
          </w:p>
        </w:tc>
      </w:tr>
      <w:tr w:rsidR="008430BD" w:rsidRPr="001C3EC8" w14:paraId="6F767196" w14:textId="77777777" w:rsidTr="00E077F3">
        <w:trPr>
          <w:trHeight w:val="315"/>
        </w:trPr>
        <w:tc>
          <w:tcPr>
            <w:tcW w:w="2200" w:type="dxa"/>
            <w:tcBorders>
              <w:top w:val="nil"/>
              <w:left w:val="nil"/>
              <w:bottom w:val="single" w:sz="4" w:space="0" w:color="auto"/>
              <w:right w:val="nil"/>
            </w:tcBorders>
            <w:shd w:val="clear" w:color="auto" w:fill="auto"/>
            <w:noWrap/>
            <w:vAlign w:val="bottom"/>
            <w:hideMark/>
          </w:tcPr>
          <w:p w14:paraId="4F34232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00" w:type="dxa"/>
            <w:tcBorders>
              <w:top w:val="nil"/>
              <w:left w:val="nil"/>
              <w:bottom w:val="single" w:sz="4" w:space="0" w:color="auto"/>
              <w:right w:val="nil"/>
            </w:tcBorders>
            <w:shd w:val="clear" w:color="auto" w:fill="auto"/>
            <w:noWrap/>
            <w:vAlign w:val="bottom"/>
            <w:hideMark/>
          </w:tcPr>
          <w:p w14:paraId="1E35B3C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53,50</w:t>
            </w:r>
          </w:p>
        </w:tc>
        <w:tc>
          <w:tcPr>
            <w:tcW w:w="1000" w:type="dxa"/>
            <w:tcBorders>
              <w:top w:val="nil"/>
              <w:left w:val="nil"/>
              <w:bottom w:val="single" w:sz="4" w:space="0" w:color="auto"/>
              <w:right w:val="nil"/>
            </w:tcBorders>
            <w:shd w:val="clear" w:color="auto" w:fill="auto"/>
            <w:noWrap/>
            <w:vAlign w:val="bottom"/>
            <w:hideMark/>
          </w:tcPr>
          <w:p w14:paraId="0D3F02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28,03</w:t>
            </w:r>
          </w:p>
        </w:tc>
        <w:tc>
          <w:tcPr>
            <w:tcW w:w="1000" w:type="dxa"/>
            <w:tcBorders>
              <w:top w:val="nil"/>
              <w:left w:val="nil"/>
              <w:bottom w:val="single" w:sz="4" w:space="0" w:color="auto"/>
              <w:right w:val="nil"/>
            </w:tcBorders>
            <w:shd w:val="clear" w:color="auto" w:fill="auto"/>
            <w:noWrap/>
            <w:vAlign w:val="bottom"/>
            <w:hideMark/>
          </w:tcPr>
          <w:p w14:paraId="4549485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17,83</w:t>
            </w:r>
          </w:p>
        </w:tc>
        <w:tc>
          <w:tcPr>
            <w:tcW w:w="1000" w:type="dxa"/>
            <w:tcBorders>
              <w:top w:val="nil"/>
              <w:left w:val="nil"/>
              <w:bottom w:val="single" w:sz="4" w:space="0" w:color="auto"/>
              <w:right w:val="nil"/>
            </w:tcBorders>
            <w:shd w:val="clear" w:color="auto" w:fill="auto"/>
            <w:noWrap/>
            <w:vAlign w:val="bottom"/>
            <w:hideMark/>
          </w:tcPr>
          <w:p w14:paraId="2768830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0,64</w:t>
            </w:r>
          </w:p>
        </w:tc>
      </w:tr>
      <w:tr w:rsidR="008430BD" w:rsidRPr="001C3EC8" w14:paraId="69221291" w14:textId="77777777" w:rsidTr="00E077F3">
        <w:trPr>
          <w:trHeight w:val="315"/>
        </w:trPr>
        <w:tc>
          <w:tcPr>
            <w:tcW w:w="2200" w:type="dxa"/>
            <w:tcBorders>
              <w:top w:val="nil"/>
              <w:left w:val="nil"/>
              <w:bottom w:val="single" w:sz="4" w:space="0" w:color="auto"/>
              <w:right w:val="nil"/>
            </w:tcBorders>
            <w:shd w:val="clear" w:color="auto" w:fill="auto"/>
            <w:noWrap/>
            <w:vAlign w:val="bottom"/>
            <w:hideMark/>
          </w:tcPr>
          <w:p w14:paraId="2DF0787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00" w:type="dxa"/>
            <w:tcBorders>
              <w:top w:val="nil"/>
              <w:left w:val="nil"/>
              <w:bottom w:val="single" w:sz="4" w:space="0" w:color="auto"/>
              <w:right w:val="nil"/>
            </w:tcBorders>
            <w:shd w:val="clear" w:color="auto" w:fill="auto"/>
            <w:noWrap/>
            <w:vAlign w:val="bottom"/>
            <w:hideMark/>
          </w:tcPr>
          <w:p w14:paraId="7D4B039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60,97</w:t>
            </w:r>
          </w:p>
        </w:tc>
        <w:tc>
          <w:tcPr>
            <w:tcW w:w="1000" w:type="dxa"/>
            <w:tcBorders>
              <w:top w:val="nil"/>
              <w:left w:val="nil"/>
              <w:bottom w:val="single" w:sz="4" w:space="0" w:color="auto"/>
              <w:right w:val="nil"/>
            </w:tcBorders>
            <w:shd w:val="clear" w:color="auto" w:fill="auto"/>
            <w:noWrap/>
            <w:vAlign w:val="bottom"/>
            <w:hideMark/>
          </w:tcPr>
          <w:p w14:paraId="41D589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19,17</w:t>
            </w:r>
          </w:p>
        </w:tc>
        <w:tc>
          <w:tcPr>
            <w:tcW w:w="1000" w:type="dxa"/>
            <w:tcBorders>
              <w:top w:val="nil"/>
              <w:left w:val="nil"/>
              <w:bottom w:val="single" w:sz="4" w:space="0" w:color="auto"/>
              <w:right w:val="nil"/>
            </w:tcBorders>
            <w:shd w:val="clear" w:color="auto" w:fill="auto"/>
            <w:noWrap/>
            <w:vAlign w:val="bottom"/>
            <w:hideMark/>
          </w:tcPr>
          <w:p w14:paraId="3815591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14,55</w:t>
            </w:r>
          </w:p>
        </w:tc>
        <w:tc>
          <w:tcPr>
            <w:tcW w:w="1000" w:type="dxa"/>
            <w:tcBorders>
              <w:top w:val="nil"/>
              <w:left w:val="nil"/>
              <w:bottom w:val="single" w:sz="4" w:space="0" w:color="auto"/>
              <w:right w:val="nil"/>
            </w:tcBorders>
            <w:shd w:val="clear" w:color="auto" w:fill="auto"/>
            <w:noWrap/>
            <w:vAlign w:val="bottom"/>
            <w:hideMark/>
          </w:tcPr>
          <w:p w14:paraId="2606ACD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5,31</w:t>
            </w:r>
          </w:p>
        </w:tc>
      </w:tr>
      <w:tr w:rsidR="008430BD" w:rsidRPr="001C3EC8" w14:paraId="47A11644" w14:textId="77777777" w:rsidTr="00E077F3">
        <w:trPr>
          <w:trHeight w:val="315"/>
        </w:trPr>
        <w:tc>
          <w:tcPr>
            <w:tcW w:w="2200" w:type="dxa"/>
            <w:tcBorders>
              <w:top w:val="nil"/>
              <w:left w:val="nil"/>
              <w:bottom w:val="single" w:sz="4" w:space="0" w:color="auto"/>
              <w:right w:val="nil"/>
            </w:tcBorders>
            <w:shd w:val="clear" w:color="auto" w:fill="auto"/>
            <w:noWrap/>
            <w:vAlign w:val="bottom"/>
            <w:hideMark/>
          </w:tcPr>
          <w:p w14:paraId="5B2F29A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00" w:type="dxa"/>
            <w:tcBorders>
              <w:top w:val="nil"/>
              <w:left w:val="nil"/>
              <w:bottom w:val="single" w:sz="4" w:space="0" w:color="auto"/>
              <w:right w:val="nil"/>
            </w:tcBorders>
            <w:shd w:val="clear" w:color="auto" w:fill="auto"/>
            <w:noWrap/>
            <w:vAlign w:val="bottom"/>
            <w:hideMark/>
          </w:tcPr>
          <w:p w14:paraId="3B5ECC5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59,71</w:t>
            </w:r>
          </w:p>
        </w:tc>
        <w:tc>
          <w:tcPr>
            <w:tcW w:w="1000" w:type="dxa"/>
            <w:tcBorders>
              <w:top w:val="nil"/>
              <w:left w:val="nil"/>
              <w:bottom w:val="single" w:sz="4" w:space="0" w:color="auto"/>
              <w:right w:val="nil"/>
            </w:tcBorders>
            <w:shd w:val="clear" w:color="auto" w:fill="auto"/>
            <w:noWrap/>
            <w:vAlign w:val="bottom"/>
            <w:hideMark/>
          </w:tcPr>
          <w:p w14:paraId="3ED298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24,27</w:t>
            </w:r>
          </w:p>
        </w:tc>
        <w:tc>
          <w:tcPr>
            <w:tcW w:w="1000" w:type="dxa"/>
            <w:tcBorders>
              <w:top w:val="nil"/>
              <w:left w:val="nil"/>
              <w:bottom w:val="single" w:sz="4" w:space="0" w:color="auto"/>
              <w:right w:val="nil"/>
            </w:tcBorders>
            <w:shd w:val="clear" w:color="auto" w:fill="auto"/>
            <w:noWrap/>
            <w:vAlign w:val="bottom"/>
            <w:hideMark/>
          </w:tcPr>
          <w:p w14:paraId="3026A2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14,22</w:t>
            </w:r>
          </w:p>
        </w:tc>
        <w:tc>
          <w:tcPr>
            <w:tcW w:w="1000" w:type="dxa"/>
            <w:tcBorders>
              <w:top w:val="nil"/>
              <w:left w:val="nil"/>
              <w:bottom w:val="single" w:sz="4" w:space="0" w:color="auto"/>
              <w:right w:val="nil"/>
            </w:tcBorders>
            <w:shd w:val="clear" w:color="auto" w:fill="auto"/>
            <w:noWrap/>
            <w:vAlign w:val="bottom"/>
            <w:hideMark/>
          </w:tcPr>
          <w:p w14:paraId="5530AE7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1,81</w:t>
            </w:r>
          </w:p>
        </w:tc>
      </w:tr>
      <w:tr w:rsidR="008430BD" w:rsidRPr="001C3EC8" w14:paraId="17635CB4" w14:textId="77777777" w:rsidTr="00E077F3">
        <w:trPr>
          <w:trHeight w:val="315"/>
        </w:trPr>
        <w:tc>
          <w:tcPr>
            <w:tcW w:w="2200" w:type="dxa"/>
            <w:tcBorders>
              <w:top w:val="nil"/>
              <w:left w:val="nil"/>
              <w:bottom w:val="single" w:sz="4" w:space="0" w:color="auto"/>
              <w:right w:val="nil"/>
            </w:tcBorders>
            <w:shd w:val="clear" w:color="auto" w:fill="auto"/>
            <w:noWrap/>
            <w:vAlign w:val="bottom"/>
            <w:hideMark/>
          </w:tcPr>
          <w:p w14:paraId="09E01A2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00" w:type="dxa"/>
            <w:tcBorders>
              <w:top w:val="nil"/>
              <w:left w:val="nil"/>
              <w:bottom w:val="single" w:sz="4" w:space="0" w:color="auto"/>
              <w:right w:val="nil"/>
            </w:tcBorders>
            <w:shd w:val="clear" w:color="auto" w:fill="auto"/>
            <w:noWrap/>
            <w:vAlign w:val="bottom"/>
            <w:hideMark/>
          </w:tcPr>
          <w:p w14:paraId="75580FC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44,19</w:t>
            </w:r>
          </w:p>
        </w:tc>
        <w:tc>
          <w:tcPr>
            <w:tcW w:w="1000" w:type="dxa"/>
            <w:tcBorders>
              <w:top w:val="nil"/>
              <w:left w:val="nil"/>
              <w:bottom w:val="single" w:sz="4" w:space="0" w:color="auto"/>
              <w:right w:val="nil"/>
            </w:tcBorders>
            <w:shd w:val="clear" w:color="auto" w:fill="auto"/>
            <w:noWrap/>
            <w:vAlign w:val="bottom"/>
            <w:hideMark/>
          </w:tcPr>
          <w:p w14:paraId="4E6215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27,38</w:t>
            </w:r>
          </w:p>
        </w:tc>
        <w:tc>
          <w:tcPr>
            <w:tcW w:w="1000" w:type="dxa"/>
            <w:tcBorders>
              <w:top w:val="nil"/>
              <w:left w:val="nil"/>
              <w:bottom w:val="single" w:sz="4" w:space="0" w:color="auto"/>
              <w:right w:val="nil"/>
            </w:tcBorders>
            <w:shd w:val="clear" w:color="auto" w:fill="auto"/>
            <w:noWrap/>
            <w:vAlign w:val="bottom"/>
            <w:hideMark/>
          </w:tcPr>
          <w:p w14:paraId="23D89DF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13,52</w:t>
            </w:r>
          </w:p>
        </w:tc>
        <w:tc>
          <w:tcPr>
            <w:tcW w:w="1000" w:type="dxa"/>
            <w:tcBorders>
              <w:top w:val="nil"/>
              <w:left w:val="nil"/>
              <w:bottom w:val="single" w:sz="4" w:space="0" w:color="auto"/>
              <w:right w:val="nil"/>
            </w:tcBorders>
            <w:shd w:val="clear" w:color="auto" w:fill="auto"/>
            <w:noWrap/>
            <w:vAlign w:val="bottom"/>
            <w:hideMark/>
          </w:tcPr>
          <w:p w14:paraId="4830E8E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14,90</w:t>
            </w:r>
          </w:p>
        </w:tc>
      </w:tr>
      <w:tr w:rsidR="008430BD" w:rsidRPr="001C3EC8" w14:paraId="1F001600" w14:textId="77777777" w:rsidTr="00E077F3">
        <w:trPr>
          <w:trHeight w:val="315"/>
        </w:trPr>
        <w:tc>
          <w:tcPr>
            <w:tcW w:w="2200" w:type="dxa"/>
            <w:tcBorders>
              <w:top w:val="nil"/>
              <w:left w:val="nil"/>
              <w:bottom w:val="single" w:sz="4" w:space="0" w:color="auto"/>
              <w:right w:val="nil"/>
            </w:tcBorders>
            <w:shd w:val="clear" w:color="auto" w:fill="auto"/>
            <w:noWrap/>
            <w:vAlign w:val="bottom"/>
            <w:hideMark/>
          </w:tcPr>
          <w:p w14:paraId="59E8321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00" w:type="dxa"/>
            <w:tcBorders>
              <w:top w:val="nil"/>
              <w:left w:val="nil"/>
              <w:bottom w:val="single" w:sz="4" w:space="0" w:color="auto"/>
              <w:right w:val="nil"/>
            </w:tcBorders>
            <w:shd w:val="clear" w:color="auto" w:fill="auto"/>
            <w:noWrap/>
            <w:vAlign w:val="bottom"/>
            <w:hideMark/>
          </w:tcPr>
          <w:p w14:paraId="3BD782B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49,33</w:t>
            </w:r>
          </w:p>
        </w:tc>
        <w:tc>
          <w:tcPr>
            <w:tcW w:w="1000" w:type="dxa"/>
            <w:tcBorders>
              <w:top w:val="nil"/>
              <w:left w:val="nil"/>
              <w:bottom w:val="single" w:sz="4" w:space="0" w:color="auto"/>
              <w:right w:val="nil"/>
            </w:tcBorders>
            <w:shd w:val="clear" w:color="auto" w:fill="auto"/>
            <w:noWrap/>
            <w:vAlign w:val="bottom"/>
            <w:hideMark/>
          </w:tcPr>
          <w:p w14:paraId="55BF5E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27,45</w:t>
            </w:r>
          </w:p>
        </w:tc>
        <w:tc>
          <w:tcPr>
            <w:tcW w:w="1000" w:type="dxa"/>
            <w:tcBorders>
              <w:top w:val="nil"/>
              <w:left w:val="nil"/>
              <w:bottom w:val="single" w:sz="4" w:space="0" w:color="auto"/>
              <w:right w:val="nil"/>
            </w:tcBorders>
            <w:shd w:val="clear" w:color="auto" w:fill="auto"/>
            <w:noWrap/>
            <w:vAlign w:val="bottom"/>
            <w:hideMark/>
          </w:tcPr>
          <w:p w14:paraId="2992BC4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11,06</w:t>
            </w:r>
          </w:p>
        </w:tc>
        <w:tc>
          <w:tcPr>
            <w:tcW w:w="1000" w:type="dxa"/>
            <w:tcBorders>
              <w:top w:val="nil"/>
              <w:left w:val="nil"/>
              <w:bottom w:val="single" w:sz="4" w:space="0" w:color="auto"/>
              <w:right w:val="nil"/>
            </w:tcBorders>
            <w:shd w:val="clear" w:color="auto" w:fill="auto"/>
            <w:noWrap/>
            <w:vAlign w:val="bottom"/>
            <w:hideMark/>
          </w:tcPr>
          <w:p w14:paraId="7D4D71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12,15</w:t>
            </w:r>
          </w:p>
        </w:tc>
      </w:tr>
      <w:tr w:rsidR="008430BD" w:rsidRPr="001C3EC8" w14:paraId="7CBF9442" w14:textId="77777777" w:rsidTr="00E077F3">
        <w:trPr>
          <w:trHeight w:val="330"/>
        </w:trPr>
        <w:tc>
          <w:tcPr>
            <w:tcW w:w="2200" w:type="dxa"/>
            <w:tcBorders>
              <w:top w:val="nil"/>
              <w:left w:val="nil"/>
              <w:bottom w:val="double" w:sz="6" w:space="0" w:color="auto"/>
              <w:right w:val="nil"/>
            </w:tcBorders>
            <w:shd w:val="clear" w:color="auto" w:fill="auto"/>
            <w:noWrap/>
            <w:vAlign w:val="bottom"/>
            <w:hideMark/>
          </w:tcPr>
          <w:p w14:paraId="6158CA0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00" w:type="dxa"/>
            <w:tcBorders>
              <w:top w:val="nil"/>
              <w:left w:val="nil"/>
              <w:bottom w:val="double" w:sz="6" w:space="0" w:color="auto"/>
              <w:right w:val="nil"/>
            </w:tcBorders>
            <w:shd w:val="clear" w:color="auto" w:fill="auto"/>
            <w:noWrap/>
            <w:vAlign w:val="bottom"/>
            <w:hideMark/>
          </w:tcPr>
          <w:p w14:paraId="264C3C9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37,67</w:t>
            </w:r>
          </w:p>
        </w:tc>
        <w:tc>
          <w:tcPr>
            <w:tcW w:w="1000" w:type="dxa"/>
            <w:tcBorders>
              <w:top w:val="nil"/>
              <w:left w:val="nil"/>
              <w:bottom w:val="double" w:sz="6" w:space="0" w:color="auto"/>
              <w:right w:val="nil"/>
            </w:tcBorders>
            <w:shd w:val="clear" w:color="auto" w:fill="auto"/>
            <w:noWrap/>
            <w:vAlign w:val="bottom"/>
            <w:hideMark/>
          </w:tcPr>
          <w:p w14:paraId="55BCA3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36,21</w:t>
            </w:r>
          </w:p>
        </w:tc>
        <w:tc>
          <w:tcPr>
            <w:tcW w:w="1000" w:type="dxa"/>
            <w:tcBorders>
              <w:top w:val="nil"/>
              <w:left w:val="nil"/>
              <w:bottom w:val="double" w:sz="6" w:space="0" w:color="auto"/>
              <w:right w:val="nil"/>
            </w:tcBorders>
            <w:shd w:val="clear" w:color="auto" w:fill="auto"/>
            <w:noWrap/>
            <w:vAlign w:val="bottom"/>
            <w:hideMark/>
          </w:tcPr>
          <w:p w14:paraId="40E4C5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16,52</w:t>
            </w:r>
          </w:p>
        </w:tc>
        <w:tc>
          <w:tcPr>
            <w:tcW w:w="1000" w:type="dxa"/>
            <w:tcBorders>
              <w:top w:val="nil"/>
              <w:left w:val="nil"/>
              <w:bottom w:val="double" w:sz="6" w:space="0" w:color="auto"/>
              <w:right w:val="nil"/>
            </w:tcBorders>
            <w:shd w:val="clear" w:color="auto" w:fill="auto"/>
            <w:noWrap/>
            <w:vAlign w:val="bottom"/>
            <w:hideMark/>
          </w:tcPr>
          <w:p w14:paraId="23793A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9,60</w:t>
            </w:r>
          </w:p>
        </w:tc>
      </w:tr>
      <w:tr w:rsidR="008430BD" w:rsidRPr="001C3EC8" w14:paraId="20B7EF6B" w14:textId="77777777" w:rsidTr="00E077F3">
        <w:trPr>
          <w:trHeight w:val="345"/>
        </w:trPr>
        <w:tc>
          <w:tcPr>
            <w:tcW w:w="2200" w:type="dxa"/>
            <w:tcBorders>
              <w:top w:val="nil"/>
              <w:left w:val="nil"/>
              <w:bottom w:val="double" w:sz="6" w:space="0" w:color="auto"/>
              <w:right w:val="nil"/>
            </w:tcBorders>
            <w:shd w:val="clear" w:color="auto" w:fill="auto"/>
            <w:noWrap/>
            <w:vAlign w:val="bottom"/>
            <w:hideMark/>
          </w:tcPr>
          <w:p w14:paraId="5CA7AFD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00" w:type="dxa"/>
            <w:tcBorders>
              <w:top w:val="nil"/>
              <w:left w:val="nil"/>
              <w:bottom w:val="double" w:sz="6" w:space="0" w:color="auto"/>
              <w:right w:val="nil"/>
            </w:tcBorders>
            <w:shd w:val="clear" w:color="auto" w:fill="auto"/>
            <w:noWrap/>
            <w:vAlign w:val="bottom"/>
            <w:hideMark/>
          </w:tcPr>
          <w:p w14:paraId="2810F14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54,03</w:t>
            </w:r>
          </w:p>
        </w:tc>
        <w:tc>
          <w:tcPr>
            <w:tcW w:w="1000" w:type="dxa"/>
            <w:tcBorders>
              <w:top w:val="nil"/>
              <w:left w:val="nil"/>
              <w:bottom w:val="double" w:sz="6" w:space="0" w:color="auto"/>
              <w:right w:val="nil"/>
            </w:tcBorders>
            <w:shd w:val="clear" w:color="auto" w:fill="auto"/>
            <w:noWrap/>
            <w:vAlign w:val="bottom"/>
            <w:hideMark/>
          </w:tcPr>
          <w:p w14:paraId="2D049FB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24,38</w:t>
            </w:r>
          </w:p>
        </w:tc>
        <w:tc>
          <w:tcPr>
            <w:tcW w:w="1000" w:type="dxa"/>
            <w:tcBorders>
              <w:top w:val="nil"/>
              <w:left w:val="nil"/>
              <w:bottom w:val="double" w:sz="6" w:space="0" w:color="auto"/>
              <w:right w:val="nil"/>
            </w:tcBorders>
            <w:shd w:val="clear" w:color="auto" w:fill="auto"/>
            <w:noWrap/>
            <w:vAlign w:val="bottom"/>
            <w:hideMark/>
          </w:tcPr>
          <w:p w14:paraId="256FD31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13,64</w:t>
            </w:r>
          </w:p>
        </w:tc>
        <w:tc>
          <w:tcPr>
            <w:tcW w:w="1000" w:type="dxa"/>
            <w:tcBorders>
              <w:top w:val="nil"/>
              <w:left w:val="nil"/>
              <w:bottom w:val="double" w:sz="6" w:space="0" w:color="auto"/>
              <w:right w:val="nil"/>
            </w:tcBorders>
            <w:shd w:val="clear" w:color="auto" w:fill="auto"/>
            <w:noWrap/>
            <w:vAlign w:val="bottom"/>
            <w:hideMark/>
          </w:tcPr>
          <w:p w14:paraId="4E013E1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7,95</w:t>
            </w:r>
          </w:p>
        </w:tc>
      </w:tr>
    </w:tbl>
    <w:p w14:paraId="4B68A766" w14:textId="77777777" w:rsidR="008430BD" w:rsidRPr="001C3EC8" w:rsidRDefault="008430BD" w:rsidP="008430BD">
      <w:pPr>
        <w:rPr>
          <w:color w:val="000000" w:themeColor="text1"/>
        </w:rPr>
      </w:pPr>
    </w:p>
    <w:p w14:paraId="08EAD17E" w14:textId="77777777" w:rsidR="008430BD" w:rsidRPr="001C3EC8" w:rsidRDefault="008430BD" w:rsidP="008430BD">
      <w:pPr>
        <w:pStyle w:val="Nadpis3"/>
        <w:numPr>
          <w:ilvl w:val="2"/>
          <w:numId w:val="1"/>
        </w:numPr>
        <w:rPr>
          <w:color w:val="000000" w:themeColor="text1"/>
        </w:rPr>
      </w:pPr>
      <w:bookmarkStart w:id="618" w:name="_Toc515871269"/>
      <w:bookmarkStart w:id="619" w:name="_Toc75952111"/>
      <w:r w:rsidRPr="001C3EC8">
        <w:rPr>
          <w:color w:val="000000" w:themeColor="text1"/>
        </w:rPr>
        <w:t>Vyřizování věcí v přepočtu na soudce</w:t>
      </w:r>
      <w:bookmarkEnd w:id="618"/>
      <w:bookmarkEnd w:id="619"/>
    </w:p>
    <w:p w14:paraId="337395A8" w14:textId="40BCD6EC" w:rsidR="008430BD" w:rsidRPr="001C3EC8" w:rsidRDefault="008430BD" w:rsidP="008430BD">
      <w:pPr>
        <w:pStyle w:val="OdstavecASR"/>
        <w:rPr>
          <w:color w:val="000000" w:themeColor="text1"/>
        </w:rPr>
      </w:pPr>
      <w:r w:rsidRPr="001C3EC8">
        <w:rPr>
          <w:color w:val="000000" w:themeColor="text1"/>
        </w:rPr>
        <w:t>Na rozdíl od ostatních agend bylo možné počet soudců, kteří vyřizují správní agendu dohledat i v předchozích verzích zprávy. Tento rok nicméně budou využita data ze stejného zdroje jako u ostatních agend</w:t>
      </w:r>
      <w:r w:rsidR="00207659" w:rsidRPr="001C3EC8">
        <w:rPr>
          <w:color w:val="000000" w:themeColor="text1"/>
        </w:rPr>
        <w:t xml:space="preserve">, tedy údaje </w:t>
      </w:r>
      <w:r w:rsidR="00DE269E" w:rsidRPr="001C3EC8">
        <w:rPr>
          <w:color w:val="000000" w:themeColor="text1"/>
        </w:rPr>
        <w:t>o</w:t>
      </w:r>
      <w:r w:rsidR="00DE269E">
        <w:rPr>
          <w:color w:val="000000" w:themeColor="text1"/>
        </w:rPr>
        <w:t> </w:t>
      </w:r>
      <w:r w:rsidR="00207659" w:rsidRPr="001C3EC8">
        <w:rPr>
          <w:color w:val="000000" w:themeColor="text1"/>
        </w:rPr>
        <w:t>skutečném počtu úvazků získané dotazníkovým šetřením od soudů.</w:t>
      </w:r>
    </w:p>
    <w:p w14:paraId="7441216C" w14:textId="19A32427" w:rsidR="008430BD" w:rsidRPr="001C3EC8" w:rsidRDefault="008430BD" w:rsidP="008430BD">
      <w:pPr>
        <w:pStyle w:val="OdstavecASR"/>
        <w:rPr>
          <w:color w:val="000000" w:themeColor="text1"/>
        </w:rPr>
      </w:pPr>
      <w:r w:rsidRPr="001C3EC8">
        <w:rPr>
          <w:color w:val="000000" w:themeColor="text1"/>
        </w:rPr>
        <w:t>V</w:t>
      </w:r>
      <w:r w:rsidR="00DE269E">
        <w:rPr>
          <w:color w:val="000000" w:themeColor="text1"/>
        </w:rPr>
        <w:t> </w:t>
      </w:r>
      <w:r w:rsidRPr="001C3EC8">
        <w:rPr>
          <w:color w:val="000000" w:themeColor="text1"/>
        </w:rPr>
        <w:t>tabulce</w:t>
      </w:r>
      <w:r w:rsidR="00DE269E">
        <w:rPr>
          <w:color w:val="000000" w:themeColor="text1"/>
        </w:rPr>
        <w:t xml:space="preserve"> </w:t>
      </w:r>
      <w:r w:rsidRPr="001C3EC8">
        <w:rPr>
          <w:color w:val="000000" w:themeColor="text1"/>
        </w:rPr>
        <w:t xml:space="preserve">tedy uvádíme údaje, kde je počet soudců (úvazků) k 1. 1. 2021. Údaje </w:t>
      </w:r>
      <w:r w:rsidR="00DE269E" w:rsidRPr="001C3EC8">
        <w:rPr>
          <w:color w:val="000000" w:themeColor="text1"/>
        </w:rPr>
        <w:t>o</w:t>
      </w:r>
      <w:r w:rsidR="00DE269E">
        <w:rPr>
          <w:color w:val="000000" w:themeColor="text1"/>
        </w:rPr>
        <w:t> </w:t>
      </w:r>
      <w:r w:rsidRPr="001C3EC8">
        <w:rPr>
          <w:color w:val="000000" w:themeColor="text1"/>
        </w:rPr>
        <w:t xml:space="preserve">nápadu, obživě </w:t>
      </w:r>
      <w:r w:rsidR="00DE269E" w:rsidRPr="001C3EC8">
        <w:rPr>
          <w:color w:val="000000" w:themeColor="text1"/>
        </w:rPr>
        <w:t>a</w:t>
      </w:r>
      <w:r w:rsidR="00DE269E">
        <w:rPr>
          <w:color w:val="000000" w:themeColor="text1"/>
        </w:rPr>
        <w:t> </w:t>
      </w:r>
      <w:r w:rsidRPr="001C3EC8">
        <w:rPr>
          <w:color w:val="000000" w:themeColor="text1"/>
        </w:rPr>
        <w:t xml:space="preserve">vyřízených věcech jsou za rok 2020. Data </w:t>
      </w:r>
      <w:r w:rsidR="00DE269E" w:rsidRPr="001C3EC8">
        <w:rPr>
          <w:color w:val="000000" w:themeColor="text1"/>
        </w:rPr>
        <w:t>o</w:t>
      </w:r>
      <w:r w:rsidR="00DE269E">
        <w:rPr>
          <w:color w:val="000000" w:themeColor="text1"/>
        </w:rPr>
        <w:t> </w:t>
      </w:r>
      <w:r w:rsidRPr="001C3EC8">
        <w:rPr>
          <w:color w:val="000000" w:themeColor="text1"/>
        </w:rPr>
        <w:t>počtu nevyřízených věcí jsou k 31. 12. 2020.</w:t>
      </w:r>
    </w:p>
    <w:p w14:paraId="5632BC35" w14:textId="3F95DFC4" w:rsidR="00B07E76" w:rsidRDefault="008430BD" w:rsidP="008430BD">
      <w:pPr>
        <w:pStyle w:val="OdstavecASR"/>
        <w:rPr>
          <w:color w:val="000000" w:themeColor="text1"/>
        </w:rPr>
      </w:pPr>
      <w:bookmarkStart w:id="620" w:name="_Toc43931239"/>
      <w:r w:rsidRPr="001C3EC8">
        <w:rPr>
          <w:color w:val="000000" w:themeColor="text1"/>
        </w:rPr>
        <w:t xml:space="preserve">V předchozím roce byl počet soudců 98, nyní je 113. To je nárůst </w:t>
      </w:r>
      <w:r w:rsidR="00DE269E" w:rsidRPr="001C3EC8">
        <w:rPr>
          <w:color w:val="000000" w:themeColor="text1"/>
        </w:rPr>
        <w:t>o</w:t>
      </w:r>
      <w:r w:rsidR="00DE269E">
        <w:rPr>
          <w:color w:val="000000" w:themeColor="text1"/>
        </w:rPr>
        <w:t> </w:t>
      </w:r>
      <w:r w:rsidRPr="001C3EC8">
        <w:rPr>
          <w:color w:val="000000" w:themeColor="text1"/>
        </w:rPr>
        <w:t>15 soudců (15</w:t>
      </w:r>
      <w:r w:rsidR="00DE269E">
        <w:rPr>
          <w:color w:val="000000" w:themeColor="text1"/>
        </w:rPr>
        <w:t> </w:t>
      </w:r>
      <w:r w:rsidRPr="001C3EC8">
        <w:rPr>
          <w:color w:val="000000" w:themeColor="text1"/>
        </w:rPr>
        <w:t>%). To spolu s poklesem v nápadu soudům umožnilo vyřídit mnohem více věcí, než jich na soudy přišlo.</w:t>
      </w:r>
    </w:p>
    <w:p w14:paraId="4625EB5E" w14:textId="0996080A" w:rsidR="008430BD" w:rsidRPr="001C3EC8" w:rsidRDefault="008430BD" w:rsidP="008430BD">
      <w:pPr>
        <w:pStyle w:val="OdstavecASR"/>
        <w:rPr>
          <w:color w:val="000000" w:themeColor="text1"/>
        </w:rPr>
      </w:pPr>
      <w:r w:rsidRPr="001C3EC8">
        <w:rPr>
          <w:color w:val="000000" w:themeColor="text1"/>
        </w:rPr>
        <w:t xml:space="preserve">V tabulce </w:t>
      </w:r>
      <w:r w:rsidR="00060216" w:rsidRPr="001C3EC8">
        <w:rPr>
          <w:color w:val="000000" w:themeColor="text1"/>
        </w:rPr>
        <w:t>na první</w:t>
      </w:r>
      <w:r w:rsidRPr="001C3EC8">
        <w:rPr>
          <w:color w:val="000000" w:themeColor="text1"/>
        </w:rPr>
        <w:t xml:space="preserve"> pohled upoutá KS Hradec Králové, který má v porovnání s ostatními krajskými soudy zjevně silnější zastoupení soudců na správním úseku. V počtu nevyřízených věcí si dle očekávání špatně vede MS Praha</w:t>
      </w:r>
      <w:r w:rsidR="00596893" w:rsidRPr="001C3EC8">
        <w:rPr>
          <w:color w:val="000000" w:themeColor="text1"/>
        </w:rPr>
        <w:t>,</w:t>
      </w:r>
      <w:r w:rsidRPr="001C3EC8">
        <w:rPr>
          <w:color w:val="000000" w:themeColor="text1"/>
        </w:rPr>
        <w:t xml:space="preserve"> KS Brno. Tyto tři soudy tedy zřejmě mají se správní agendou největší problémy, čemuž nasvědčují </w:t>
      </w:r>
      <w:r w:rsidR="00DE269E" w:rsidRPr="001C3EC8">
        <w:rPr>
          <w:color w:val="000000" w:themeColor="text1"/>
        </w:rPr>
        <w:t>i</w:t>
      </w:r>
      <w:r w:rsidR="00DE269E">
        <w:rPr>
          <w:color w:val="000000" w:themeColor="text1"/>
        </w:rPr>
        <w:t> </w:t>
      </w:r>
      <w:r w:rsidRPr="001C3EC8">
        <w:rPr>
          <w:color w:val="000000" w:themeColor="text1"/>
        </w:rPr>
        <w:t>délky řízení</w:t>
      </w:r>
      <w:r w:rsidR="00596893" w:rsidRPr="001C3EC8">
        <w:rPr>
          <w:color w:val="000000" w:themeColor="text1"/>
        </w:rPr>
        <w:t xml:space="preserve"> </w:t>
      </w:r>
      <w:r w:rsidR="00DE269E" w:rsidRPr="001C3EC8">
        <w:rPr>
          <w:color w:val="000000" w:themeColor="text1"/>
        </w:rPr>
        <w:t>a</w:t>
      </w:r>
      <w:r w:rsidR="00DE269E">
        <w:rPr>
          <w:color w:val="000000" w:themeColor="text1"/>
        </w:rPr>
        <w:t> </w:t>
      </w:r>
      <w:r w:rsidR="00596893" w:rsidRPr="001C3EC8">
        <w:rPr>
          <w:color w:val="000000" w:themeColor="text1"/>
        </w:rPr>
        <w:t>KS Ústí nad Labem</w:t>
      </w:r>
      <w:r w:rsidRPr="001C3EC8">
        <w:rPr>
          <w:color w:val="000000" w:themeColor="text1"/>
        </w:rPr>
        <w:t xml:space="preserve">. Velmi dobře se naopak daří Krajskému soudu v Českých Budějovicích, </w:t>
      </w:r>
      <w:r w:rsidR="00DE269E" w:rsidRPr="001C3EC8">
        <w:rPr>
          <w:color w:val="000000" w:themeColor="text1"/>
        </w:rPr>
        <w:t>a</w:t>
      </w:r>
      <w:r w:rsidR="00DE269E">
        <w:rPr>
          <w:color w:val="000000" w:themeColor="text1"/>
        </w:rPr>
        <w:t> </w:t>
      </w:r>
      <w:r w:rsidRPr="001C3EC8">
        <w:rPr>
          <w:color w:val="000000" w:themeColor="text1"/>
        </w:rPr>
        <w:t xml:space="preserve">to </w:t>
      </w:r>
      <w:r w:rsidR="00DE269E" w:rsidRPr="001C3EC8">
        <w:rPr>
          <w:color w:val="000000" w:themeColor="text1"/>
        </w:rPr>
        <w:t>i</w:t>
      </w:r>
      <w:r w:rsidR="00DE269E">
        <w:rPr>
          <w:color w:val="000000" w:themeColor="text1"/>
        </w:rPr>
        <w:t> </w:t>
      </w:r>
      <w:r w:rsidRPr="001C3EC8">
        <w:rPr>
          <w:color w:val="000000" w:themeColor="text1"/>
        </w:rPr>
        <w:t xml:space="preserve">přes nárůst v počtu nevyřízených věcí na soudce, který plyne ze změny v počtu soudců, </w:t>
      </w:r>
      <w:r w:rsidR="00060216" w:rsidRPr="001C3EC8">
        <w:rPr>
          <w:color w:val="000000" w:themeColor="text1"/>
        </w:rPr>
        <w:t xml:space="preserve">nikoliv </w:t>
      </w:r>
      <w:r w:rsidRPr="001C3EC8">
        <w:rPr>
          <w:color w:val="000000" w:themeColor="text1"/>
        </w:rPr>
        <w:t>ze změny v počtu nevyřízených věcí.</w:t>
      </w:r>
    </w:p>
    <w:p w14:paraId="37C34985" w14:textId="4A1CDD17" w:rsidR="008430BD" w:rsidRDefault="008430BD" w:rsidP="008430BD">
      <w:pPr>
        <w:pStyle w:val="OdstavecASR"/>
        <w:rPr>
          <w:color w:val="000000" w:themeColor="text1"/>
        </w:rPr>
      </w:pPr>
      <w:r w:rsidRPr="001C3EC8">
        <w:rPr>
          <w:color w:val="000000" w:themeColor="text1"/>
        </w:rPr>
        <w:t xml:space="preserve">Celkově vidíme, že počet nevyřízených věcí na soudce klesl téměř </w:t>
      </w:r>
      <w:r w:rsidR="00DE269E" w:rsidRPr="001C3EC8">
        <w:rPr>
          <w:color w:val="000000" w:themeColor="text1"/>
        </w:rPr>
        <w:t>o</w:t>
      </w:r>
      <w:r w:rsidR="00DE269E">
        <w:rPr>
          <w:color w:val="000000" w:themeColor="text1"/>
        </w:rPr>
        <w:t> </w:t>
      </w:r>
      <w:r w:rsidRPr="001C3EC8">
        <w:rPr>
          <w:color w:val="000000" w:themeColor="text1"/>
        </w:rPr>
        <w:t xml:space="preserve">čtvrtinu, </w:t>
      </w:r>
      <w:r w:rsidR="00DE269E" w:rsidRPr="001C3EC8">
        <w:rPr>
          <w:color w:val="000000" w:themeColor="text1"/>
        </w:rPr>
        <w:t>u</w:t>
      </w:r>
      <w:r w:rsidR="00DE269E">
        <w:rPr>
          <w:color w:val="000000" w:themeColor="text1"/>
        </w:rPr>
        <w:t> </w:t>
      </w:r>
      <w:r w:rsidRPr="001C3EC8">
        <w:rPr>
          <w:color w:val="000000" w:themeColor="text1"/>
        </w:rPr>
        <w:t xml:space="preserve">čtyř soudů dokonce více než </w:t>
      </w:r>
      <w:r w:rsidR="00DE269E" w:rsidRPr="001C3EC8">
        <w:rPr>
          <w:color w:val="000000" w:themeColor="text1"/>
        </w:rPr>
        <w:t>o</w:t>
      </w:r>
      <w:r w:rsidR="00DE269E">
        <w:rPr>
          <w:color w:val="000000" w:themeColor="text1"/>
        </w:rPr>
        <w:t> </w:t>
      </w:r>
      <w:r w:rsidRPr="001C3EC8">
        <w:rPr>
          <w:color w:val="000000" w:themeColor="text1"/>
        </w:rPr>
        <w:t>30</w:t>
      </w:r>
      <w:r w:rsidR="00DE269E">
        <w:rPr>
          <w:color w:val="000000" w:themeColor="text1"/>
        </w:rPr>
        <w:t> </w:t>
      </w:r>
      <w:r w:rsidRPr="001C3EC8">
        <w:rPr>
          <w:color w:val="000000" w:themeColor="text1"/>
        </w:rPr>
        <w:t>%. To rozhodně lze označit za velký úspěch.</w:t>
      </w:r>
    </w:p>
    <w:p w14:paraId="0D1213B8" w14:textId="624DC907" w:rsidR="00C96AD9" w:rsidRDefault="00C96AD9" w:rsidP="008430BD">
      <w:pPr>
        <w:pStyle w:val="OdstavecASR"/>
        <w:rPr>
          <w:color w:val="000000" w:themeColor="text1"/>
        </w:rPr>
      </w:pPr>
    </w:p>
    <w:p w14:paraId="5D25F007" w14:textId="27E5086B" w:rsidR="00C96AD9" w:rsidRDefault="00C96AD9" w:rsidP="008430BD">
      <w:pPr>
        <w:pStyle w:val="OdstavecASR"/>
        <w:rPr>
          <w:color w:val="000000" w:themeColor="text1"/>
        </w:rPr>
      </w:pPr>
    </w:p>
    <w:p w14:paraId="1880C505" w14:textId="77777777" w:rsidR="00C96AD9" w:rsidRPr="001C3EC8" w:rsidRDefault="00C96AD9" w:rsidP="008430BD">
      <w:pPr>
        <w:pStyle w:val="OdstavecASR"/>
        <w:rPr>
          <w:color w:val="000000" w:themeColor="text1"/>
        </w:rPr>
      </w:pPr>
    </w:p>
    <w:p w14:paraId="59E85206" w14:textId="2CEB8C4F" w:rsidR="008430BD" w:rsidRPr="001C3EC8" w:rsidRDefault="008430BD" w:rsidP="008430BD">
      <w:pPr>
        <w:pStyle w:val="Podnadpis"/>
        <w:rPr>
          <w:color w:val="000000" w:themeColor="text1"/>
        </w:rPr>
      </w:pPr>
      <w:bookmarkStart w:id="621" w:name="_Toc75952372"/>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69</w:t>
      </w:r>
      <w:r w:rsidRPr="001C3EC8">
        <w:rPr>
          <w:noProof/>
          <w:color w:val="000000" w:themeColor="text1"/>
        </w:rPr>
        <w:fldChar w:fldCharType="end"/>
      </w:r>
      <w:r w:rsidRPr="001C3EC8">
        <w:rPr>
          <w:color w:val="000000" w:themeColor="text1"/>
        </w:rPr>
        <w:t xml:space="preserve">: KS – vyřizování správních věcí na </w:t>
      </w:r>
      <w:r w:rsidR="00F7096E">
        <w:rPr>
          <w:color w:val="000000" w:themeColor="text1"/>
        </w:rPr>
        <w:t>skutečný úvazek</w:t>
      </w:r>
      <w:r w:rsidR="00F7096E" w:rsidRPr="001C3EC8">
        <w:rPr>
          <w:color w:val="000000" w:themeColor="text1"/>
        </w:rPr>
        <w:t xml:space="preserve"> </w:t>
      </w:r>
      <w:r w:rsidRPr="001C3EC8">
        <w:rPr>
          <w:color w:val="000000" w:themeColor="text1"/>
        </w:rPr>
        <w:t>dle soudů</w:t>
      </w:r>
      <w:bookmarkEnd w:id="620"/>
      <w:bookmarkEnd w:id="621"/>
    </w:p>
    <w:tbl>
      <w:tblPr>
        <w:tblW w:w="9240" w:type="dxa"/>
        <w:tblCellMar>
          <w:left w:w="70" w:type="dxa"/>
          <w:right w:w="70" w:type="dxa"/>
        </w:tblCellMar>
        <w:tblLook w:val="04A0" w:firstRow="1" w:lastRow="0" w:firstColumn="1" w:lastColumn="0" w:noHBand="0" w:noVBand="1"/>
      </w:tblPr>
      <w:tblGrid>
        <w:gridCol w:w="2060"/>
        <w:gridCol w:w="1059"/>
        <w:gridCol w:w="1131"/>
        <w:gridCol w:w="868"/>
        <w:gridCol w:w="1131"/>
        <w:gridCol w:w="868"/>
        <w:gridCol w:w="1131"/>
        <w:gridCol w:w="992"/>
      </w:tblGrid>
      <w:tr w:rsidR="00963326" w:rsidRPr="001C3EC8" w14:paraId="54126265" w14:textId="77777777" w:rsidTr="00963326">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1FA56326" w14:textId="77777777" w:rsidR="00963326" w:rsidRPr="001C3EC8" w:rsidRDefault="00963326" w:rsidP="00963326">
            <w:pPr>
              <w:spacing w:line="240" w:lineRule="auto"/>
              <w:jc w:val="center"/>
              <w:rPr>
                <w:rFonts w:eastAsia="Times New Roman"/>
                <w:b/>
                <w:bCs/>
                <w:color w:val="000000" w:themeColor="text1"/>
                <w:szCs w:val="24"/>
                <w:lang w:eastAsia="cs-CZ"/>
              </w:rPr>
            </w:pPr>
            <w:bookmarkStart w:id="622" w:name="_Toc515871270"/>
            <w:r w:rsidRPr="001C3EC8">
              <w:rPr>
                <w:rFonts w:eastAsia="Times New Roman"/>
                <w:b/>
                <w:bCs/>
                <w:color w:val="000000" w:themeColor="text1"/>
                <w:szCs w:val="24"/>
                <w:lang w:eastAsia="cs-CZ"/>
              </w:rPr>
              <w:t>Nadřízený soud</w:t>
            </w:r>
          </w:p>
        </w:tc>
        <w:tc>
          <w:tcPr>
            <w:tcW w:w="1059" w:type="dxa"/>
            <w:vMerge w:val="restart"/>
            <w:tcBorders>
              <w:top w:val="double" w:sz="6" w:space="0" w:color="auto"/>
              <w:left w:val="nil"/>
              <w:bottom w:val="double" w:sz="6" w:space="0" w:color="000000"/>
              <w:right w:val="nil"/>
            </w:tcBorders>
            <w:shd w:val="clear" w:color="auto" w:fill="auto"/>
            <w:vAlign w:val="center"/>
            <w:hideMark/>
          </w:tcPr>
          <w:p w14:paraId="26D96533"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6121" w:type="dxa"/>
            <w:gridSpan w:val="6"/>
            <w:tcBorders>
              <w:top w:val="double" w:sz="6" w:space="0" w:color="auto"/>
              <w:left w:val="nil"/>
              <w:bottom w:val="nil"/>
              <w:right w:val="nil"/>
            </w:tcBorders>
            <w:shd w:val="clear" w:color="auto" w:fill="auto"/>
            <w:noWrap/>
            <w:vAlign w:val="center"/>
            <w:hideMark/>
          </w:tcPr>
          <w:p w14:paraId="7D0C186F"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963326" w:rsidRPr="001C3EC8" w14:paraId="62D15FA5" w14:textId="77777777" w:rsidTr="00963326">
        <w:trPr>
          <w:trHeight w:val="330"/>
        </w:trPr>
        <w:tc>
          <w:tcPr>
            <w:tcW w:w="2060" w:type="dxa"/>
            <w:vMerge/>
            <w:tcBorders>
              <w:top w:val="double" w:sz="6" w:space="0" w:color="auto"/>
              <w:left w:val="nil"/>
              <w:bottom w:val="double" w:sz="6" w:space="0" w:color="000000"/>
              <w:right w:val="nil"/>
            </w:tcBorders>
            <w:vAlign w:val="center"/>
            <w:hideMark/>
          </w:tcPr>
          <w:p w14:paraId="60559122" w14:textId="77777777" w:rsidR="00963326" w:rsidRPr="001C3EC8" w:rsidRDefault="00963326" w:rsidP="00963326">
            <w:pPr>
              <w:spacing w:line="240" w:lineRule="auto"/>
              <w:jc w:val="left"/>
              <w:rPr>
                <w:rFonts w:eastAsia="Times New Roman"/>
                <w:b/>
                <w:bCs/>
                <w:color w:val="000000" w:themeColor="text1"/>
                <w:szCs w:val="24"/>
                <w:lang w:eastAsia="cs-CZ"/>
              </w:rPr>
            </w:pPr>
          </w:p>
        </w:tc>
        <w:tc>
          <w:tcPr>
            <w:tcW w:w="1059" w:type="dxa"/>
            <w:vMerge/>
            <w:tcBorders>
              <w:top w:val="double" w:sz="6" w:space="0" w:color="auto"/>
              <w:left w:val="nil"/>
              <w:bottom w:val="double" w:sz="6" w:space="0" w:color="000000"/>
              <w:right w:val="nil"/>
            </w:tcBorders>
            <w:vAlign w:val="center"/>
            <w:hideMark/>
          </w:tcPr>
          <w:p w14:paraId="4DADBA64" w14:textId="77777777" w:rsidR="00963326" w:rsidRPr="001C3EC8" w:rsidRDefault="00963326" w:rsidP="00963326">
            <w:pPr>
              <w:spacing w:line="240" w:lineRule="auto"/>
              <w:jc w:val="left"/>
              <w:rPr>
                <w:rFonts w:eastAsia="Times New Roman"/>
                <w:b/>
                <w:bCs/>
                <w:color w:val="000000" w:themeColor="text1"/>
                <w:szCs w:val="24"/>
                <w:lang w:eastAsia="cs-CZ"/>
              </w:rPr>
            </w:pPr>
          </w:p>
        </w:tc>
        <w:tc>
          <w:tcPr>
            <w:tcW w:w="1999" w:type="dxa"/>
            <w:gridSpan w:val="2"/>
            <w:tcBorders>
              <w:top w:val="nil"/>
              <w:left w:val="nil"/>
              <w:bottom w:val="double" w:sz="6" w:space="0" w:color="auto"/>
              <w:right w:val="nil"/>
            </w:tcBorders>
            <w:shd w:val="clear" w:color="auto" w:fill="auto"/>
            <w:noWrap/>
            <w:vAlign w:val="center"/>
            <w:hideMark/>
          </w:tcPr>
          <w:p w14:paraId="1CD45D88"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9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A14DDA9"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2123" w:type="dxa"/>
            <w:gridSpan w:val="2"/>
            <w:tcBorders>
              <w:top w:val="nil"/>
              <w:left w:val="nil"/>
              <w:bottom w:val="double" w:sz="6" w:space="0" w:color="auto"/>
              <w:right w:val="nil"/>
            </w:tcBorders>
            <w:shd w:val="clear" w:color="auto" w:fill="auto"/>
            <w:noWrap/>
            <w:vAlign w:val="center"/>
            <w:hideMark/>
          </w:tcPr>
          <w:p w14:paraId="2D88592A" w14:textId="77777777"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963326" w:rsidRPr="001C3EC8" w14:paraId="3FA3D710" w14:textId="77777777" w:rsidTr="00963326">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154F3069"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059" w:type="dxa"/>
            <w:tcBorders>
              <w:top w:val="single" w:sz="4" w:space="0" w:color="auto"/>
              <w:left w:val="nil"/>
              <w:bottom w:val="single" w:sz="4" w:space="0" w:color="auto"/>
              <w:right w:val="nil"/>
            </w:tcBorders>
            <w:shd w:val="clear" w:color="auto" w:fill="auto"/>
            <w:noWrap/>
            <w:vAlign w:val="bottom"/>
            <w:hideMark/>
          </w:tcPr>
          <w:p w14:paraId="1A00DC1A" w14:textId="0B6567A2"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40,25</w:t>
            </w:r>
          </w:p>
        </w:tc>
        <w:tc>
          <w:tcPr>
            <w:tcW w:w="1131" w:type="dxa"/>
            <w:tcBorders>
              <w:top w:val="single" w:sz="4" w:space="0" w:color="auto"/>
              <w:left w:val="nil"/>
              <w:bottom w:val="single" w:sz="4" w:space="0" w:color="auto"/>
              <w:right w:val="nil"/>
            </w:tcBorders>
            <w:shd w:val="clear" w:color="auto" w:fill="auto"/>
            <w:noWrap/>
            <w:vAlign w:val="bottom"/>
            <w:hideMark/>
          </w:tcPr>
          <w:p w14:paraId="2E088E83" w14:textId="1FC29CDE"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79,01</w:t>
            </w:r>
          </w:p>
        </w:tc>
        <w:tc>
          <w:tcPr>
            <w:tcW w:w="868" w:type="dxa"/>
            <w:tcBorders>
              <w:top w:val="single" w:sz="4" w:space="0" w:color="auto"/>
              <w:left w:val="nil"/>
              <w:bottom w:val="single" w:sz="4" w:space="0" w:color="auto"/>
              <w:right w:val="nil"/>
            </w:tcBorders>
            <w:shd w:val="clear" w:color="auto" w:fill="auto"/>
            <w:noWrap/>
            <w:vAlign w:val="center"/>
            <w:hideMark/>
          </w:tcPr>
          <w:p w14:paraId="195012DB" w14:textId="1F864F9C"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2FF0182D" w14:textId="513672A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99,35</w:t>
            </w:r>
          </w:p>
        </w:tc>
        <w:tc>
          <w:tcPr>
            <w:tcW w:w="868" w:type="dxa"/>
            <w:tcBorders>
              <w:top w:val="nil"/>
              <w:left w:val="nil"/>
              <w:bottom w:val="single" w:sz="4" w:space="0" w:color="auto"/>
              <w:right w:val="single" w:sz="4" w:space="0" w:color="auto"/>
            </w:tcBorders>
            <w:shd w:val="clear" w:color="auto" w:fill="auto"/>
            <w:noWrap/>
            <w:vAlign w:val="center"/>
            <w:hideMark/>
          </w:tcPr>
          <w:p w14:paraId="28DC4E2A" w14:textId="2BD5CF83"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1131" w:type="dxa"/>
            <w:tcBorders>
              <w:top w:val="single" w:sz="4" w:space="0" w:color="auto"/>
              <w:left w:val="nil"/>
              <w:bottom w:val="single" w:sz="4" w:space="0" w:color="auto"/>
              <w:right w:val="nil"/>
            </w:tcBorders>
            <w:shd w:val="clear" w:color="auto" w:fill="auto"/>
            <w:noWrap/>
            <w:vAlign w:val="bottom"/>
            <w:hideMark/>
          </w:tcPr>
          <w:p w14:paraId="26AF769A" w14:textId="1297B049"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94,36</w:t>
            </w:r>
          </w:p>
        </w:tc>
        <w:tc>
          <w:tcPr>
            <w:tcW w:w="992" w:type="dxa"/>
            <w:tcBorders>
              <w:top w:val="single" w:sz="4" w:space="0" w:color="auto"/>
              <w:left w:val="nil"/>
              <w:bottom w:val="single" w:sz="4" w:space="0" w:color="auto"/>
              <w:right w:val="nil"/>
            </w:tcBorders>
            <w:shd w:val="clear" w:color="auto" w:fill="auto"/>
            <w:noWrap/>
            <w:vAlign w:val="center"/>
            <w:hideMark/>
          </w:tcPr>
          <w:p w14:paraId="3465C784" w14:textId="7D040D75"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-31 </w:t>
            </w:r>
            <w:r w:rsidR="00B07E76">
              <w:rPr>
                <w:rFonts w:eastAsia="Times New Roman"/>
                <w:color w:val="000000" w:themeColor="text1"/>
                <w:sz w:val="20"/>
                <w:szCs w:val="20"/>
                <w:lang w:eastAsia="cs-CZ"/>
              </w:rPr>
              <w:t>%</w:t>
            </w:r>
          </w:p>
        </w:tc>
      </w:tr>
      <w:tr w:rsidR="00963326" w:rsidRPr="001C3EC8" w14:paraId="6EC299AB"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0B7E5EED"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059" w:type="dxa"/>
            <w:tcBorders>
              <w:top w:val="nil"/>
              <w:left w:val="nil"/>
              <w:bottom w:val="single" w:sz="4" w:space="0" w:color="auto"/>
              <w:right w:val="nil"/>
            </w:tcBorders>
            <w:shd w:val="clear" w:color="auto" w:fill="auto"/>
            <w:noWrap/>
            <w:vAlign w:val="bottom"/>
            <w:hideMark/>
          </w:tcPr>
          <w:p w14:paraId="0A0C62F9" w14:textId="7777777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1131" w:type="dxa"/>
            <w:tcBorders>
              <w:top w:val="nil"/>
              <w:left w:val="nil"/>
              <w:bottom w:val="single" w:sz="4" w:space="0" w:color="auto"/>
              <w:right w:val="nil"/>
            </w:tcBorders>
            <w:shd w:val="clear" w:color="auto" w:fill="auto"/>
            <w:noWrap/>
            <w:vAlign w:val="bottom"/>
            <w:hideMark/>
          </w:tcPr>
          <w:p w14:paraId="183D98C4" w14:textId="5A4F5774"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83,58</w:t>
            </w:r>
          </w:p>
        </w:tc>
        <w:tc>
          <w:tcPr>
            <w:tcW w:w="868" w:type="dxa"/>
            <w:tcBorders>
              <w:top w:val="nil"/>
              <w:left w:val="nil"/>
              <w:bottom w:val="single" w:sz="4" w:space="0" w:color="auto"/>
              <w:right w:val="nil"/>
            </w:tcBorders>
            <w:shd w:val="clear" w:color="auto" w:fill="auto"/>
            <w:noWrap/>
            <w:vAlign w:val="center"/>
            <w:hideMark/>
          </w:tcPr>
          <w:p w14:paraId="0E1A546C" w14:textId="5716C46A"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-46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23257613" w14:textId="5ACE9ACE"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85,00</w:t>
            </w:r>
          </w:p>
        </w:tc>
        <w:tc>
          <w:tcPr>
            <w:tcW w:w="868" w:type="dxa"/>
            <w:tcBorders>
              <w:top w:val="nil"/>
              <w:left w:val="nil"/>
              <w:bottom w:val="single" w:sz="4" w:space="0" w:color="auto"/>
              <w:right w:val="single" w:sz="4" w:space="0" w:color="auto"/>
            </w:tcBorders>
            <w:shd w:val="clear" w:color="auto" w:fill="auto"/>
            <w:noWrap/>
            <w:vAlign w:val="center"/>
            <w:hideMark/>
          </w:tcPr>
          <w:p w14:paraId="6F2F6B46" w14:textId="22D2C5D8"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-42 </w:t>
            </w:r>
            <w:r w:rsidR="00B07E76">
              <w:rPr>
                <w:rFonts w:eastAsia="Times New Roman"/>
                <w:color w:val="000000" w:themeColor="text1"/>
                <w:sz w:val="20"/>
                <w:szCs w:val="20"/>
                <w:lang w:eastAsia="cs-CZ"/>
              </w:rPr>
              <w:t>%</w:t>
            </w:r>
          </w:p>
        </w:tc>
        <w:tc>
          <w:tcPr>
            <w:tcW w:w="1131" w:type="dxa"/>
            <w:tcBorders>
              <w:top w:val="nil"/>
              <w:left w:val="nil"/>
              <w:bottom w:val="single" w:sz="4" w:space="0" w:color="auto"/>
              <w:right w:val="nil"/>
            </w:tcBorders>
            <w:shd w:val="clear" w:color="auto" w:fill="auto"/>
            <w:noWrap/>
            <w:vAlign w:val="bottom"/>
            <w:hideMark/>
          </w:tcPr>
          <w:p w14:paraId="09335B5D" w14:textId="33A5C4F9"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84,33</w:t>
            </w:r>
          </w:p>
        </w:tc>
        <w:tc>
          <w:tcPr>
            <w:tcW w:w="992" w:type="dxa"/>
            <w:tcBorders>
              <w:top w:val="nil"/>
              <w:left w:val="nil"/>
              <w:bottom w:val="single" w:sz="4" w:space="0" w:color="auto"/>
              <w:right w:val="nil"/>
            </w:tcBorders>
            <w:shd w:val="clear" w:color="auto" w:fill="auto"/>
            <w:noWrap/>
            <w:vAlign w:val="center"/>
            <w:hideMark/>
          </w:tcPr>
          <w:p w14:paraId="1244A6E0" w14:textId="1BC9EFA5"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-51 </w:t>
            </w:r>
            <w:r w:rsidR="00B07E76">
              <w:rPr>
                <w:rFonts w:eastAsia="Times New Roman"/>
                <w:color w:val="000000" w:themeColor="text1"/>
                <w:sz w:val="20"/>
                <w:szCs w:val="20"/>
                <w:lang w:eastAsia="cs-CZ"/>
              </w:rPr>
              <w:t>%</w:t>
            </w:r>
          </w:p>
        </w:tc>
      </w:tr>
      <w:tr w:rsidR="00963326" w:rsidRPr="001C3EC8" w14:paraId="5801ACAD"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3A8E1B19"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059" w:type="dxa"/>
            <w:tcBorders>
              <w:top w:val="nil"/>
              <w:left w:val="nil"/>
              <w:bottom w:val="single" w:sz="4" w:space="0" w:color="auto"/>
              <w:right w:val="nil"/>
            </w:tcBorders>
            <w:shd w:val="clear" w:color="auto" w:fill="auto"/>
            <w:noWrap/>
            <w:vAlign w:val="bottom"/>
            <w:hideMark/>
          </w:tcPr>
          <w:p w14:paraId="78B27029" w14:textId="1A06742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p>
        </w:tc>
        <w:tc>
          <w:tcPr>
            <w:tcW w:w="1131" w:type="dxa"/>
            <w:tcBorders>
              <w:top w:val="nil"/>
              <w:left w:val="nil"/>
              <w:bottom w:val="single" w:sz="4" w:space="0" w:color="auto"/>
              <w:right w:val="nil"/>
            </w:tcBorders>
            <w:shd w:val="clear" w:color="auto" w:fill="auto"/>
            <w:noWrap/>
            <w:vAlign w:val="bottom"/>
            <w:hideMark/>
          </w:tcPr>
          <w:p w14:paraId="7085CC2D" w14:textId="0D708E1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94,57</w:t>
            </w:r>
          </w:p>
        </w:tc>
        <w:tc>
          <w:tcPr>
            <w:tcW w:w="868" w:type="dxa"/>
            <w:tcBorders>
              <w:top w:val="nil"/>
              <w:left w:val="nil"/>
              <w:bottom w:val="single" w:sz="4" w:space="0" w:color="auto"/>
              <w:right w:val="nil"/>
            </w:tcBorders>
            <w:shd w:val="clear" w:color="auto" w:fill="auto"/>
            <w:noWrap/>
            <w:vAlign w:val="center"/>
            <w:hideMark/>
          </w:tcPr>
          <w:p w14:paraId="57F6E124" w14:textId="4080DC69"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35281997" w14:textId="0D39C16D"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101,14</w:t>
            </w:r>
          </w:p>
        </w:tc>
        <w:tc>
          <w:tcPr>
            <w:tcW w:w="868" w:type="dxa"/>
            <w:tcBorders>
              <w:top w:val="nil"/>
              <w:left w:val="nil"/>
              <w:bottom w:val="single" w:sz="4" w:space="0" w:color="auto"/>
              <w:right w:val="single" w:sz="4" w:space="0" w:color="auto"/>
            </w:tcBorders>
            <w:shd w:val="clear" w:color="auto" w:fill="auto"/>
            <w:noWrap/>
            <w:vAlign w:val="center"/>
            <w:hideMark/>
          </w:tcPr>
          <w:p w14:paraId="5E6A84D4" w14:textId="1E0F14F0"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1131" w:type="dxa"/>
            <w:tcBorders>
              <w:top w:val="nil"/>
              <w:left w:val="nil"/>
              <w:bottom w:val="single" w:sz="4" w:space="0" w:color="auto"/>
              <w:right w:val="nil"/>
            </w:tcBorders>
            <w:shd w:val="clear" w:color="auto" w:fill="auto"/>
            <w:noWrap/>
            <w:vAlign w:val="bottom"/>
            <w:hideMark/>
          </w:tcPr>
          <w:p w14:paraId="3776A417" w14:textId="477FC751"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44,86</w:t>
            </w:r>
          </w:p>
        </w:tc>
        <w:tc>
          <w:tcPr>
            <w:tcW w:w="992" w:type="dxa"/>
            <w:tcBorders>
              <w:top w:val="nil"/>
              <w:left w:val="nil"/>
              <w:bottom w:val="single" w:sz="4" w:space="0" w:color="auto"/>
              <w:right w:val="nil"/>
            </w:tcBorders>
            <w:shd w:val="clear" w:color="auto" w:fill="auto"/>
            <w:noWrap/>
            <w:vAlign w:val="center"/>
            <w:hideMark/>
          </w:tcPr>
          <w:p w14:paraId="5D81CF7C" w14:textId="5E121143"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+25 </w:t>
            </w:r>
            <w:r w:rsidR="00B07E76">
              <w:rPr>
                <w:rFonts w:eastAsia="Times New Roman"/>
                <w:color w:val="000000" w:themeColor="text1"/>
                <w:sz w:val="20"/>
                <w:szCs w:val="20"/>
                <w:lang w:eastAsia="cs-CZ"/>
              </w:rPr>
              <w:t>%</w:t>
            </w:r>
          </w:p>
        </w:tc>
      </w:tr>
      <w:tr w:rsidR="00963326" w:rsidRPr="001C3EC8" w14:paraId="22F396DE"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534A4083"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059" w:type="dxa"/>
            <w:tcBorders>
              <w:top w:val="nil"/>
              <w:left w:val="nil"/>
              <w:bottom w:val="single" w:sz="4" w:space="0" w:color="auto"/>
              <w:right w:val="nil"/>
            </w:tcBorders>
            <w:shd w:val="clear" w:color="auto" w:fill="auto"/>
            <w:noWrap/>
            <w:vAlign w:val="bottom"/>
            <w:hideMark/>
          </w:tcPr>
          <w:p w14:paraId="6299CF5C" w14:textId="1C501AD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8,3</w:t>
            </w:r>
          </w:p>
        </w:tc>
        <w:tc>
          <w:tcPr>
            <w:tcW w:w="1131" w:type="dxa"/>
            <w:tcBorders>
              <w:top w:val="nil"/>
              <w:left w:val="nil"/>
              <w:bottom w:val="single" w:sz="4" w:space="0" w:color="auto"/>
              <w:right w:val="nil"/>
            </w:tcBorders>
            <w:shd w:val="clear" w:color="auto" w:fill="auto"/>
            <w:noWrap/>
            <w:vAlign w:val="bottom"/>
            <w:hideMark/>
          </w:tcPr>
          <w:p w14:paraId="41B4DA3B" w14:textId="06BB5D44"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82,41</w:t>
            </w:r>
          </w:p>
        </w:tc>
        <w:tc>
          <w:tcPr>
            <w:tcW w:w="868" w:type="dxa"/>
            <w:tcBorders>
              <w:top w:val="nil"/>
              <w:left w:val="nil"/>
              <w:bottom w:val="single" w:sz="4" w:space="0" w:color="auto"/>
              <w:right w:val="nil"/>
            </w:tcBorders>
            <w:shd w:val="clear" w:color="auto" w:fill="auto"/>
            <w:noWrap/>
            <w:vAlign w:val="center"/>
            <w:hideMark/>
          </w:tcPr>
          <w:p w14:paraId="5224F328" w14:textId="3D31DE44"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-30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6E912AAF" w14:textId="55CE28BB"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110,24</w:t>
            </w:r>
          </w:p>
        </w:tc>
        <w:tc>
          <w:tcPr>
            <w:tcW w:w="868" w:type="dxa"/>
            <w:tcBorders>
              <w:top w:val="nil"/>
              <w:left w:val="nil"/>
              <w:bottom w:val="single" w:sz="4" w:space="0" w:color="auto"/>
              <w:right w:val="single" w:sz="4" w:space="0" w:color="auto"/>
            </w:tcBorders>
            <w:shd w:val="clear" w:color="auto" w:fill="auto"/>
            <w:noWrap/>
            <w:vAlign w:val="center"/>
            <w:hideMark/>
          </w:tcPr>
          <w:p w14:paraId="521F5DA8" w14:textId="5DF54B90"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1131" w:type="dxa"/>
            <w:tcBorders>
              <w:top w:val="nil"/>
              <w:left w:val="nil"/>
              <w:bottom w:val="single" w:sz="4" w:space="0" w:color="auto"/>
              <w:right w:val="nil"/>
            </w:tcBorders>
            <w:shd w:val="clear" w:color="auto" w:fill="auto"/>
            <w:noWrap/>
            <w:vAlign w:val="bottom"/>
            <w:hideMark/>
          </w:tcPr>
          <w:p w14:paraId="1858C708" w14:textId="74C225C1"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52,17</w:t>
            </w:r>
          </w:p>
        </w:tc>
        <w:tc>
          <w:tcPr>
            <w:tcW w:w="992" w:type="dxa"/>
            <w:tcBorders>
              <w:top w:val="nil"/>
              <w:left w:val="nil"/>
              <w:bottom w:val="single" w:sz="4" w:space="0" w:color="auto"/>
              <w:right w:val="nil"/>
            </w:tcBorders>
            <w:shd w:val="clear" w:color="auto" w:fill="auto"/>
            <w:noWrap/>
            <w:vAlign w:val="center"/>
            <w:hideMark/>
          </w:tcPr>
          <w:p w14:paraId="20D83EF2" w14:textId="66E7F6F1"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-37 </w:t>
            </w:r>
            <w:r w:rsidR="00B07E76">
              <w:rPr>
                <w:rFonts w:eastAsia="Times New Roman"/>
                <w:color w:val="000000" w:themeColor="text1"/>
                <w:sz w:val="20"/>
                <w:szCs w:val="20"/>
                <w:lang w:eastAsia="cs-CZ"/>
              </w:rPr>
              <w:t>%</w:t>
            </w:r>
          </w:p>
        </w:tc>
      </w:tr>
      <w:tr w:rsidR="00963326" w:rsidRPr="001C3EC8" w14:paraId="11A48695"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75EF8B07"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059" w:type="dxa"/>
            <w:tcBorders>
              <w:top w:val="nil"/>
              <w:left w:val="nil"/>
              <w:bottom w:val="single" w:sz="4" w:space="0" w:color="auto"/>
              <w:right w:val="nil"/>
            </w:tcBorders>
            <w:shd w:val="clear" w:color="auto" w:fill="auto"/>
            <w:noWrap/>
            <w:vAlign w:val="bottom"/>
            <w:hideMark/>
          </w:tcPr>
          <w:p w14:paraId="01B57738" w14:textId="4CF3D701"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8,67</w:t>
            </w:r>
          </w:p>
        </w:tc>
        <w:tc>
          <w:tcPr>
            <w:tcW w:w="1131" w:type="dxa"/>
            <w:tcBorders>
              <w:top w:val="nil"/>
              <w:left w:val="nil"/>
              <w:bottom w:val="single" w:sz="4" w:space="0" w:color="auto"/>
              <w:right w:val="nil"/>
            </w:tcBorders>
            <w:shd w:val="clear" w:color="auto" w:fill="auto"/>
            <w:noWrap/>
            <w:vAlign w:val="bottom"/>
            <w:hideMark/>
          </w:tcPr>
          <w:p w14:paraId="29AB5392" w14:textId="35CE992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86,39</w:t>
            </w:r>
          </w:p>
        </w:tc>
        <w:tc>
          <w:tcPr>
            <w:tcW w:w="868" w:type="dxa"/>
            <w:tcBorders>
              <w:top w:val="nil"/>
              <w:left w:val="nil"/>
              <w:bottom w:val="single" w:sz="4" w:space="0" w:color="auto"/>
              <w:right w:val="nil"/>
            </w:tcBorders>
            <w:shd w:val="clear" w:color="auto" w:fill="auto"/>
            <w:noWrap/>
            <w:vAlign w:val="center"/>
            <w:hideMark/>
          </w:tcPr>
          <w:p w14:paraId="2CB1D2AC" w14:textId="57E8E804"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3CEBD7AB" w14:textId="14B97E54"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105,54</w:t>
            </w:r>
          </w:p>
        </w:tc>
        <w:tc>
          <w:tcPr>
            <w:tcW w:w="868" w:type="dxa"/>
            <w:tcBorders>
              <w:top w:val="nil"/>
              <w:left w:val="nil"/>
              <w:bottom w:val="single" w:sz="4" w:space="0" w:color="auto"/>
              <w:right w:val="single" w:sz="4" w:space="0" w:color="auto"/>
            </w:tcBorders>
            <w:shd w:val="clear" w:color="auto" w:fill="auto"/>
            <w:noWrap/>
            <w:vAlign w:val="center"/>
            <w:hideMark/>
          </w:tcPr>
          <w:p w14:paraId="3EBD8407" w14:textId="0046F182"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131" w:type="dxa"/>
            <w:tcBorders>
              <w:top w:val="nil"/>
              <w:left w:val="nil"/>
              <w:bottom w:val="single" w:sz="4" w:space="0" w:color="auto"/>
              <w:right w:val="nil"/>
            </w:tcBorders>
            <w:shd w:val="clear" w:color="auto" w:fill="auto"/>
            <w:noWrap/>
            <w:vAlign w:val="bottom"/>
            <w:hideMark/>
          </w:tcPr>
          <w:p w14:paraId="077ED045" w14:textId="6F71E2F7"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102,19</w:t>
            </w:r>
          </w:p>
        </w:tc>
        <w:tc>
          <w:tcPr>
            <w:tcW w:w="992" w:type="dxa"/>
            <w:tcBorders>
              <w:top w:val="nil"/>
              <w:left w:val="nil"/>
              <w:bottom w:val="single" w:sz="4" w:space="0" w:color="auto"/>
              <w:right w:val="nil"/>
            </w:tcBorders>
            <w:shd w:val="clear" w:color="auto" w:fill="auto"/>
            <w:noWrap/>
            <w:vAlign w:val="center"/>
            <w:hideMark/>
          </w:tcPr>
          <w:p w14:paraId="2708A4BC" w14:textId="216F8F89"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-32 </w:t>
            </w:r>
            <w:r w:rsidR="00B07E76">
              <w:rPr>
                <w:rFonts w:eastAsia="Times New Roman"/>
                <w:color w:val="000000" w:themeColor="text1"/>
                <w:sz w:val="20"/>
                <w:szCs w:val="20"/>
                <w:lang w:eastAsia="cs-CZ"/>
              </w:rPr>
              <w:t>%</w:t>
            </w:r>
          </w:p>
        </w:tc>
      </w:tr>
      <w:tr w:rsidR="00963326" w:rsidRPr="001C3EC8" w14:paraId="45122A97"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6FCBC423"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059" w:type="dxa"/>
            <w:tcBorders>
              <w:top w:val="nil"/>
              <w:left w:val="nil"/>
              <w:bottom w:val="single" w:sz="4" w:space="0" w:color="auto"/>
              <w:right w:val="nil"/>
            </w:tcBorders>
            <w:shd w:val="clear" w:color="auto" w:fill="auto"/>
            <w:noWrap/>
            <w:vAlign w:val="bottom"/>
            <w:hideMark/>
          </w:tcPr>
          <w:p w14:paraId="773073E3" w14:textId="1B6587C0"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11,7</w:t>
            </w:r>
          </w:p>
        </w:tc>
        <w:tc>
          <w:tcPr>
            <w:tcW w:w="1131" w:type="dxa"/>
            <w:tcBorders>
              <w:top w:val="nil"/>
              <w:left w:val="nil"/>
              <w:bottom w:val="single" w:sz="4" w:space="0" w:color="auto"/>
              <w:right w:val="nil"/>
            </w:tcBorders>
            <w:shd w:val="clear" w:color="auto" w:fill="auto"/>
            <w:noWrap/>
            <w:vAlign w:val="bottom"/>
            <w:hideMark/>
          </w:tcPr>
          <w:p w14:paraId="18DAD15D" w14:textId="50C67F0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57,09</w:t>
            </w:r>
          </w:p>
        </w:tc>
        <w:tc>
          <w:tcPr>
            <w:tcW w:w="868" w:type="dxa"/>
            <w:tcBorders>
              <w:top w:val="nil"/>
              <w:left w:val="nil"/>
              <w:bottom w:val="single" w:sz="4" w:space="0" w:color="auto"/>
              <w:right w:val="nil"/>
            </w:tcBorders>
            <w:shd w:val="clear" w:color="auto" w:fill="auto"/>
            <w:noWrap/>
            <w:vAlign w:val="center"/>
            <w:hideMark/>
          </w:tcPr>
          <w:p w14:paraId="1D9EA70B" w14:textId="34346BA1"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6A7B04B2" w14:textId="2BA013C2"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69,83</w:t>
            </w:r>
          </w:p>
        </w:tc>
        <w:tc>
          <w:tcPr>
            <w:tcW w:w="868" w:type="dxa"/>
            <w:tcBorders>
              <w:top w:val="nil"/>
              <w:left w:val="nil"/>
              <w:bottom w:val="single" w:sz="4" w:space="0" w:color="auto"/>
              <w:right w:val="single" w:sz="4" w:space="0" w:color="auto"/>
            </w:tcBorders>
            <w:shd w:val="clear" w:color="auto" w:fill="auto"/>
            <w:noWrap/>
            <w:vAlign w:val="center"/>
            <w:hideMark/>
          </w:tcPr>
          <w:p w14:paraId="0C70073F" w14:textId="7575AF1B"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1131" w:type="dxa"/>
            <w:tcBorders>
              <w:top w:val="nil"/>
              <w:left w:val="nil"/>
              <w:bottom w:val="single" w:sz="4" w:space="0" w:color="auto"/>
              <w:right w:val="nil"/>
            </w:tcBorders>
            <w:shd w:val="clear" w:color="auto" w:fill="auto"/>
            <w:noWrap/>
            <w:vAlign w:val="bottom"/>
            <w:hideMark/>
          </w:tcPr>
          <w:p w14:paraId="40D2A28D" w14:textId="4B3D3CB0"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49,32</w:t>
            </w:r>
          </w:p>
        </w:tc>
        <w:tc>
          <w:tcPr>
            <w:tcW w:w="992" w:type="dxa"/>
            <w:tcBorders>
              <w:top w:val="nil"/>
              <w:left w:val="nil"/>
              <w:bottom w:val="single" w:sz="4" w:space="0" w:color="auto"/>
              <w:right w:val="nil"/>
            </w:tcBorders>
            <w:shd w:val="clear" w:color="auto" w:fill="auto"/>
            <w:noWrap/>
            <w:vAlign w:val="center"/>
            <w:hideMark/>
          </w:tcPr>
          <w:p w14:paraId="6BB2CA92" w14:textId="217B2C0D"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r>
      <w:tr w:rsidR="00963326" w:rsidRPr="001C3EC8" w14:paraId="7B62DD01" w14:textId="77777777" w:rsidTr="00963326">
        <w:trPr>
          <w:trHeight w:val="315"/>
        </w:trPr>
        <w:tc>
          <w:tcPr>
            <w:tcW w:w="2060" w:type="dxa"/>
            <w:tcBorders>
              <w:top w:val="nil"/>
              <w:left w:val="nil"/>
              <w:bottom w:val="single" w:sz="4" w:space="0" w:color="auto"/>
              <w:right w:val="nil"/>
            </w:tcBorders>
            <w:shd w:val="clear" w:color="auto" w:fill="auto"/>
            <w:noWrap/>
            <w:vAlign w:val="bottom"/>
            <w:hideMark/>
          </w:tcPr>
          <w:p w14:paraId="64F8BDE4"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059" w:type="dxa"/>
            <w:tcBorders>
              <w:top w:val="nil"/>
              <w:left w:val="nil"/>
              <w:bottom w:val="single" w:sz="4" w:space="0" w:color="auto"/>
              <w:right w:val="nil"/>
            </w:tcBorders>
            <w:shd w:val="clear" w:color="auto" w:fill="auto"/>
            <w:noWrap/>
            <w:vAlign w:val="bottom"/>
            <w:hideMark/>
          </w:tcPr>
          <w:p w14:paraId="3599C845" w14:textId="5796B115"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w:t>
            </w:r>
          </w:p>
        </w:tc>
        <w:tc>
          <w:tcPr>
            <w:tcW w:w="1131" w:type="dxa"/>
            <w:tcBorders>
              <w:top w:val="nil"/>
              <w:left w:val="nil"/>
              <w:bottom w:val="single" w:sz="4" w:space="0" w:color="auto"/>
              <w:right w:val="nil"/>
            </w:tcBorders>
            <w:shd w:val="clear" w:color="auto" w:fill="auto"/>
            <w:noWrap/>
            <w:vAlign w:val="bottom"/>
            <w:hideMark/>
          </w:tcPr>
          <w:p w14:paraId="67A4BCE1" w14:textId="692D3691"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110,51</w:t>
            </w:r>
          </w:p>
        </w:tc>
        <w:tc>
          <w:tcPr>
            <w:tcW w:w="868" w:type="dxa"/>
            <w:tcBorders>
              <w:top w:val="nil"/>
              <w:left w:val="nil"/>
              <w:bottom w:val="single" w:sz="4" w:space="0" w:color="auto"/>
              <w:right w:val="nil"/>
            </w:tcBorders>
            <w:shd w:val="clear" w:color="auto" w:fill="auto"/>
            <w:noWrap/>
            <w:vAlign w:val="center"/>
            <w:hideMark/>
          </w:tcPr>
          <w:p w14:paraId="35EEFE52" w14:textId="2AA95FC7"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131" w:type="dxa"/>
            <w:tcBorders>
              <w:top w:val="nil"/>
              <w:left w:val="single" w:sz="4" w:space="0" w:color="auto"/>
              <w:bottom w:val="single" w:sz="4" w:space="0" w:color="auto"/>
              <w:right w:val="nil"/>
            </w:tcBorders>
            <w:shd w:val="clear" w:color="auto" w:fill="auto"/>
            <w:noWrap/>
            <w:vAlign w:val="bottom"/>
            <w:hideMark/>
          </w:tcPr>
          <w:p w14:paraId="2C9F6FEC" w14:textId="5D13496D"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111,54</w:t>
            </w:r>
          </w:p>
        </w:tc>
        <w:tc>
          <w:tcPr>
            <w:tcW w:w="868" w:type="dxa"/>
            <w:tcBorders>
              <w:top w:val="nil"/>
              <w:left w:val="nil"/>
              <w:bottom w:val="single" w:sz="4" w:space="0" w:color="auto"/>
              <w:right w:val="single" w:sz="4" w:space="0" w:color="auto"/>
            </w:tcBorders>
            <w:shd w:val="clear" w:color="auto" w:fill="auto"/>
            <w:noWrap/>
            <w:vAlign w:val="center"/>
            <w:hideMark/>
          </w:tcPr>
          <w:p w14:paraId="7B958C4B" w14:textId="36760859"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1131" w:type="dxa"/>
            <w:tcBorders>
              <w:top w:val="nil"/>
              <w:left w:val="nil"/>
              <w:bottom w:val="single" w:sz="4" w:space="0" w:color="auto"/>
              <w:right w:val="nil"/>
            </w:tcBorders>
            <w:shd w:val="clear" w:color="auto" w:fill="auto"/>
            <w:noWrap/>
            <w:vAlign w:val="bottom"/>
            <w:hideMark/>
          </w:tcPr>
          <w:p w14:paraId="3334181A" w14:textId="1575536D"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119,89</w:t>
            </w:r>
          </w:p>
        </w:tc>
        <w:tc>
          <w:tcPr>
            <w:tcW w:w="992" w:type="dxa"/>
            <w:tcBorders>
              <w:top w:val="nil"/>
              <w:left w:val="nil"/>
              <w:bottom w:val="single" w:sz="4" w:space="0" w:color="auto"/>
              <w:right w:val="nil"/>
            </w:tcBorders>
            <w:shd w:val="clear" w:color="auto" w:fill="auto"/>
            <w:noWrap/>
            <w:vAlign w:val="center"/>
            <w:hideMark/>
          </w:tcPr>
          <w:p w14:paraId="708D64D9" w14:textId="3525C357"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r>
      <w:tr w:rsidR="00963326" w:rsidRPr="001C3EC8" w14:paraId="692A1985" w14:textId="77777777" w:rsidTr="00963326">
        <w:trPr>
          <w:trHeight w:val="330"/>
        </w:trPr>
        <w:tc>
          <w:tcPr>
            <w:tcW w:w="2060" w:type="dxa"/>
            <w:tcBorders>
              <w:top w:val="nil"/>
              <w:left w:val="nil"/>
              <w:bottom w:val="double" w:sz="6" w:space="0" w:color="auto"/>
              <w:right w:val="nil"/>
            </w:tcBorders>
            <w:shd w:val="clear" w:color="auto" w:fill="auto"/>
            <w:noWrap/>
            <w:vAlign w:val="bottom"/>
            <w:hideMark/>
          </w:tcPr>
          <w:p w14:paraId="1AC55917" w14:textId="77777777" w:rsidR="00963326" w:rsidRPr="001C3EC8" w:rsidRDefault="00963326" w:rsidP="00963326">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059" w:type="dxa"/>
            <w:tcBorders>
              <w:top w:val="nil"/>
              <w:left w:val="nil"/>
              <w:bottom w:val="double" w:sz="6" w:space="0" w:color="auto"/>
              <w:right w:val="nil"/>
            </w:tcBorders>
            <w:shd w:val="clear" w:color="auto" w:fill="auto"/>
            <w:noWrap/>
            <w:vAlign w:val="bottom"/>
            <w:hideMark/>
          </w:tcPr>
          <w:p w14:paraId="1FF78639" w14:textId="2A34451C"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11,5</w:t>
            </w:r>
          </w:p>
        </w:tc>
        <w:tc>
          <w:tcPr>
            <w:tcW w:w="1131" w:type="dxa"/>
            <w:tcBorders>
              <w:top w:val="nil"/>
              <w:left w:val="nil"/>
              <w:bottom w:val="double" w:sz="6" w:space="0" w:color="auto"/>
              <w:right w:val="nil"/>
            </w:tcBorders>
            <w:shd w:val="clear" w:color="auto" w:fill="auto"/>
            <w:noWrap/>
            <w:vAlign w:val="bottom"/>
            <w:hideMark/>
          </w:tcPr>
          <w:p w14:paraId="75E4FB64" w14:textId="282805A2"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127,74</w:t>
            </w:r>
          </w:p>
        </w:tc>
        <w:tc>
          <w:tcPr>
            <w:tcW w:w="868" w:type="dxa"/>
            <w:tcBorders>
              <w:top w:val="nil"/>
              <w:left w:val="nil"/>
              <w:bottom w:val="double" w:sz="6" w:space="0" w:color="auto"/>
              <w:right w:val="nil"/>
            </w:tcBorders>
            <w:shd w:val="clear" w:color="auto" w:fill="auto"/>
            <w:noWrap/>
            <w:vAlign w:val="center"/>
            <w:hideMark/>
          </w:tcPr>
          <w:p w14:paraId="6C8D1E7E" w14:textId="604B01D2"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1131" w:type="dxa"/>
            <w:tcBorders>
              <w:top w:val="nil"/>
              <w:left w:val="single" w:sz="4" w:space="0" w:color="auto"/>
              <w:bottom w:val="double" w:sz="6" w:space="0" w:color="auto"/>
              <w:right w:val="nil"/>
            </w:tcBorders>
            <w:shd w:val="clear" w:color="auto" w:fill="auto"/>
            <w:noWrap/>
            <w:vAlign w:val="bottom"/>
            <w:hideMark/>
          </w:tcPr>
          <w:p w14:paraId="7CD7A8A7" w14:textId="4505CD10"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113,30</w:t>
            </w:r>
          </w:p>
        </w:tc>
        <w:tc>
          <w:tcPr>
            <w:tcW w:w="868" w:type="dxa"/>
            <w:tcBorders>
              <w:top w:val="nil"/>
              <w:left w:val="nil"/>
              <w:bottom w:val="double" w:sz="6" w:space="0" w:color="auto"/>
              <w:right w:val="single" w:sz="4" w:space="0" w:color="auto"/>
            </w:tcBorders>
            <w:shd w:val="clear" w:color="auto" w:fill="auto"/>
            <w:noWrap/>
            <w:vAlign w:val="center"/>
            <w:hideMark/>
          </w:tcPr>
          <w:p w14:paraId="786E099F" w14:textId="4CB83FF4"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c>
          <w:tcPr>
            <w:tcW w:w="1131" w:type="dxa"/>
            <w:tcBorders>
              <w:top w:val="nil"/>
              <w:left w:val="nil"/>
              <w:bottom w:val="double" w:sz="6" w:space="0" w:color="auto"/>
              <w:right w:val="nil"/>
            </w:tcBorders>
            <w:shd w:val="clear" w:color="auto" w:fill="auto"/>
            <w:noWrap/>
            <w:vAlign w:val="bottom"/>
            <w:hideMark/>
          </w:tcPr>
          <w:p w14:paraId="30741BD0" w14:textId="219A1D34" w:rsidR="00963326" w:rsidRPr="001C3EC8" w:rsidRDefault="00963326" w:rsidP="00963326">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71,57</w:t>
            </w:r>
          </w:p>
        </w:tc>
        <w:tc>
          <w:tcPr>
            <w:tcW w:w="992" w:type="dxa"/>
            <w:tcBorders>
              <w:top w:val="nil"/>
              <w:left w:val="nil"/>
              <w:bottom w:val="double" w:sz="6" w:space="0" w:color="auto"/>
              <w:right w:val="nil"/>
            </w:tcBorders>
            <w:shd w:val="clear" w:color="auto" w:fill="auto"/>
            <w:noWrap/>
            <w:vAlign w:val="center"/>
            <w:hideMark/>
          </w:tcPr>
          <w:p w14:paraId="715BC88F" w14:textId="1922F504" w:rsidR="00963326" w:rsidRPr="001C3EC8" w:rsidRDefault="00963326" w:rsidP="00963326">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963326" w:rsidRPr="001C3EC8" w14:paraId="12623F1E" w14:textId="77777777" w:rsidTr="00963326">
        <w:trPr>
          <w:trHeight w:val="345"/>
        </w:trPr>
        <w:tc>
          <w:tcPr>
            <w:tcW w:w="2060" w:type="dxa"/>
            <w:tcBorders>
              <w:top w:val="nil"/>
              <w:left w:val="nil"/>
              <w:bottom w:val="double" w:sz="6" w:space="0" w:color="auto"/>
              <w:right w:val="nil"/>
            </w:tcBorders>
            <w:shd w:val="clear" w:color="auto" w:fill="auto"/>
            <w:noWrap/>
            <w:vAlign w:val="bottom"/>
            <w:hideMark/>
          </w:tcPr>
          <w:p w14:paraId="0F220206" w14:textId="77777777" w:rsidR="00963326" w:rsidRPr="001C3EC8" w:rsidRDefault="00963326" w:rsidP="00963326">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59" w:type="dxa"/>
            <w:tcBorders>
              <w:top w:val="nil"/>
              <w:left w:val="nil"/>
              <w:bottom w:val="double" w:sz="6" w:space="0" w:color="auto"/>
              <w:right w:val="nil"/>
            </w:tcBorders>
            <w:shd w:val="clear" w:color="auto" w:fill="auto"/>
            <w:noWrap/>
            <w:vAlign w:val="bottom"/>
            <w:hideMark/>
          </w:tcPr>
          <w:p w14:paraId="26B45994" w14:textId="492EACDF"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113,42</w:t>
            </w:r>
          </w:p>
        </w:tc>
        <w:tc>
          <w:tcPr>
            <w:tcW w:w="1131" w:type="dxa"/>
            <w:tcBorders>
              <w:top w:val="nil"/>
              <w:left w:val="nil"/>
              <w:bottom w:val="double" w:sz="6" w:space="0" w:color="auto"/>
              <w:right w:val="nil"/>
            </w:tcBorders>
            <w:shd w:val="clear" w:color="auto" w:fill="auto"/>
            <w:noWrap/>
            <w:vAlign w:val="bottom"/>
            <w:hideMark/>
          </w:tcPr>
          <w:p w14:paraId="6FDD3B7C" w14:textId="17FA39C4"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88,33</w:t>
            </w:r>
          </w:p>
        </w:tc>
        <w:tc>
          <w:tcPr>
            <w:tcW w:w="868" w:type="dxa"/>
            <w:tcBorders>
              <w:top w:val="nil"/>
              <w:left w:val="nil"/>
              <w:bottom w:val="double" w:sz="6" w:space="0" w:color="auto"/>
              <w:right w:val="nil"/>
            </w:tcBorders>
            <w:shd w:val="clear" w:color="auto" w:fill="auto"/>
            <w:noWrap/>
            <w:vAlign w:val="center"/>
            <w:hideMark/>
          </w:tcPr>
          <w:p w14:paraId="153FF125" w14:textId="433DDFFB" w:rsidR="00963326" w:rsidRPr="001C3EC8" w:rsidRDefault="00963326" w:rsidP="00963326">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-18 </w:t>
            </w:r>
            <w:r w:rsidR="00B07E76">
              <w:rPr>
                <w:rFonts w:eastAsia="Times New Roman"/>
                <w:b/>
                <w:bCs/>
                <w:color w:val="000000" w:themeColor="text1"/>
                <w:sz w:val="20"/>
                <w:szCs w:val="20"/>
                <w:lang w:eastAsia="cs-CZ"/>
              </w:rPr>
              <w:t>%</w:t>
            </w:r>
          </w:p>
        </w:tc>
        <w:tc>
          <w:tcPr>
            <w:tcW w:w="1131" w:type="dxa"/>
            <w:tcBorders>
              <w:top w:val="nil"/>
              <w:left w:val="single" w:sz="4" w:space="0" w:color="auto"/>
              <w:bottom w:val="double" w:sz="6" w:space="0" w:color="auto"/>
              <w:right w:val="nil"/>
            </w:tcBorders>
            <w:shd w:val="clear" w:color="auto" w:fill="auto"/>
            <w:noWrap/>
            <w:vAlign w:val="bottom"/>
            <w:hideMark/>
          </w:tcPr>
          <w:p w14:paraId="5112DDE6" w14:textId="5102D4B9"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99,41</w:t>
            </w:r>
          </w:p>
        </w:tc>
        <w:tc>
          <w:tcPr>
            <w:tcW w:w="868" w:type="dxa"/>
            <w:tcBorders>
              <w:top w:val="nil"/>
              <w:left w:val="nil"/>
              <w:bottom w:val="double" w:sz="6" w:space="0" w:color="auto"/>
              <w:right w:val="single" w:sz="4" w:space="0" w:color="auto"/>
            </w:tcBorders>
            <w:shd w:val="clear" w:color="auto" w:fill="auto"/>
            <w:noWrap/>
            <w:vAlign w:val="center"/>
            <w:hideMark/>
          </w:tcPr>
          <w:p w14:paraId="5BD7A901" w14:textId="53585475" w:rsidR="00963326" w:rsidRPr="001C3EC8" w:rsidRDefault="00963326" w:rsidP="00963326">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-14 </w:t>
            </w:r>
            <w:r w:rsidR="00B07E76">
              <w:rPr>
                <w:rFonts w:eastAsia="Times New Roman"/>
                <w:b/>
                <w:bCs/>
                <w:color w:val="000000" w:themeColor="text1"/>
                <w:sz w:val="20"/>
                <w:szCs w:val="20"/>
                <w:lang w:eastAsia="cs-CZ"/>
              </w:rPr>
              <w:t>%</w:t>
            </w:r>
          </w:p>
        </w:tc>
        <w:tc>
          <w:tcPr>
            <w:tcW w:w="1131" w:type="dxa"/>
            <w:tcBorders>
              <w:top w:val="nil"/>
              <w:left w:val="nil"/>
              <w:bottom w:val="double" w:sz="6" w:space="0" w:color="auto"/>
              <w:right w:val="nil"/>
            </w:tcBorders>
            <w:shd w:val="clear" w:color="auto" w:fill="auto"/>
            <w:noWrap/>
            <w:vAlign w:val="bottom"/>
            <w:hideMark/>
          </w:tcPr>
          <w:p w14:paraId="7B7B6D24" w14:textId="5ED2DC94" w:rsidR="00963326" w:rsidRPr="001C3EC8" w:rsidRDefault="00963326" w:rsidP="00963326">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86,26</w:t>
            </w:r>
          </w:p>
        </w:tc>
        <w:tc>
          <w:tcPr>
            <w:tcW w:w="992" w:type="dxa"/>
            <w:tcBorders>
              <w:top w:val="nil"/>
              <w:left w:val="nil"/>
              <w:bottom w:val="double" w:sz="6" w:space="0" w:color="auto"/>
              <w:right w:val="nil"/>
            </w:tcBorders>
            <w:shd w:val="clear" w:color="auto" w:fill="auto"/>
            <w:noWrap/>
            <w:vAlign w:val="center"/>
            <w:hideMark/>
          </w:tcPr>
          <w:p w14:paraId="4916FFDB" w14:textId="48E29D17" w:rsidR="00963326" w:rsidRPr="001C3EC8" w:rsidRDefault="00963326" w:rsidP="00963326">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-24 </w:t>
            </w:r>
            <w:r w:rsidR="00B07E76">
              <w:rPr>
                <w:rFonts w:eastAsia="Times New Roman"/>
                <w:b/>
                <w:bCs/>
                <w:color w:val="000000" w:themeColor="text1"/>
                <w:sz w:val="20"/>
                <w:szCs w:val="20"/>
                <w:lang w:eastAsia="cs-CZ"/>
              </w:rPr>
              <w:t>%</w:t>
            </w:r>
          </w:p>
        </w:tc>
      </w:tr>
    </w:tbl>
    <w:p w14:paraId="10117A71" w14:textId="77777777" w:rsidR="008430BD" w:rsidRPr="001C3EC8" w:rsidRDefault="008430BD" w:rsidP="008430BD">
      <w:pPr>
        <w:rPr>
          <w:color w:val="000000" w:themeColor="text1"/>
        </w:rPr>
      </w:pPr>
    </w:p>
    <w:p w14:paraId="0993016B" w14:textId="002F11BE" w:rsidR="008430BD" w:rsidRPr="001C3EC8" w:rsidRDefault="008430BD" w:rsidP="008430BD">
      <w:pPr>
        <w:pStyle w:val="Nadpis3"/>
        <w:numPr>
          <w:ilvl w:val="2"/>
          <w:numId w:val="1"/>
        </w:numPr>
        <w:rPr>
          <w:color w:val="000000" w:themeColor="text1"/>
        </w:rPr>
      </w:pPr>
      <w:bookmarkStart w:id="623" w:name="_Toc75952112"/>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bookmarkEnd w:id="622"/>
      <w:proofErr w:type="spellEnd"/>
      <w:r w:rsidRPr="001C3EC8">
        <w:rPr>
          <w:color w:val="000000" w:themeColor="text1"/>
        </w:rPr>
        <w:t xml:space="preserve"> (dispoziční čas)</w:t>
      </w:r>
      <w:bookmarkEnd w:id="623"/>
    </w:p>
    <w:p w14:paraId="67AA1A78" w14:textId="77777777" w:rsidR="008430BD" w:rsidRPr="001C3EC8" w:rsidRDefault="008430BD" w:rsidP="008430BD">
      <w:pPr>
        <w:rPr>
          <w:color w:val="000000" w:themeColor="text1"/>
        </w:rPr>
      </w:pPr>
      <w:r w:rsidRPr="001C3EC8">
        <w:rPr>
          <w:color w:val="000000" w:themeColor="text1"/>
        </w:rPr>
        <w:t>Velký nárůst v DT v roce 2011 vyplývá z toho, že v roce 2010 došlo k velkému dočasnému poklesu v nápadu, který se samozřejmě odrazil i v poklesu počtu vyřízených věcí. Vzhledem k vysokým délkám řízení došlo k tomuto poklesu až o rok později.</w:t>
      </w:r>
    </w:p>
    <w:p w14:paraId="03C65B11" w14:textId="09FA678B" w:rsidR="008430BD" w:rsidRPr="001C3EC8" w:rsidRDefault="008430BD" w:rsidP="008430BD">
      <w:pPr>
        <w:pStyle w:val="OdstavecASR"/>
        <w:rPr>
          <w:color w:val="000000" w:themeColor="text1"/>
        </w:rPr>
      </w:pPr>
      <w:r w:rsidRPr="001C3EC8">
        <w:rPr>
          <w:color w:val="000000" w:themeColor="text1"/>
        </w:rPr>
        <w:t xml:space="preserve">DT dále potvrzuje závěry z předchozích podkapitol. Celkově je stále značně vysoký, což plyne z poměru nevyřízených věcí k vyřízeným. V roce 2019 díky výraznému poklesu v počtu nevyřízených věcí došlo ke značnému poklesu DT. Díky tomu pak DT po šesti letech klesl pod 365 (počet nevyřízených věcí je menší než počet věcí vyřízených). V roce 2020 opět výrazně klesl počet nevyřízených věcí, </w:t>
      </w:r>
      <w:r w:rsidR="00DE269E" w:rsidRPr="001C3EC8">
        <w:rPr>
          <w:color w:val="000000" w:themeColor="text1"/>
        </w:rPr>
        <w:t>a</w:t>
      </w:r>
      <w:r w:rsidR="00DE269E">
        <w:rPr>
          <w:color w:val="000000" w:themeColor="text1"/>
        </w:rPr>
        <w:t> </w:t>
      </w:r>
      <w:r w:rsidRPr="001C3EC8">
        <w:rPr>
          <w:color w:val="000000" w:themeColor="text1"/>
        </w:rPr>
        <w:t xml:space="preserve">tedy </w:t>
      </w:r>
      <w:r w:rsidR="00DE269E" w:rsidRPr="001C3EC8">
        <w:rPr>
          <w:color w:val="000000" w:themeColor="text1"/>
        </w:rPr>
        <w:t>i</w:t>
      </w:r>
      <w:r w:rsidR="00DE269E">
        <w:rPr>
          <w:color w:val="000000" w:themeColor="text1"/>
        </w:rPr>
        <w:t> </w:t>
      </w:r>
      <w:r w:rsidRPr="001C3EC8">
        <w:rPr>
          <w:color w:val="000000" w:themeColor="text1"/>
        </w:rPr>
        <w:t xml:space="preserve">DT. Od roku 2018 do </w:t>
      </w:r>
      <w:r w:rsidR="00D406F2" w:rsidRPr="001C3EC8">
        <w:rPr>
          <w:color w:val="000000" w:themeColor="text1"/>
        </w:rPr>
        <w:t xml:space="preserve">roku </w:t>
      </w:r>
      <w:r w:rsidRPr="001C3EC8">
        <w:rPr>
          <w:color w:val="000000" w:themeColor="text1"/>
        </w:rPr>
        <w:t xml:space="preserve">2020 klesl DT </w:t>
      </w:r>
      <w:r w:rsidR="00DE269E" w:rsidRPr="001C3EC8">
        <w:rPr>
          <w:color w:val="000000" w:themeColor="text1"/>
        </w:rPr>
        <w:t>o</w:t>
      </w:r>
      <w:r w:rsidR="00DE269E">
        <w:rPr>
          <w:color w:val="000000" w:themeColor="text1"/>
        </w:rPr>
        <w:t> </w:t>
      </w:r>
      <w:r w:rsidRPr="001C3EC8">
        <w:rPr>
          <w:color w:val="000000" w:themeColor="text1"/>
        </w:rPr>
        <w:t>95 (</w:t>
      </w:r>
      <w:r w:rsidR="00DE269E" w:rsidRPr="001C3EC8">
        <w:rPr>
          <w:color w:val="000000" w:themeColor="text1"/>
        </w:rPr>
        <w:t>o</w:t>
      </w:r>
      <w:r w:rsidR="00DE269E">
        <w:rPr>
          <w:color w:val="000000" w:themeColor="text1"/>
        </w:rPr>
        <w:t> </w:t>
      </w:r>
      <w:r w:rsidRPr="001C3EC8">
        <w:rPr>
          <w:color w:val="000000" w:themeColor="text1"/>
        </w:rPr>
        <w:t>23</w:t>
      </w:r>
      <w:r w:rsidR="00DE269E">
        <w:rPr>
          <w:color w:val="000000" w:themeColor="text1"/>
        </w:rPr>
        <w:t> </w:t>
      </w:r>
      <w:r w:rsidRPr="001C3EC8">
        <w:rPr>
          <w:color w:val="000000" w:themeColor="text1"/>
        </w:rPr>
        <w:t xml:space="preserve">%). Podobně jako u ostatních ukazatelů DT jasně ukazuje, že největší problémy s vyřizováním správní agendy mají MS Praha, KS Ústí nad Labem, KS Brno </w:t>
      </w:r>
      <w:r w:rsidR="00DE269E" w:rsidRPr="001C3EC8">
        <w:rPr>
          <w:color w:val="000000" w:themeColor="text1"/>
        </w:rPr>
        <w:t>a</w:t>
      </w:r>
      <w:r w:rsidR="00DE269E">
        <w:rPr>
          <w:color w:val="000000" w:themeColor="text1"/>
        </w:rPr>
        <w:t> </w:t>
      </w:r>
      <w:r w:rsidRPr="001C3EC8">
        <w:rPr>
          <w:color w:val="000000" w:themeColor="text1"/>
        </w:rPr>
        <w:t xml:space="preserve">KS Praha. </w:t>
      </w:r>
      <w:r w:rsidR="00DE269E" w:rsidRPr="001C3EC8">
        <w:rPr>
          <w:color w:val="000000" w:themeColor="text1"/>
        </w:rPr>
        <w:t>U</w:t>
      </w:r>
      <w:r w:rsidR="00DE269E">
        <w:rPr>
          <w:color w:val="000000" w:themeColor="text1"/>
        </w:rPr>
        <w:t> </w:t>
      </w:r>
      <w:r w:rsidRPr="001C3EC8">
        <w:rPr>
          <w:color w:val="000000" w:themeColor="text1"/>
        </w:rPr>
        <w:t>většiny z těchto soudů (</w:t>
      </w:r>
      <w:r w:rsidR="00DE269E" w:rsidRPr="001C3EC8">
        <w:rPr>
          <w:color w:val="000000" w:themeColor="text1"/>
        </w:rPr>
        <w:t>s</w:t>
      </w:r>
      <w:r w:rsidR="00DE269E">
        <w:rPr>
          <w:color w:val="000000" w:themeColor="text1"/>
        </w:rPr>
        <w:t> </w:t>
      </w:r>
      <w:r w:rsidRPr="001C3EC8">
        <w:rPr>
          <w:color w:val="000000" w:themeColor="text1"/>
        </w:rPr>
        <w:t xml:space="preserve">výjimkou KS Brno), ale došlo k výraznému zlepšení v roce 2020. Velký nárůst </w:t>
      </w:r>
      <w:r w:rsidR="00DE269E" w:rsidRPr="001C3EC8">
        <w:rPr>
          <w:color w:val="000000" w:themeColor="text1"/>
        </w:rPr>
        <w:t>u</w:t>
      </w:r>
      <w:r w:rsidR="00DE269E">
        <w:rPr>
          <w:color w:val="000000" w:themeColor="text1"/>
        </w:rPr>
        <w:t> </w:t>
      </w:r>
      <w:r w:rsidRPr="001C3EC8">
        <w:rPr>
          <w:color w:val="000000" w:themeColor="text1"/>
        </w:rPr>
        <w:t xml:space="preserve">KS Ostrava je dán tím, že </w:t>
      </w:r>
      <w:r w:rsidR="00060216" w:rsidRPr="001C3EC8">
        <w:rPr>
          <w:color w:val="000000" w:themeColor="text1"/>
        </w:rPr>
        <w:t>i </w:t>
      </w:r>
      <w:r w:rsidRPr="001C3EC8">
        <w:rPr>
          <w:color w:val="000000" w:themeColor="text1"/>
        </w:rPr>
        <w:t xml:space="preserve">přes pokles nápadu měl soud </w:t>
      </w:r>
      <w:r w:rsidR="00060216" w:rsidRPr="001C3EC8">
        <w:rPr>
          <w:color w:val="000000" w:themeColor="text1"/>
        </w:rPr>
        <w:t xml:space="preserve">v důsledku poklesu vyřízených věcí </w:t>
      </w:r>
      <w:r w:rsidRPr="001C3EC8">
        <w:rPr>
          <w:color w:val="000000" w:themeColor="text1"/>
        </w:rPr>
        <w:t xml:space="preserve">míru vyřizování hluboko pod </w:t>
      </w:r>
      <w:r w:rsidR="00060216" w:rsidRPr="001C3EC8">
        <w:rPr>
          <w:color w:val="000000" w:themeColor="text1"/>
        </w:rPr>
        <w:t>100 </w:t>
      </w:r>
      <w:r w:rsidRPr="001C3EC8">
        <w:rPr>
          <w:color w:val="000000" w:themeColor="text1"/>
        </w:rPr>
        <w:t>%.</w:t>
      </w:r>
    </w:p>
    <w:p w14:paraId="6BA05D1C" w14:textId="32018D1D" w:rsidR="008430BD" w:rsidRPr="001C3EC8" w:rsidRDefault="008430BD" w:rsidP="008430BD">
      <w:pPr>
        <w:pStyle w:val="Podnadpis"/>
        <w:rPr>
          <w:color w:val="000000" w:themeColor="text1"/>
        </w:rPr>
      </w:pPr>
      <w:bookmarkStart w:id="624" w:name="_Toc515871401"/>
      <w:bookmarkStart w:id="625" w:name="_Toc11135132"/>
      <w:bookmarkStart w:id="626" w:name="_Toc43841451"/>
      <w:bookmarkStart w:id="627" w:name="_Toc75952253"/>
      <w:r w:rsidRPr="001C3EC8">
        <w:rPr>
          <w:color w:val="000000" w:themeColor="text1"/>
        </w:rPr>
        <w:lastRenderedPageBreak/>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73</w:t>
      </w:r>
      <w:r w:rsidRPr="001C3EC8">
        <w:rPr>
          <w:noProof/>
          <w:color w:val="000000" w:themeColor="text1"/>
        </w:rPr>
        <w:fldChar w:fldCharType="end"/>
      </w:r>
      <w:r w:rsidRPr="001C3EC8">
        <w:rPr>
          <w:color w:val="000000" w:themeColor="text1"/>
        </w:rPr>
        <w:t>: KS – DT správního řízení v letech 2008–20</w:t>
      </w:r>
      <w:bookmarkEnd w:id="624"/>
      <w:bookmarkEnd w:id="625"/>
      <w:bookmarkEnd w:id="626"/>
      <w:r w:rsidRPr="001C3EC8">
        <w:rPr>
          <w:color w:val="000000" w:themeColor="text1"/>
        </w:rPr>
        <w:t>20</w:t>
      </w:r>
      <w:bookmarkEnd w:id="627"/>
    </w:p>
    <w:p w14:paraId="22C3DC21" w14:textId="77777777" w:rsidR="00B07E76" w:rsidRDefault="008430BD" w:rsidP="008430BD">
      <w:pPr>
        <w:rPr>
          <w:color w:val="000000" w:themeColor="text1"/>
        </w:rPr>
      </w:pPr>
      <w:r w:rsidRPr="001C3EC8">
        <w:rPr>
          <w:noProof/>
          <w:color w:val="000000" w:themeColor="text1"/>
          <w:lang w:eastAsia="cs-CZ"/>
        </w:rPr>
        <w:drawing>
          <wp:inline distT="0" distB="0" distL="0" distR="0" wp14:anchorId="325CDB84" wp14:editId="2F5E373D">
            <wp:extent cx="5114925" cy="3743325"/>
            <wp:effectExtent l="0" t="0" r="0" b="952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5726DF8" w14:textId="7127E688" w:rsidR="008430BD" w:rsidRPr="001C3EC8" w:rsidRDefault="008430BD" w:rsidP="008430BD">
      <w:pPr>
        <w:rPr>
          <w:color w:val="000000" w:themeColor="text1"/>
        </w:rPr>
      </w:pPr>
    </w:p>
    <w:p w14:paraId="51F193DE" w14:textId="456DE66E" w:rsidR="008430BD" w:rsidRPr="001C3EC8" w:rsidRDefault="008430BD" w:rsidP="008430BD">
      <w:pPr>
        <w:pStyle w:val="Podnadpis"/>
        <w:rPr>
          <w:color w:val="000000" w:themeColor="text1"/>
        </w:rPr>
      </w:pPr>
      <w:bookmarkStart w:id="628" w:name="_Toc515871494"/>
      <w:bookmarkStart w:id="629" w:name="_Toc11133261"/>
      <w:bookmarkStart w:id="630" w:name="_Toc43931240"/>
      <w:bookmarkStart w:id="631" w:name="_Toc75952373"/>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70</w:t>
      </w:r>
      <w:r w:rsidRPr="001C3EC8">
        <w:rPr>
          <w:noProof/>
          <w:color w:val="000000" w:themeColor="text1"/>
        </w:rPr>
        <w:fldChar w:fldCharType="end"/>
      </w:r>
      <w:r w:rsidRPr="001C3EC8">
        <w:rPr>
          <w:color w:val="000000" w:themeColor="text1"/>
        </w:rPr>
        <w:t>: KS – DT správního řízení dle soudů</w:t>
      </w:r>
      <w:bookmarkEnd w:id="628"/>
      <w:bookmarkEnd w:id="629"/>
      <w:bookmarkEnd w:id="630"/>
      <w:bookmarkEnd w:id="631"/>
    </w:p>
    <w:tbl>
      <w:tblPr>
        <w:tblW w:w="5960" w:type="dxa"/>
        <w:tblCellMar>
          <w:left w:w="70" w:type="dxa"/>
          <w:right w:w="70" w:type="dxa"/>
        </w:tblCellMar>
        <w:tblLook w:val="04A0" w:firstRow="1" w:lastRow="0" w:firstColumn="1" w:lastColumn="0" w:noHBand="0" w:noVBand="1"/>
      </w:tblPr>
      <w:tblGrid>
        <w:gridCol w:w="2780"/>
        <w:gridCol w:w="1253"/>
        <w:gridCol w:w="1927"/>
      </w:tblGrid>
      <w:tr w:rsidR="008430BD" w:rsidRPr="001C3EC8" w14:paraId="6EDC182A" w14:textId="77777777" w:rsidTr="00E077F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BC2952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32E0A30E"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6E6FEB9F" w14:textId="77777777" w:rsidTr="00E077F3">
        <w:trPr>
          <w:trHeight w:val="330"/>
        </w:trPr>
        <w:tc>
          <w:tcPr>
            <w:tcW w:w="2780" w:type="dxa"/>
            <w:tcBorders>
              <w:top w:val="nil"/>
              <w:left w:val="nil"/>
              <w:bottom w:val="single" w:sz="4" w:space="0" w:color="auto"/>
              <w:right w:val="nil"/>
            </w:tcBorders>
            <w:shd w:val="clear" w:color="auto" w:fill="auto"/>
            <w:noWrap/>
            <w:vAlign w:val="bottom"/>
            <w:hideMark/>
          </w:tcPr>
          <w:p w14:paraId="0C97F96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3D4868F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347</w:t>
            </w:r>
          </w:p>
        </w:tc>
        <w:tc>
          <w:tcPr>
            <w:tcW w:w="1927" w:type="dxa"/>
            <w:tcBorders>
              <w:top w:val="nil"/>
              <w:left w:val="nil"/>
              <w:bottom w:val="single" w:sz="4" w:space="0" w:color="auto"/>
              <w:right w:val="nil"/>
            </w:tcBorders>
            <w:shd w:val="clear" w:color="auto" w:fill="auto"/>
            <w:noWrap/>
            <w:vAlign w:val="center"/>
            <w:hideMark/>
          </w:tcPr>
          <w:p w14:paraId="1DEED50C" w14:textId="2ACC621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-25 </w:t>
            </w:r>
            <w:r w:rsidR="00B07E76">
              <w:rPr>
                <w:rFonts w:eastAsia="Times New Roman"/>
                <w:color w:val="000000" w:themeColor="text1"/>
                <w:sz w:val="20"/>
                <w:szCs w:val="20"/>
                <w:lang w:eastAsia="cs-CZ"/>
              </w:rPr>
              <w:t>%</w:t>
            </w:r>
          </w:p>
        </w:tc>
      </w:tr>
      <w:tr w:rsidR="008430BD" w:rsidRPr="001C3EC8" w14:paraId="79E6F052"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6AF30C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19EFA34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362</w:t>
            </w:r>
          </w:p>
        </w:tc>
        <w:tc>
          <w:tcPr>
            <w:tcW w:w="1927" w:type="dxa"/>
            <w:tcBorders>
              <w:top w:val="nil"/>
              <w:left w:val="nil"/>
              <w:bottom w:val="single" w:sz="4" w:space="0" w:color="auto"/>
              <w:right w:val="nil"/>
            </w:tcBorders>
            <w:shd w:val="clear" w:color="auto" w:fill="auto"/>
            <w:noWrap/>
            <w:vAlign w:val="center"/>
            <w:hideMark/>
          </w:tcPr>
          <w:p w14:paraId="1958ACB9" w14:textId="52A86D2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r>
      <w:tr w:rsidR="008430BD" w:rsidRPr="001C3EC8" w14:paraId="06EC7E5C"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B9E860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7B89A21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162</w:t>
            </w:r>
          </w:p>
        </w:tc>
        <w:tc>
          <w:tcPr>
            <w:tcW w:w="1927" w:type="dxa"/>
            <w:tcBorders>
              <w:top w:val="nil"/>
              <w:left w:val="nil"/>
              <w:bottom w:val="single" w:sz="4" w:space="0" w:color="auto"/>
              <w:right w:val="nil"/>
            </w:tcBorders>
            <w:shd w:val="clear" w:color="auto" w:fill="auto"/>
            <w:noWrap/>
            <w:vAlign w:val="center"/>
            <w:hideMark/>
          </w:tcPr>
          <w:p w14:paraId="6A1D73B3" w14:textId="335FD63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r>
      <w:tr w:rsidR="008430BD" w:rsidRPr="001C3EC8" w14:paraId="44B30099"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39B84B3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6E2A54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173</w:t>
            </w:r>
          </w:p>
        </w:tc>
        <w:tc>
          <w:tcPr>
            <w:tcW w:w="1927" w:type="dxa"/>
            <w:tcBorders>
              <w:top w:val="nil"/>
              <w:left w:val="nil"/>
              <w:bottom w:val="single" w:sz="4" w:space="0" w:color="auto"/>
              <w:right w:val="nil"/>
            </w:tcBorders>
            <w:shd w:val="clear" w:color="auto" w:fill="auto"/>
            <w:noWrap/>
            <w:vAlign w:val="center"/>
            <w:hideMark/>
          </w:tcPr>
          <w:p w14:paraId="6906CB52" w14:textId="5E137C8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r>
      <w:tr w:rsidR="008430BD" w:rsidRPr="001C3EC8" w14:paraId="477E9EBD"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222AD86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60BDCE8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353</w:t>
            </w:r>
          </w:p>
        </w:tc>
        <w:tc>
          <w:tcPr>
            <w:tcW w:w="1927" w:type="dxa"/>
            <w:tcBorders>
              <w:top w:val="nil"/>
              <w:left w:val="nil"/>
              <w:bottom w:val="single" w:sz="4" w:space="0" w:color="auto"/>
              <w:right w:val="nil"/>
            </w:tcBorders>
            <w:shd w:val="clear" w:color="auto" w:fill="auto"/>
            <w:noWrap/>
            <w:vAlign w:val="center"/>
            <w:hideMark/>
          </w:tcPr>
          <w:p w14:paraId="6CA9C1D9" w14:textId="133405D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r>
      <w:tr w:rsidR="008430BD" w:rsidRPr="001C3EC8" w14:paraId="6F2F8303"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5F9C8AB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138217A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258</w:t>
            </w:r>
          </w:p>
        </w:tc>
        <w:tc>
          <w:tcPr>
            <w:tcW w:w="1927" w:type="dxa"/>
            <w:tcBorders>
              <w:top w:val="nil"/>
              <w:left w:val="nil"/>
              <w:bottom w:val="single" w:sz="4" w:space="0" w:color="auto"/>
              <w:right w:val="nil"/>
            </w:tcBorders>
            <w:shd w:val="clear" w:color="auto" w:fill="auto"/>
            <w:noWrap/>
            <w:vAlign w:val="center"/>
            <w:hideMark/>
          </w:tcPr>
          <w:p w14:paraId="00D10EC0" w14:textId="057C528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r>
      <w:tr w:rsidR="008430BD" w:rsidRPr="001C3EC8" w14:paraId="09418EF6" w14:textId="77777777" w:rsidTr="00E077F3">
        <w:trPr>
          <w:trHeight w:val="315"/>
        </w:trPr>
        <w:tc>
          <w:tcPr>
            <w:tcW w:w="2780" w:type="dxa"/>
            <w:tcBorders>
              <w:top w:val="nil"/>
              <w:left w:val="nil"/>
              <w:bottom w:val="single" w:sz="4" w:space="0" w:color="auto"/>
              <w:right w:val="nil"/>
            </w:tcBorders>
            <w:shd w:val="clear" w:color="auto" w:fill="auto"/>
            <w:noWrap/>
            <w:vAlign w:val="bottom"/>
            <w:hideMark/>
          </w:tcPr>
          <w:p w14:paraId="0CC1EAD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065A72D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392</w:t>
            </w:r>
          </w:p>
        </w:tc>
        <w:tc>
          <w:tcPr>
            <w:tcW w:w="1927" w:type="dxa"/>
            <w:tcBorders>
              <w:top w:val="nil"/>
              <w:left w:val="nil"/>
              <w:bottom w:val="single" w:sz="4" w:space="0" w:color="auto"/>
              <w:right w:val="nil"/>
            </w:tcBorders>
            <w:shd w:val="clear" w:color="auto" w:fill="auto"/>
            <w:noWrap/>
            <w:vAlign w:val="center"/>
            <w:hideMark/>
          </w:tcPr>
          <w:p w14:paraId="56F4D2A3" w14:textId="182561F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4F60CECC" w14:textId="77777777" w:rsidTr="00E077F3">
        <w:trPr>
          <w:trHeight w:val="330"/>
        </w:trPr>
        <w:tc>
          <w:tcPr>
            <w:tcW w:w="2780" w:type="dxa"/>
            <w:tcBorders>
              <w:top w:val="nil"/>
              <w:left w:val="nil"/>
              <w:bottom w:val="double" w:sz="6" w:space="0" w:color="auto"/>
              <w:right w:val="nil"/>
            </w:tcBorders>
            <w:shd w:val="clear" w:color="auto" w:fill="auto"/>
            <w:noWrap/>
            <w:vAlign w:val="bottom"/>
            <w:hideMark/>
          </w:tcPr>
          <w:p w14:paraId="33161B6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722531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231</w:t>
            </w:r>
          </w:p>
        </w:tc>
        <w:tc>
          <w:tcPr>
            <w:tcW w:w="1927" w:type="dxa"/>
            <w:tcBorders>
              <w:top w:val="nil"/>
              <w:left w:val="nil"/>
              <w:bottom w:val="double" w:sz="6" w:space="0" w:color="auto"/>
              <w:right w:val="nil"/>
            </w:tcBorders>
            <w:shd w:val="clear" w:color="auto" w:fill="auto"/>
            <w:noWrap/>
            <w:vAlign w:val="center"/>
            <w:hideMark/>
          </w:tcPr>
          <w:p w14:paraId="17F93B33" w14:textId="4CC28A3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+50 </w:t>
            </w:r>
            <w:r w:rsidR="00B07E76">
              <w:rPr>
                <w:rFonts w:eastAsia="Times New Roman"/>
                <w:color w:val="000000" w:themeColor="text1"/>
                <w:sz w:val="20"/>
                <w:szCs w:val="20"/>
                <w:lang w:eastAsia="cs-CZ"/>
              </w:rPr>
              <w:t>%</w:t>
            </w:r>
          </w:p>
        </w:tc>
      </w:tr>
      <w:tr w:rsidR="008430BD" w:rsidRPr="001C3EC8" w14:paraId="085FABE5" w14:textId="77777777" w:rsidTr="00E077F3">
        <w:trPr>
          <w:trHeight w:val="345"/>
        </w:trPr>
        <w:tc>
          <w:tcPr>
            <w:tcW w:w="2780" w:type="dxa"/>
            <w:tcBorders>
              <w:top w:val="nil"/>
              <w:left w:val="nil"/>
              <w:bottom w:val="double" w:sz="6" w:space="0" w:color="auto"/>
              <w:right w:val="nil"/>
            </w:tcBorders>
            <w:shd w:val="clear" w:color="auto" w:fill="auto"/>
            <w:noWrap/>
            <w:vAlign w:val="bottom"/>
            <w:hideMark/>
          </w:tcPr>
          <w:p w14:paraId="4FEA3596"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67168E4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317</w:t>
            </w:r>
          </w:p>
        </w:tc>
        <w:tc>
          <w:tcPr>
            <w:tcW w:w="1927" w:type="dxa"/>
            <w:tcBorders>
              <w:top w:val="nil"/>
              <w:left w:val="nil"/>
              <w:bottom w:val="double" w:sz="6" w:space="0" w:color="auto"/>
              <w:right w:val="nil"/>
            </w:tcBorders>
            <w:shd w:val="clear" w:color="auto" w:fill="auto"/>
            <w:noWrap/>
            <w:vAlign w:val="center"/>
            <w:hideMark/>
          </w:tcPr>
          <w:p w14:paraId="675D7BB5" w14:textId="6EAEF5A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-11 </w:t>
            </w:r>
            <w:r w:rsidR="00B07E76">
              <w:rPr>
                <w:rFonts w:eastAsia="Times New Roman"/>
                <w:b/>
                <w:bCs/>
                <w:color w:val="000000" w:themeColor="text1"/>
                <w:sz w:val="20"/>
                <w:szCs w:val="20"/>
                <w:lang w:eastAsia="cs-CZ"/>
              </w:rPr>
              <w:t>%</w:t>
            </w:r>
          </w:p>
        </w:tc>
      </w:tr>
    </w:tbl>
    <w:p w14:paraId="59521B33" w14:textId="77777777" w:rsidR="008430BD" w:rsidRPr="001C3EC8" w:rsidRDefault="008430BD" w:rsidP="008430BD">
      <w:pPr>
        <w:rPr>
          <w:color w:val="000000" w:themeColor="text1"/>
        </w:rPr>
      </w:pPr>
    </w:p>
    <w:p w14:paraId="3DEA5768" w14:textId="0F2832E3" w:rsidR="008430BD" w:rsidRPr="001C3EC8" w:rsidRDefault="008430BD" w:rsidP="008430BD">
      <w:pPr>
        <w:pStyle w:val="OdstavecASR"/>
        <w:rPr>
          <w:color w:val="000000" w:themeColor="text1"/>
        </w:rPr>
      </w:pPr>
      <w:r w:rsidRPr="001C3EC8">
        <w:rPr>
          <w:color w:val="000000" w:themeColor="text1"/>
        </w:rPr>
        <w:t xml:space="preserve">Celkově jsou délky řízení ve správním soudnictví značně vysoké a značná je stále i zatíženost správních úseků soudů. </w:t>
      </w:r>
      <w:r w:rsidR="00ED6972" w:rsidRPr="001C3EC8">
        <w:rPr>
          <w:color w:val="000000" w:themeColor="text1"/>
        </w:rPr>
        <w:t>Veskrze</w:t>
      </w:r>
      <w:r w:rsidRPr="001C3EC8">
        <w:rPr>
          <w:color w:val="000000" w:themeColor="text1"/>
        </w:rPr>
        <w:t xml:space="preserve"> situace ve správním soudnictví stále nevypadá dobře Nicméně díky posilování správních úseků </w:t>
      </w:r>
      <w:r w:rsidR="00532306" w:rsidRPr="001C3EC8">
        <w:rPr>
          <w:color w:val="000000" w:themeColor="text1"/>
        </w:rPr>
        <w:t>a</w:t>
      </w:r>
      <w:r w:rsidR="00532306">
        <w:rPr>
          <w:color w:val="000000" w:themeColor="text1"/>
        </w:rPr>
        <w:t> </w:t>
      </w:r>
      <w:r w:rsidRPr="001C3EC8">
        <w:rPr>
          <w:color w:val="000000" w:themeColor="text1"/>
        </w:rPr>
        <w:t xml:space="preserve">poklesu </w:t>
      </w:r>
      <w:r w:rsidR="00532306" w:rsidRPr="001C3EC8">
        <w:rPr>
          <w:color w:val="000000" w:themeColor="text1"/>
        </w:rPr>
        <w:t>v</w:t>
      </w:r>
      <w:r w:rsidR="00532306">
        <w:rPr>
          <w:color w:val="000000" w:themeColor="text1"/>
        </w:rPr>
        <w:t> </w:t>
      </w:r>
      <w:r w:rsidRPr="001C3EC8">
        <w:rPr>
          <w:color w:val="000000" w:themeColor="text1"/>
        </w:rPr>
        <w:t>nápadu došlo k výraznému poklesu v počtu nevyřízených věcí v posledních dvou letech. Situace se tedy zlepšila, ale ještě zdaleka není dobrá.</w:t>
      </w:r>
    </w:p>
    <w:p w14:paraId="62280F7D" w14:textId="77777777" w:rsidR="008430BD" w:rsidRPr="001C3EC8" w:rsidRDefault="008430BD" w:rsidP="008430BD">
      <w:pPr>
        <w:rPr>
          <w:color w:val="000000" w:themeColor="text1"/>
        </w:rPr>
      </w:pPr>
    </w:p>
    <w:p w14:paraId="35E71F07" w14:textId="77777777" w:rsidR="008430BD" w:rsidRPr="001C3EC8" w:rsidRDefault="008430BD" w:rsidP="008430BD">
      <w:pPr>
        <w:rPr>
          <w:color w:val="000000" w:themeColor="text1"/>
        </w:rPr>
      </w:pPr>
    </w:p>
    <w:p w14:paraId="7E9E299A" w14:textId="77777777" w:rsidR="008430BD" w:rsidRPr="001C3EC8" w:rsidRDefault="008430BD" w:rsidP="008430BD">
      <w:pPr>
        <w:rPr>
          <w:color w:val="000000" w:themeColor="text1"/>
        </w:rPr>
      </w:pPr>
    </w:p>
    <w:p w14:paraId="14AF05E3" w14:textId="77777777" w:rsidR="008430BD" w:rsidRPr="001C3EC8" w:rsidRDefault="008430BD" w:rsidP="008430BD">
      <w:pPr>
        <w:pStyle w:val="Nadpis2"/>
        <w:numPr>
          <w:ilvl w:val="1"/>
          <w:numId w:val="1"/>
        </w:numPr>
        <w:spacing w:before="120"/>
      </w:pPr>
      <w:bookmarkStart w:id="632" w:name="_Ref511982760"/>
      <w:bookmarkStart w:id="633" w:name="_Toc515871272"/>
      <w:bookmarkStart w:id="634" w:name="_Toc75952113"/>
      <w:r w:rsidRPr="001C3EC8">
        <w:lastRenderedPageBreak/>
        <w:t>Insolvenční agenda</w:t>
      </w:r>
      <w:bookmarkEnd w:id="632"/>
      <w:bookmarkEnd w:id="633"/>
      <w:bookmarkEnd w:id="634"/>
    </w:p>
    <w:p w14:paraId="1981A292" w14:textId="77777777" w:rsidR="008430BD" w:rsidRPr="001C3EC8" w:rsidRDefault="008430BD" w:rsidP="008430BD">
      <w:pPr>
        <w:pStyle w:val="OdstavecASR"/>
        <w:rPr>
          <w:color w:val="000000" w:themeColor="text1"/>
        </w:rPr>
      </w:pPr>
      <w:r w:rsidRPr="001C3EC8">
        <w:rPr>
          <w:color w:val="000000" w:themeColor="text1"/>
        </w:rPr>
        <w:t xml:space="preserve">Insolvenční agenda je vedena v prvostupňovém rejstříku INS. Ve vedení statistik nedošlo v průběhu sledovaných let k žádným změnám. Přesto můžeme očekávat, že se většina ukazatelů během let výrazně měnila. Jedná se totiž o poměrně novou agendu z roku 2008 (do té doby byly insolvenční věci upraveny jiným systémem a byly vedeny v jiných rejstřících) a obvykle trvá několik let, než se ukazatele ustálí. Je ještě třeba připomenout, že součástí insolvenční agendy je projednávání a rozhodování incidenčních sporů, které jsou vedeny v rejstříku </w:t>
      </w:r>
      <w:proofErr w:type="spellStart"/>
      <w:r w:rsidRPr="001C3EC8">
        <w:rPr>
          <w:color w:val="000000" w:themeColor="text1"/>
        </w:rPr>
        <w:t>ICm</w:t>
      </w:r>
      <w:proofErr w:type="spellEnd"/>
      <w:r w:rsidRPr="001C3EC8">
        <w:rPr>
          <w:color w:val="000000" w:themeColor="text1"/>
        </w:rPr>
        <w:t>. Tomuto rejstříku se věnuje další kapitola.</w:t>
      </w:r>
    </w:p>
    <w:p w14:paraId="1D466AFF" w14:textId="70A48591" w:rsidR="008430BD" w:rsidRPr="001C3EC8" w:rsidRDefault="008430BD" w:rsidP="008430BD">
      <w:pPr>
        <w:pStyle w:val="OdstavecASR"/>
        <w:rPr>
          <w:color w:val="000000" w:themeColor="text1"/>
        </w:rPr>
      </w:pPr>
      <w:r w:rsidRPr="001C3EC8">
        <w:rPr>
          <w:color w:val="000000" w:themeColor="text1"/>
        </w:rPr>
        <w:t xml:space="preserve">Když tato agenda vznikla, dalo se </w:t>
      </w:r>
      <w:proofErr w:type="gramStart"/>
      <w:r w:rsidRPr="001C3EC8">
        <w:rPr>
          <w:color w:val="000000" w:themeColor="text1"/>
        </w:rPr>
        <w:t>říci</w:t>
      </w:r>
      <w:proofErr w:type="gramEnd"/>
      <w:r w:rsidRPr="001C3EC8">
        <w:rPr>
          <w:color w:val="000000" w:themeColor="text1"/>
        </w:rPr>
        <w:t xml:space="preserve">, že ve skutečnosti šlo </w:t>
      </w:r>
      <w:r w:rsidR="00532306" w:rsidRPr="001C3EC8">
        <w:rPr>
          <w:color w:val="000000" w:themeColor="text1"/>
        </w:rPr>
        <w:t>o</w:t>
      </w:r>
      <w:r w:rsidR="00532306">
        <w:rPr>
          <w:color w:val="000000" w:themeColor="text1"/>
        </w:rPr>
        <w:t> </w:t>
      </w:r>
      <w:r w:rsidRPr="001C3EC8">
        <w:rPr>
          <w:color w:val="000000" w:themeColor="text1"/>
        </w:rPr>
        <w:t xml:space="preserve">dvě zcela odlišné agendy – insolvenci podnikatelů (zejména osob právnických </w:t>
      </w:r>
      <w:r w:rsidR="00532306" w:rsidRPr="001C3EC8">
        <w:rPr>
          <w:color w:val="000000" w:themeColor="text1"/>
        </w:rPr>
        <w:t>a</w:t>
      </w:r>
      <w:r w:rsidR="00532306">
        <w:rPr>
          <w:color w:val="000000" w:themeColor="text1"/>
        </w:rPr>
        <w:t> </w:t>
      </w:r>
      <w:r w:rsidRPr="001C3EC8">
        <w:rPr>
          <w:color w:val="000000" w:themeColor="text1"/>
        </w:rPr>
        <w:t xml:space="preserve">podnikajících fyzických osob) </w:t>
      </w:r>
      <w:r w:rsidR="00532306" w:rsidRPr="001C3EC8">
        <w:rPr>
          <w:color w:val="000000" w:themeColor="text1"/>
        </w:rPr>
        <w:t>a</w:t>
      </w:r>
      <w:r w:rsidR="00532306">
        <w:rPr>
          <w:color w:val="000000" w:themeColor="text1"/>
        </w:rPr>
        <w:t> </w:t>
      </w:r>
      <w:r w:rsidRPr="001C3EC8">
        <w:rPr>
          <w:color w:val="000000" w:themeColor="text1"/>
        </w:rPr>
        <w:t xml:space="preserve">insolvenci nepodnikatelů (zpravidla fyzických osob jako spotřebitelů). Insolvence fyzických osob spotřebitelů se označovaly jako spotřebitelské insolvence. Podnikatelské </w:t>
      </w:r>
      <w:r w:rsidR="00532306" w:rsidRPr="001C3EC8">
        <w:rPr>
          <w:color w:val="000000" w:themeColor="text1"/>
        </w:rPr>
        <w:t>a</w:t>
      </w:r>
      <w:r w:rsidR="00532306">
        <w:rPr>
          <w:color w:val="000000" w:themeColor="text1"/>
        </w:rPr>
        <w:t> </w:t>
      </w:r>
      <w:r w:rsidRPr="001C3EC8">
        <w:rPr>
          <w:color w:val="000000" w:themeColor="text1"/>
        </w:rPr>
        <w:t xml:space="preserve">spotřebitelské insolvence tak představovaly skutkově i právně rozdílné druhy insolvencí. V naprosté většině případů se spotřebitelské insolvence řešily </w:t>
      </w:r>
      <w:r w:rsidR="00532306" w:rsidRPr="001C3EC8">
        <w:rPr>
          <w:color w:val="000000" w:themeColor="text1"/>
        </w:rPr>
        <w:t>a</w:t>
      </w:r>
      <w:r w:rsidR="00532306">
        <w:rPr>
          <w:color w:val="000000" w:themeColor="text1"/>
        </w:rPr>
        <w:t> </w:t>
      </w:r>
      <w:r w:rsidRPr="001C3EC8">
        <w:rPr>
          <w:color w:val="000000" w:themeColor="text1"/>
        </w:rPr>
        <w:t xml:space="preserve">dodnes řeší tzv. oddlužením, naopak ty podnikatelské zpravidla konkursem. Toto rozdělení však postupem času </w:t>
      </w:r>
      <w:r w:rsidR="00532306" w:rsidRPr="001C3EC8">
        <w:rPr>
          <w:color w:val="000000" w:themeColor="text1"/>
        </w:rPr>
        <w:t>a</w:t>
      </w:r>
      <w:r w:rsidR="00532306">
        <w:rPr>
          <w:color w:val="000000" w:themeColor="text1"/>
        </w:rPr>
        <w:t> </w:t>
      </w:r>
      <w:r w:rsidRPr="001C3EC8">
        <w:rPr>
          <w:color w:val="000000" w:themeColor="text1"/>
        </w:rPr>
        <w:t xml:space="preserve">dalšími novelizacemi zákona č. 182/2006 Sb., o úpadku a způsobech jeho řešení (insolvenční zákon), který tuto agendu upravuje, částečně ztratilo na důležitosti. Zejména významná novela insolvenčního zákona účinná od 1. července 2017, provedená zákonem č. 64/2017 Sb., ještě podstatněji otevřela podnikajícím fyzickým osobám možnost řešit úpadek oddlužením. </w:t>
      </w:r>
      <w:r w:rsidR="00532306" w:rsidRPr="001C3EC8">
        <w:rPr>
          <w:color w:val="000000" w:themeColor="text1"/>
        </w:rPr>
        <w:t>I</w:t>
      </w:r>
      <w:r w:rsidR="00532306">
        <w:rPr>
          <w:color w:val="000000" w:themeColor="text1"/>
        </w:rPr>
        <w:t> </w:t>
      </w:r>
      <w:r w:rsidRPr="001C3EC8">
        <w:rPr>
          <w:color w:val="000000" w:themeColor="text1"/>
        </w:rPr>
        <w:t xml:space="preserve">právnické osoby, které zákon nezařazuje mezi podnikatele, nadto mají možnost projít oddlužením. V důsledku toho již rozdělení na spotřebitelské a podnikatelské insolvence jen podle členění na fyzické a právnické osoby nadále plně nekoresponduje. Ministerstvo spravedlnosti pak bohužel </w:t>
      </w:r>
      <w:r w:rsidR="00532306" w:rsidRPr="001C3EC8">
        <w:rPr>
          <w:color w:val="000000" w:themeColor="text1"/>
        </w:rPr>
        <w:t>v</w:t>
      </w:r>
      <w:r w:rsidR="00532306">
        <w:rPr>
          <w:color w:val="000000" w:themeColor="text1"/>
        </w:rPr>
        <w:t> </w:t>
      </w:r>
      <w:r w:rsidRPr="001C3EC8">
        <w:rPr>
          <w:color w:val="000000" w:themeColor="text1"/>
        </w:rPr>
        <w:t xml:space="preserve">současné době ne vždy disponuje daty, která by umožnila spotřebitelské </w:t>
      </w:r>
      <w:r w:rsidR="00532306" w:rsidRPr="001C3EC8">
        <w:rPr>
          <w:color w:val="000000" w:themeColor="text1"/>
        </w:rPr>
        <w:t>a</w:t>
      </w:r>
      <w:r w:rsidR="00532306">
        <w:rPr>
          <w:color w:val="000000" w:themeColor="text1"/>
        </w:rPr>
        <w:t> </w:t>
      </w:r>
      <w:r w:rsidRPr="001C3EC8">
        <w:rPr>
          <w:color w:val="000000" w:themeColor="text1"/>
        </w:rPr>
        <w:t>podnikatelské insolvence důsledně rozlišit. V podkapitole věnované délkám řízení proto dělíme insolvence na insolvence fyzických osob (ty ale zahrnují i podnikající fyzické osoby) a insolvence právnických osob. V ostatních podkapitolách nejsou k dispozici data, která by dělení umožnila. Další významná novela insolvenčního zákona (zákon č. 31/2019 Sb.), která nabyla účinnost dne 1.</w:t>
      </w:r>
      <w:r w:rsidR="00532306">
        <w:rPr>
          <w:color w:val="000000" w:themeColor="text1"/>
        </w:rPr>
        <w:t> </w:t>
      </w:r>
      <w:r w:rsidRPr="001C3EC8">
        <w:rPr>
          <w:color w:val="000000" w:themeColor="text1"/>
        </w:rPr>
        <w:t xml:space="preserve">června 2019, kromě řady změn technického charakteru opětovně zásadně zasáhla do procesu oddlužení. Jejím hlavním záměrem je zpřístupnění institutu oddlužení i dlužníkům v tzv. </w:t>
      </w:r>
      <w:r w:rsidRPr="001C3EC8">
        <w:rPr>
          <w:i/>
          <w:color w:val="000000" w:themeColor="text1"/>
        </w:rPr>
        <w:t>dluhové pasti</w:t>
      </w:r>
      <w:r w:rsidRPr="001C3EC8">
        <w:rPr>
          <w:color w:val="000000" w:themeColor="text1"/>
        </w:rPr>
        <w:t xml:space="preserve">. Novela zároveň reagovala na potřeby, které vyplynuly z aplikační praxe pro oddlužení fyzických osob – podnikatelů. Změny zavedené touto novelou jsou velmi významné </w:t>
      </w:r>
      <w:r w:rsidR="00532306" w:rsidRPr="001C3EC8">
        <w:rPr>
          <w:color w:val="000000" w:themeColor="text1"/>
        </w:rPr>
        <w:t>a</w:t>
      </w:r>
      <w:r w:rsidR="00532306">
        <w:rPr>
          <w:color w:val="000000" w:themeColor="text1"/>
        </w:rPr>
        <w:t> </w:t>
      </w:r>
      <w:r w:rsidRPr="001C3EC8">
        <w:rPr>
          <w:color w:val="000000" w:themeColor="text1"/>
        </w:rPr>
        <w:t>jejich účinek bude mít dopad v delším časovém horizontu. Mohou ovlivnit jak délky řízení, tak vyřizování insolvenčních věcí.</w:t>
      </w:r>
    </w:p>
    <w:p w14:paraId="318375B4" w14:textId="77777777" w:rsidR="008430BD" w:rsidRPr="001C3EC8" w:rsidRDefault="008430BD" w:rsidP="008430BD">
      <w:pPr>
        <w:pStyle w:val="Nadpis3"/>
        <w:numPr>
          <w:ilvl w:val="2"/>
          <w:numId w:val="1"/>
        </w:numPr>
        <w:rPr>
          <w:color w:val="000000" w:themeColor="text1"/>
        </w:rPr>
      </w:pPr>
      <w:bookmarkStart w:id="635" w:name="_Toc515871273"/>
      <w:bookmarkStart w:id="636" w:name="_Toc75952114"/>
      <w:r w:rsidRPr="001C3EC8">
        <w:rPr>
          <w:color w:val="000000" w:themeColor="text1"/>
        </w:rPr>
        <w:t>Délka řízení</w:t>
      </w:r>
      <w:bookmarkEnd w:id="635"/>
      <w:bookmarkEnd w:id="636"/>
    </w:p>
    <w:p w14:paraId="1B4755A8" w14:textId="4FC33A03" w:rsidR="008430BD" w:rsidRPr="001C3EC8" w:rsidRDefault="008430BD" w:rsidP="008430BD">
      <w:pPr>
        <w:pStyle w:val="OdstavecASR"/>
        <w:rPr>
          <w:color w:val="000000" w:themeColor="text1"/>
        </w:rPr>
      </w:pPr>
      <w:bookmarkStart w:id="637" w:name="_Toc515871496"/>
      <w:bookmarkStart w:id="638" w:name="_Toc11133262"/>
      <w:r w:rsidRPr="001C3EC8">
        <w:rPr>
          <w:color w:val="000000" w:themeColor="text1"/>
        </w:rPr>
        <w:t xml:space="preserve">Sledování délky řízení je u této agendy složitější, protože se jedná o vícefázové řízení upravené insolvenčním zákonem. Jednoduše řečeno, v první fázi je rozhodnuto o insolvenčním návrhu, případně </w:t>
      </w:r>
      <w:r w:rsidR="00532306" w:rsidRPr="001C3EC8">
        <w:rPr>
          <w:color w:val="000000" w:themeColor="text1"/>
        </w:rPr>
        <w:t>i</w:t>
      </w:r>
      <w:r w:rsidR="00532306">
        <w:rPr>
          <w:color w:val="000000" w:themeColor="text1"/>
        </w:rPr>
        <w:t> </w:t>
      </w:r>
      <w:r w:rsidRPr="001C3EC8">
        <w:rPr>
          <w:color w:val="000000" w:themeColor="text1"/>
        </w:rPr>
        <w:t>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konkurs, reorganizace). Například oddlužení běžně trvá pět let. Soud má reálný vliv na délku řízení pouze v první fázi, ve fázi řešení úpadku má u oddlužení pouze nepřímý vliv na délku řízení. Zkoumat tedy budeme délku řízení týkající se právě této první fáze insolvenčního řízení. Budeme pracovat s délkou řízení ode dne zahájení řízení do dne rozhodnutí o insolvenčním návrhu, tedy do dne, kdy bylo rozhodnuto o úpadku nebo bylo o insolvenčním návrhu rozhodnuto jinak.</w:t>
      </w:r>
    </w:p>
    <w:p w14:paraId="1AADCAA7" w14:textId="7DEA7B01" w:rsidR="008430BD" w:rsidRPr="001C3EC8" w:rsidRDefault="008430BD" w:rsidP="008430BD">
      <w:pPr>
        <w:pStyle w:val="Podnadpis"/>
        <w:rPr>
          <w:color w:val="000000" w:themeColor="text1"/>
        </w:rPr>
      </w:pPr>
      <w:bookmarkStart w:id="639" w:name="_Toc515871402"/>
      <w:bookmarkStart w:id="640" w:name="_Toc11135133"/>
      <w:bookmarkStart w:id="641" w:name="_Toc43841452"/>
      <w:bookmarkStart w:id="642" w:name="_Toc75952254"/>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74</w:t>
      </w:r>
      <w:r w:rsidRPr="001C3EC8">
        <w:rPr>
          <w:noProof/>
          <w:color w:val="000000" w:themeColor="text1"/>
        </w:rPr>
        <w:fldChar w:fldCharType="end"/>
      </w:r>
      <w:r w:rsidRPr="001C3EC8">
        <w:rPr>
          <w:color w:val="000000" w:themeColor="text1"/>
        </w:rPr>
        <w:t>: KS – délka insolvenčního řízení v letech 2008–20</w:t>
      </w:r>
      <w:bookmarkEnd w:id="639"/>
      <w:bookmarkEnd w:id="640"/>
      <w:bookmarkEnd w:id="641"/>
      <w:r w:rsidRPr="001C3EC8">
        <w:rPr>
          <w:color w:val="000000" w:themeColor="text1"/>
        </w:rPr>
        <w:t>20</w:t>
      </w:r>
      <w:bookmarkEnd w:id="642"/>
    </w:p>
    <w:p w14:paraId="18441A20"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4C79E24C" wp14:editId="7AEB4DDB">
            <wp:extent cx="5114925" cy="3743325"/>
            <wp:effectExtent l="0" t="0" r="0" b="9525"/>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7AAEC9C" w14:textId="762CCFEE" w:rsidR="008430BD" w:rsidRPr="001C3EC8" w:rsidRDefault="008430BD" w:rsidP="008430BD">
      <w:pPr>
        <w:pStyle w:val="OdstavecASR"/>
        <w:rPr>
          <w:color w:val="000000" w:themeColor="text1"/>
        </w:rPr>
      </w:pPr>
      <w:r w:rsidRPr="001C3EC8">
        <w:rPr>
          <w:color w:val="000000" w:themeColor="text1"/>
        </w:rPr>
        <w:t xml:space="preserve">Na grafu sledujeme zjevný rostoucí trend, který ale postupně zpomaluje. Nárůst v prvních letech lze jednoduše vysvětlit. Jednalo se o zcela novou soudní agendu, počet napadlých a vyřízených věcí byl velmi malý a soudy neměly žádné nedodělky z minula. Postupem času se musela vykazovaná délka řízení nezbytně zvýšit. Od roku 2014 je již nicméně poměrně stabilní. V absolutních číslech jsou vykazované délky řízení v porovnání s ostatními agendami relativně malé. V roce 2017 vzrostl o několik dnů medián, ale na druhou stranu klesl devadesátý percentil. To znamená, že klesla variabilita v délkách řízení: vyřídit běžnou věc trvalo déle, ale extrémně dlouhé věci byly vyřízeny rychleji. V roce 2018 pak narostly medián, průměr </w:t>
      </w:r>
      <w:r w:rsidR="00532306" w:rsidRPr="001C3EC8">
        <w:rPr>
          <w:color w:val="000000" w:themeColor="text1"/>
        </w:rPr>
        <w:t>i</w:t>
      </w:r>
      <w:r w:rsidR="00532306">
        <w:rPr>
          <w:color w:val="000000" w:themeColor="text1"/>
        </w:rPr>
        <w:t> </w:t>
      </w:r>
      <w:r w:rsidRPr="001C3EC8">
        <w:rPr>
          <w:color w:val="000000" w:themeColor="text1"/>
        </w:rPr>
        <w:t xml:space="preserve">percentil 90, ale jen velmi mírně. V roce 2019 se trend obrátil </w:t>
      </w:r>
      <w:r w:rsidR="00532306" w:rsidRPr="001C3EC8">
        <w:rPr>
          <w:color w:val="000000" w:themeColor="text1"/>
        </w:rPr>
        <w:t>a</w:t>
      </w:r>
      <w:r w:rsidR="00532306">
        <w:rPr>
          <w:color w:val="000000" w:themeColor="text1"/>
        </w:rPr>
        <w:t> </w:t>
      </w:r>
      <w:r w:rsidRPr="001C3EC8">
        <w:rPr>
          <w:color w:val="000000" w:themeColor="text1"/>
        </w:rPr>
        <w:t>délky řízení začaly klesat. V roce 2020 například průměr klesl na úroveň roku 2013.</w:t>
      </w:r>
    </w:p>
    <w:p w14:paraId="4343CBE0" w14:textId="77777777" w:rsidR="008430BD" w:rsidRPr="001C3EC8" w:rsidRDefault="008430BD" w:rsidP="008430BD">
      <w:pPr>
        <w:pStyle w:val="OdstavecASR"/>
        <w:rPr>
          <w:color w:val="000000" w:themeColor="text1"/>
        </w:rPr>
      </w:pPr>
      <w:r w:rsidRPr="001C3EC8">
        <w:rPr>
          <w:color w:val="000000" w:themeColor="text1"/>
        </w:rPr>
        <w:t>V tabulce vidíme, že rozdíly v délce řízení jsou mezi soudy malé. To naznačuje, že v ČR není soud, který by měl výraznější problémy s vyřizováním insolvenčních návrhů.</w:t>
      </w:r>
    </w:p>
    <w:p w14:paraId="1AF13ADA" w14:textId="77777777" w:rsidR="008430BD" w:rsidRPr="001C3EC8" w:rsidRDefault="008430BD" w:rsidP="008430BD">
      <w:pPr>
        <w:spacing w:line="240" w:lineRule="auto"/>
        <w:jc w:val="left"/>
        <w:rPr>
          <w:rFonts w:eastAsia="Times New Roman"/>
          <w:b/>
          <w:iCs/>
          <w:color w:val="000000" w:themeColor="text1"/>
          <w:spacing w:val="15"/>
          <w:szCs w:val="24"/>
        </w:rPr>
      </w:pPr>
      <w:bookmarkStart w:id="643" w:name="_Toc43931241"/>
      <w:r w:rsidRPr="001C3EC8">
        <w:rPr>
          <w:color w:val="000000" w:themeColor="text1"/>
        </w:rPr>
        <w:br w:type="page"/>
      </w:r>
    </w:p>
    <w:p w14:paraId="336B74F1" w14:textId="1DE89FDA" w:rsidR="008430BD" w:rsidRPr="001C3EC8" w:rsidRDefault="008430BD" w:rsidP="008430BD">
      <w:pPr>
        <w:pStyle w:val="Podnadpis"/>
        <w:rPr>
          <w:color w:val="000000" w:themeColor="text1"/>
          <w:highlight w:val="yellow"/>
        </w:rPr>
      </w:pPr>
      <w:bookmarkStart w:id="644" w:name="_Toc75952374"/>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71</w:t>
      </w:r>
      <w:r w:rsidRPr="001C3EC8">
        <w:rPr>
          <w:noProof/>
          <w:color w:val="000000" w:themeColor="text1"/>
        </w:rPr>
        <w:fldChar w:fldCharType="end"/>
      </w:r>
      <w:r w:rsidRPr="001C3EC8">
        <w:rPr>
          <w:color w:val="000000" w:themeColor="text1"/>
        </w:rPr>
        <w:t>: KS – délky insolvenčního řízení dle soudů</w:t>
      </w:r>
      <w:bookmarkEnd w:id="643"/>
      <w:bookmarkEnd w:id="644"/>
    </w:p>
    <w:tbl>
      <w:tblPr>
        <w:tblW w:w="7520" w:type="dxa"/>
        <w:tblCellMar>
          <w:left w:w="70" w:type="dxa"/>
          <w:right w:w="70" w:type="dxa"/>
        </w:tblCellMar>
        <w:tblLook w:val="04A0" w:firstRow="1" w:lastRow="0" w:firstColumn="1" w:lastColumn="0" w:noHBand="0" w:noVBand="1"/>
      </w:tblPr>
      <w:tblGrid>
        <w:gridCol w:w="2480"/>
        <w:gridCol w:w="528"/>
        <w:gridCol w:w="1025"/>
        <w:gridCol w:w="528"/>
        <w:gridCol w:w="1172"/>
        <w:gridCol w:w="762"/>
        <w:gridCol w:w="1025"/>
      </w:tblGrid>
      <w:tr w:rsidR="008430BD" w:rsidRPr="001C3EC8" w14:paraId="710EAA84"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C7220C9" w14:textId="1287D57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016093B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54112A5F"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5AB07327"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553" w:type="dxa"/>
            <w:gridSpan w:val="2"/>
            <w:tcBorders>
              <w:top w:val="nil"/>
              <w:left w:val="nil"/>
              <w:bottom w:val="double" w:sz="6" w:space="0" w:color="auto"/>
              <w:right w:val="single" w:sz="4" w:space="0" w:color="000000"/>
            </w:tcBorders>
            <w:shd w:val="clear" w:color="auto" w:fill="auto"/>
            <w:noWrap/>
            <w:vAlign w:val="center"/>
            <w:hideMark/>
          </w:tcPr>
          <w:p w14:paraId="3E3E857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700" w:type="dxa"/>
            <w:gridSpan w:val="2"/>
            <w:tcBorders>
              <w:top w:val="nil"/>
              <w:left w:val="nil"/>
              <w:bottom w:val="double" w:sz="6" w:space="0" w:color="auto"/>
              <w:right w:val="single" w:sz="4" w:space="0" w:color="000000"/>
            </w:tcBorders>
            <w:shd w:val="clear" w:color="auto" w:fill="auto"/>
            <w:noWrap/>
            <w:vAlign w:val="center"/>
            <w:hideMark/>
          </w:tcPr>
          <w:p w14:paraId="7F923DE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787" w:type="dxa"/>
            <w:gridSpan w:val="2"/>
            <w:tcBorders>
              <w:top w:val="nil"/>
              <w:left w:val="nil"/>
              <w:bottom w:val="double" w:sz="6" w:space="0" w:color="auto"/>
              <w:right w:val="nil"/>
            </w:tcBorders>
            <w:shd w:val="clear" w:color="auto" w:fill="auto"/>
            <w:noWrap/>
            <w:vAlign w:val="center"/>
            <w:hideMark/>
          </w:tcPr>
          <w:p w14:paraId="285EB34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5B806C9D"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1936E7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528" w:type="dxa"/>
            <w:tcBorders>
              <w:top w:val="single" w:sz="4" w:space="0" w:color="auto"/>
              <w:left w:val="nil"/>
              <w:bottom w:val="single" w:sz="4" w:space="0" w:color="auto"/>
              <w:right w:val="nil"/>
            </w:tcBorders>
            <w:shd w:val="clear" w:color="auto" w:fill="auto"/>
            <w:noWrap/>
            <w:vAlign w:val="bottom"/>
            <w:hideMark/>
          </w:tcPr>
          <w:p w14:paraId="00014038"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w:t>
            </w:r>
          </w:p>
        </w:tc>
        <w:tc>
          <w:tcPr>
            <w:tcW w:w="1025" w:type="dxa"/>
            <w:tcBorders>
              <w:top w:val="single" w:sz="4" w:space="0" w:color="auto"/>
              <w:left w:val="nil"/>
              <w:bottom w:val="single" w:sz="4" w:space="0" w:color="auto"/>
              <w:right w:val="nil"/>
            </w:tcBorders>
            <w:shd w:val="clear" w:color="auto" w:fill="auto"/>
            <w:noWrap/>
            <w:vAlign w:val="center"/>
            <w:hideMark/>
          </w:tcPr>
          <w:p w14:paraId="4B096348" w14:textId="712B19FA"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-13 %</w:t>
            </w:r>
          </w:p>
        </w:tc>
        <w:tc>
          <w:tcPr>
            <w:tcW w:w="528" w:type="dxa"/>
            <w:tcBorders>
              <w:top w:val="nil"/>
              <w:left w:val="single" w:sz="4" w:space="0" w:color="auto"/>
              <w:bottom w:val="single" w:sz="4" w:space="0" w:color="auto"/>
              <w:right w:val="nil"/>
            </w:tcBorders>
            <w:shd w:val="clear" w:color="auto" w:fill="auto"/>
            <w:noWrap/>
            <w:vAlign w:val="bottom"/>
            <w:hideMark/>
          </w:tcPr>
          <w:p w14:paraId="4232B12D"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c>
          <w:tcPr>
            <w:tcW w:w="1172" w:type="dxa"/>
            <w:tcBorders>
              <w:top w:val="nil"/>
              <w:left w:val="nil"/>
              <w:bottom w:val="single" w:sz="4" w:space="0" w:color="auto"/>
              <w:right w:val="single" w:sz="4" w:space="0" w:color="auto"/>
            </w:tcBorders>
            <w:shd w:val="clear" w:color="auto" w:fill="auto"/>
            <w:noWrap/>
            <w:vAlign w:val="center"/>
            <w:hideMark/>
          </w:tcPr>
          <w:p w14:paraId="2DC3E1E4" w14:textId="1D908E46"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-13 %</w:t>
            </w:r>
          </w:p>
        </w:tc>
        <w:tc>
          <w:tcPr>
            <w:tcW w:w="762" w:type="dxa"/>
            <w:tcBorders>
              <w:top w:val="single" w:sz="4" w:space="0" w:color="auto"/>
              <w:left w:val="nil"/>
              <w:bottom w:val="single" w:sz="4" w:space="0" w:color="auto"/>
              <w:right w:val="nil"/>
            </w:tcBorders>
            <w:shd w:val="clear" w:color="auto" w:fill="auto"/>
            <w:noWrap/>
            <w:vAlign w:val="bottom"/>
            <w:hideMark/>
          </w:tcPr>
          <w:p w14:paraId="4EBDB9CD"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169</w:t>
            </w:r>
          </w:p>
        </w:tc>
        <w:tc>
          <w:tcPr>
            <w:tcW w:w="1025" w:type="dxa"/>
            <w:tcBorders>
              <w:top w:val="single" w:sz="4" w:space="0" w:color="auto"/>
              <w:left w:val="nil"/>
              <w:bottom w:val="single" w:sz="4" w:space="0" w:color="auto"/>
              <w:right w:val="nil"/>
            </w:tcBorders>
            <w:shd w:val="clear" w:color="auto" w:fill="auto"/>
            <w:noWrap/>
            <w:vAlign w:val="center"/>
            <w:hideMark/>
          </w:tcPr>
          <w:p w14:paraId="5F8DBC5F" w14:textId="4DAED00C"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-16 %</w:t>
            </w:r>
          </w:p>
        </w:tc>
      </w:tr>
      <w:tr w:rsidR="008430BD" w:rsidRPr="001C3EC8" w14:paraId="5C0BF33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8D3B6A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528" w:type="dxa"/>
            <w:tcBorders>
              <w:top w:val="nil"/>
              <w:left w:val="nil"/>
              <w:bottom w:val="single" w:sz="4" w:space="0" w:color="auto"/>
              <w:right w:val="nil"/>
            </w:tcBorders>
            <w:shd w:val="clear" w:color="auto" w:fill="auto"/>
            <w:noWrap/>
            <w:vAlign w:val="bottom"/>
            <w:hideMark/>
          </w:tcPr>
          <w:p w14:paraId="1D12E290"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54</w:t>
            </w:r>
          </w:p>
        </w:tc>
        <w:tc>
          <w:tcPr>
            <w:tcW w:w="1025" w:type="dxa"/>
            <w:tcBorders>
              <w:top w:val="nil"/>
              <w:left w:val="nil"/>
              <w:bottom w:val="single" w:sz="4" w:space="0" w:color="auto"/>
              <w:right w:val="nil"/>
            </w:tcBorders>
            <w:shd w:val="clear" w:color="auto" w:fill="auto"/>
            <w:noWrap/>
            <w:vAlign w:val="center"/>
            <w:hideMark/>
          </w:tcPr>
          <w:p w14:paraId="788A6322" w14:textId="4670342D"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-22 %</w:t>
            </w:r>
          </w:p>
        </w:tc>
        <w:tc>
          <w:tcPr>
            <w:tcW w:w="528" w:type="dxa"/>
            <w:tcBorders>
              <w:top w:val="nil"/>
              <w:left w:val="single" w:sz="4" w:space="0" w:color="auto"/>
              <w:bottom w:val="single" w:sz="4" w:space="0" w:color="auto"/>
              <w:right w:val="nil"/>
            </w:tcBorders>
            <w:shd w:val="clear" w:color="auto" w:fill="auto"/>
            <w:noWrap/>
            <w:vAlign w:val="bottom"/>
            <w:hideMark/>
          </w:tcPr>
          <w:p w14:paraId="700A11B9"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w:t>
            </w:r>
          </w:p>
        </w:tc>
        <w:tc>
          <w:tcPr>
            <w:tcW w:w="1172" w:type="dxa"/>
            <w:tcBorders>
              <w:top w:val="nil"/>
              <w:left w:val="nil"/>
              <w:bottom w:val="single" w:sz="4" w:space="0" w:color="auto"/>
              <w:right w:val="single" w:sz="4" w:space="0" w:color="auto"/>
            </w:tcBorders>
            <w:shd w:val="clear" w:color="auto" w:fill="auto"/>
            <w:noWrap/>
            <w:vAlign w:val="center"/>
            <w:hideMark/>
          </w:tcPr>
          <w:p w14:paraId="4D56E882" w14:textId="598E77B1"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-31 %</w:t>
            </w:r>
          </w:p>
        </w:tc>
        <w:tc>
          <w:tcPr>
            <w:tcW w:w="762" w:type="dxa"/>
            <w:tcBorders>
              <w:top w:val="nil"/>
              <w:left w:val="nil"/>
              <w:bottom w:val="single" w:sz="4" w:space="0" w:color="auto"/>
              <w:right w:val="nil"/>
            </w:tcBorders>
            <w:shd w:val="clear" w:color="auto" w:fill="auto"/>
            <w:noWrap/>
            <w:vAlign w:val="bottom"/>
            <w:hideMark/>
          </w:tcPr>
          <w:p w14:paraId="1A229846"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122</w:t>
            </w:r>
          </w:p>
        </w:tc>
        <w:tc>
          <w:tcPr>
            <w:tcW w:w="1025" w:type="dxa"/>
            <w:tcBorders>
              <w:top w:val="nil"/>
              <w:left w:val="nil"/>
              <w:bottom w:val="single" w:sz="4" w:space="0" w:color="auto"/>
              <w:right w:val="nil"/>
            </w:tcBorders>
            <w:shd w:val="clear" w:color="auto" w:fill="auto"/>
            <w:noWrap/>
            <w:vAlign w:val="center"/>
            <w:hideMark/>
          </w:tcPr>
          <w:p w14:paraId="3C386F20" w14:textId="499296DE"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-15 %</w:t>
            </w:r>
          </w:p>
        </w:tc>
      </w:tr>
      <w:tr w:rsidR="008430BD" w:rsidRPr="001C3EC8" w14:paraId="1CBC985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17E87F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528" w:type="dxa"/>
            <w:tcBorders>
              <w:top w:val="nil"/>
              <w:left w:val="nil"/>
              <w:bottom w:val="single" w:sz="4" w:space="0" w:color="auto"/>
              <w:right w:val="nil"/>
            </w:tcBorders>
            <w:shd w:val="clear" w:color="auto" w:fill="auto"/>
            <w:noWrap/>
            <w:vAlign w:val="bottom"/>
            <w:hideMark/>
          </w:tcPr>
          <w:p w14:paraId="7E3288F5"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w:t>
            </w:r>
          </w:p>
        </w:tc>
        <w:tc>
          <w:tcPr>
            <w:tcW w:w="1025" w:type="dxa"/>
            <w:tcBorders>
              <w:top w:val="nil"/>
              <w:left w:val="nil"/>
              <w:bottom w:val="single" w:sz="4" w:space="0" w:color="auto"/>
              <w:right w:val="nil"/>
            </w:tcBorders>
            <w:shd w:val="clear" w:color="auto" w:fill="auto"/>
            <w:noWrap/>
            <w:vAlign w:val="center"/>
            <w:hideMark/>
          </w:tcPr>
          <w:p w14:paraId="73BD1FBA" w14:textId="17B2AD20"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-22 %</w:t>
            </w:r>
          </w:p>
        </w:tc>
        <w:tc>
          <w:tcPr>
            <w:tcW w:w="528" w:type="dxa"/>
            <w:tcBorders>
              <w:top w:val="nil"/>
              <w:left w:val="single" w:sz="4" w:space="0" w:color="auto"/>
              <w:bottom w:val="single" w:sz="4" w:space="0" w:color="auto"/>
              <w:right w:val="nil"/>
            </w:tcBorders>
            <w:shd w:val="clear" w:color="auto" w:fill="auto"/>
            <w:noWrap/>
            <w:vAlign w:val="bottom"/>
            <w:hideMark/>
          </w:tcPr>
          <w:p w14:paraId="3977252C"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33</w:t>
            </w:r>
          </w:p>
        </w:tc>
        <w:tc>
          <w:tcPr>
            <w:tcW w:w="1172" w:type="dxa"/>
            <w:tcBorders>
              <w:top w:val="nil"/>
              <w:left w:val="nil"/>
              <w:bottom w:val="single" w:sz="4" w:space="0" w:color="auto"/>
              <w:right w:val="single" w:sz="4" w:space="0" w:color="auto"/>
            </w:tcBorders>
            <w:shd w:val="clear" w:color="auto" w:fill="auto"/>
            <w:noWrap/>
            <w:vAlign w:val="center"/>
            <w:hideMark/>
          </w:tcPr>
          <w:p w14:paraId="2AD9D38A" w14:textId="3CA85C5F"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-27 %</w:t>
            </w:r>
          </w:p>
        </w:tc>
        <w:tc>
          <w:tcPr>
            <w:tcW w:w="762" w:type="dxa"/>
            <w:tcBorders>
              <w:top w:val="nil"/>
              <w:left w:val="nil"/>
              <w:bottom w:val="single" w:sz="4" w:space="0" w:color="auto"/>
              <w:right w:val="nil"/>
            </w:tcBorders>
            <w:shd w:val="clear" w:color="auto" w:fill="auto"/>
            <w:noWrap/>
            <w:vAlign w:val="bottom"/>
            <w:hideMark/>
          </w:tcPr>
          <w:p w14:paraId="019524B6"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w:t>
            </w:r>
          </w:p>
        </w:tc>
        <w:tc>
          <w:tcPr>
            <w:tcW w:w="1025" w:type="dxa"/>
            <w:tcBorders>
              <w:top w:val="nil"/>
              <w:left w:val="nil"/>
              <w:bottom w:val="single" w:sz="4" w:space="0" w:color="auto"/>
              <w:right w:val="nil"/>
            </w:tcBorders>
            <w:shd w:val="clear" w:color="auto" w:fill="auto"/>
            <w:noWrap/>
            <w:vAlign w:val="center"/>
            <w:hideMark/>
          </w:tcPr>
          <w:p w14:paraId="51AE09D9" w14:textId="21EC87BF"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-29 %</w:t>
            </w:r>
          </w:p>
        </w:tc>
      </w:tr>
      <w:tr w:rsidR="008430BD" w:rsidRPr="001C3EC8" w14:paraId="6325A15B"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A2DCE2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528" w:type="dxa"/>
            <w:tcBorders>
              <w:top w:val="nil"/>
              <w:left w:val="nil"/>
              <w:bottom w:val="single" w:sz="4" w:space="0" w:color="auto"/>
              <w:right w:val="nil"/>
            </w:tcBorders>
            <w:shd w:val="clear" w:color="auto" w:fill="auto"/>
            <w:noWrap/>
            <w:vAlign w:val="bottom"/>
            <w:hideMark/>
          </w:tcPr>
          <w:p w14:paraId="1A4A61A5"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1025" w:type="dxa"/>
            <w:tcBorders>
              <w:top w:val="nil"/>
              <w:left w:val="nil"/>
              <w:bottom w:val="single" w:sz="4" w:space="0" w:color="auto"/>
              <w:right w:val="nil"/>
            </w:tcBorders>
            <w:shd w:val="clear" w:color="auto" w:fill="auto"/>
            <w:noWrap/>
            <w:vAlign w:val="center"/>
            <w:hideMark/>
          </w:tcPr>
          <w:p w14:paraId="3290C89D" w14:textId="0A207F0F"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-13 %</w:t>
            </w:r>
          </w:p>
        </w:tc>
        <w:tc>
          <w:tcPr>
            <w:tcW w:w="528" w:type="dxa"/>
            <w:tcBorders>
              <w:top w:val="nil"/>
              <w:left w:val="single" w:sz="4" w:space="0" w:color="auto"/>
              <w:bottom w:val="single" w:sz="4" w:space="0" w:color="auto"/>
              <w:right w:val="nil"/>
            </w:tcBorders>
            <w:shd w:val="clear" w:color="auto" w:fill="auto"/>
            <w:noWrap/>
            <w:vAlign w:val="bottom"/>
            <w:hideMark/>
          </w:tcPr>
          <w:p w14:paraId="776D086C"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w:t>
            </w:r>
          </w:p>
        </w:tc>
        <w:tc>
          <w:tcPr>
            <w:tcW w:w="1172" w:type="dxa"/>
            <w:tcBorders>
              <w:top w:val="nil"/>
              <w:left w:val="nil"/>
              <w:bottom w:val="single" w:sz="4" w:space="0" w:color="auto"/>
              <w:right w:val="single" w:sz="4" w:space="0" w:color="auto"/>
            </w:tcBorders>
            <w:shd w:val="clear" w:color="auto" w:fill="auto"/>
            <w:noWrap/>
            <w:vAlign w:val="center"/>
            <w:hideMark/>
          </w:tcPr>
          <w:p w14:paraId="2CE90BD3" w14:textId="1BB71FAB"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-21 %</w:t>
            </w:r>
          </w:p>
        </w:tc>
        <w:tc>
          <w:tcPr>
            <w:tcW w:w="762" w:type="dxa"/>
            <w:tcBorders>
              <w:top w:val="nil"/>
              <w:left w:val="nil"/>
              <w:bottom w:val="single" w:sz="4" w:space="0" w:color="auto"/>
              <w:right w:val="nil"/>
            </w:tcBorders>
            <w:shd w:val="clear" w:color="auto" w:fill="auto"/>
            <w:noWrap/>
            <w:vAlign w:val="bottom"/>
            <w:hideMark/>
          </w:tcPr>
          <w:p w14:paraId="03776969"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120</w:t>
            </w:r>
          </w:p>
        </w:tc>
        <w:tc>
          <w:tcPr>
            <w:tcW w:w="1025" w:type="dxa"/>
            <w:tcBorders>
              <w:top w:val="nil"/>
              <w:left w:val="nil"/>
              <w:bottom w:val="single" w:sz="4" w:space="0" w:color="auto"/>
              <w:right w:val="nil"/>
            </w:tcBorders>
            <w:shd w:val="clear" w:color="auto" w:fill="auto"/>
            <w:noWrap/>
            <w:vAlign w:val="center"/>
            <w:hideMark/>
          </w:tcPr>
          <w:p w14:paraId="171386C3" w14:textId="5B46A5F5"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-10 %</w:t>
            </w:r>
          </w:p>
        </w:tc>
      </w:tr>
      <w:tr w:rsidR="008430BD" w:rsidRPr="001C3EC8" w14:paraId="6A2A8A5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5AC1AF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528" w:type="dxa"/>
            <w:tcBorders>
              <w:top w:val="nil"/>
              <w:left w:val="nil"/>
              <w:bottom w:val="single" w:sz="4" w:space="0" w:color="auto"/>
              <w:right w:val="nil"/>
            </w:tcBorders>
            <w:shd w:val="clear" w:color="auto" w:fill="auto"/>
            <w:noWrap/>
            <w:vAlign w:val="bottom"/>
            <w:hideMark/>
          </w:tcPr>
          <w:p w14:paraId="26926532"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48</w:t>
            </w:r>
          </w:p>
        </w:tc>
        <w:tc>
          <w:tcPr>
            <w:tcW w:w="1025" w:type="dxa"/>
            <w:tcBorders>
              <w:top w:val="nil"/>
              <w:left w:val="nil"/>
              <w:bottom w:val="single" w:sz="4" w:space="0" w:color="auto"/>
              <w:right w:val="nil"/>
            </w:tcBorders>
            <w:shd w:val="clear" w:color="auto" w:fill="auto"/>
            <w:noWrap/>
            <w:vAlign w:val="center"/>
            <w:hideMark/>
          </w:tcPr>
          <w:p w14:paraId="5940FA3E" w14:textId="405982BE"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-20 %</w:t>
            </w:r>
          </w:p>
        </w:tc>
        <w:tc>
          <w:tcPr>
            <w:tcW w:w="528" w:type="dxa"/>
            <w:tcBorders>
              <w:top w:val="nil"/>
              <w:left w:val="single" w:sz="4" w:space="0" w:color="auto"/>
              <w:bottom w:val="single" w:sz="4" w:space="0" w:color="auto"/>
              <w:right w:val="nil"/>
            </w:tcBorders>
            <w:shd w:val="clear" w:color="auto" w:fill="auto"/>
            <w:noWrap/>
            <w:vAlign w:val="bottom"/>
            <w:hideMark/>
          </w:tcPr>
          <w:p w14:paraId="2CCCF684"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w:t>
            </w:r>
          </w:p>
        </w:tc>
        <w:tc>
          <w:tcPr>
            <w:tcW w:w="1172" w:type="dxa"/>
            <w:tcBorders>
              <w:top w:val="nil"/>
              <w:left w:val="nil"/>
              <w:bottom w:val="single" w:sz="4" w:space="0" w:color="auto"/>
              <w:right w:val="single" w:sz="4" w:space="0" w:color="auto"/>
            </w:tcBorders>
            <w:shd w:val="clear" w:color="auto" w:fill="auto"/>
            <w:noWrap/>
            <w:vAlign w:val="center"/>
            <w:hideMark/>
          </w:tcPr>
          <w:p w14:paraId="4E19DF33" w14:textId="44F98B97"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-29 %</w:t>
            </w:r>
          </w:p>
        </w:tc>
        <w:tc>
          <w:tcPr>
            <w:tcW w:w="762" w:type="dxa"/>
            <w:tcBorders>
              <w:top w:val="nil"/>
              <w:left w:val="nil"/>
              <w:bottom w:val="single" w:sz="4" w:space="0" w:color="auto"/>
              <w:right w:val="nil"/>
            </w:tcBorders>
            <w:shd w:val="clear" w:color="auto" w:fill="auto"/>
            <w:noWrap/>
            <w:vAlign w:val="bottom"/>
            <w:hideMark/>
          </w:tcPr>
          <w:p w14:paraId="519478AD"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103</w:t>
            </w:r>
          </w:p>
        </w:tc>
        <w:tc>
          <w:tcPr>
            <w:tcW w:w="1025" w:type="dxa"/>
            <w:tcBorders>
              <w:top w:val="nil"/>
              <w:left w:val="nil"/>
              <w:bottom w:val="single" w:sz="4" w:space="0" w:color="auto"/>
              <w:right w:val="nil"/>
            </w:tcBorders>
            <w:shd w:val="clear" w:color="auto" w:fill="auto"/>
            <w:noWrap/>
            <w:vAlign w:val="center"/>
            <w:hideMark/>
          </w:tcPr>
          <w:p w14:paraId="47E653D2" w14:textId="346CEE28"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-22 %</w:t>
            </w:r>
          </w:p>
        </w:tc>
      </w:tr>
      <w:tr w:rsidR="008430BD" w:rsidRPr="001C3EC8" w14:paraId="56E322F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D0ADAE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528" w:type="dxa"/>
            <w:tcBorders>
              <w:top w:val="nil"/>
              <w:left w:val="nil"/>
              <w:bottom w:val="single" w:sz="4" w:space="0" w:color="auto"/>
              <w:right w:val="nil"/>
            </w:tcBorders>
            <w:shd w:val="clear" w:color="auto" w:fill="auto"/>
            <w:noWrap/>
            <w:vAlign w:val="bottom"/>
            <w:hideMark/>
          </w:tcPr>
          <w:p w14:paraId="247D27A3"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w:t>
            </w:r>
          </w:p>
        </w:tc>
        <w:tc>
          <w:tcPr>
            <w:tcW w:w="1025" w:type="dxa"/>
            <w:tcBorders>
              <w:top w:val="nil"/>
              <w:left w:val="nil"/>
              <w:bottom w:val="single" w:sz="4" w:space="0" w:color="auto"/>
              <w:right w:val="nil"/>
            </w:tcBorders>
            <w:shd w:val="clear" w:color="auto" w:fill="auto"/>
            <w:noWrap/>
            <w:vAlign w:val="center"/>
            <w:hideMark/>
          </w:tcPr>
          <w:p w14:paraId="70666FF4" w14:textId="51F94740"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-10 %</w:t>
            </w:r>
          </w:p>
        </w:tc>
        <w:tc>
          <w:tcPr>
            <w:tcW w:w="528" w:type="dxa"/>
            <w:tcBorders>
              <w:top w:val="nil"/>
              <w:left w:val="single" w:sz="4" w:space="0" w:color="auto"/>
              <w:bottom w:val="single" w:sz="4" w:space="0" w:color="auto"/>
              <w:right w:val="nil"/>
            </w:tcBorders>
            <w:shd w:val="clear" w:color="auto" w:fill="auto"/>
            <w:noWrap/>
            <w:vAlign w:val="bottom"/>
            <w:hideMark/>
          </w:tcPr>
          <w:p w14:paraId="24E1D862"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42</w:t>
            </w:r>
          </w:p>
        </w:tc>
        <w:tc>
          <w:tcPr>
            <w:tcW w:w="1172" w:type="dxa"/>
            <w:tcBorders>
              <w:top w:val="nil"/>
              <w:left w:val="nil"/>
              <w:bottom w:val="single" w:sz="4" w:space="0" w:color="auto"/>
              <w:right w:val="single" w:sz="4" w:space="0" w:color="auto"/>
            </w:tcBorders>
            <w:shd w:val="clear" w:color="auto" w:fill="auto"/>
            <w:noWrap/>
            <w:vAlign w:val="center"/>
            <w:hideMark/>
          </w:tcPr>
          <w:p w14:paraId="0736DB15" w14:textId="632F5078"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-19 %</w:t>
            </w:r>
          </w:p>
        </w:tc>
        <w:tc>
          <w:tcPr>
            <w:tcW w:w="762" w:type="dxa"/>
            <w:tcBorders>
              <w:top w:val="nil"/>
              <w:left w:val="nil"/>
              <w:bottom w:val="single" w:sz="4" w:space="0" w:color="auto"/>
              <w:right w:val="nil"/>
            </w:tcBorders>
            <w:shd w:val="clear" w:color="auto" w:fill="auto"/>
            <w:noWrap/>
            <w:vAlign w:val="bottom"/>
            <w:hideMark/>
          </w:tcPr>
          <w:p w14:paraId="5E7F5FF0"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140</w:t>
            </w:r>
          </w:p>
        </w:tc>
        <w:tc>
          <w:tcPr>
            <w:tcW w:w="1025" w:type="dxa"/>
            <w:tcBorders>
              <w:top w:val="nil"/>
              <w:left w:val="nil"/>
              <w:bottom w:val="single" w:sz="4" w:space="0" w:color="auto"/>
              <w:right w:val="nil"/>
            </w:tcBorders>
            <w:shd w:val="clear" w:color="auto" w:fill="auto"/>
            <w:noWrap/>
            <w:vAlign w:val="center"/>
            <w:hideMark/>
          </w:tcPr>
          <w:p w14:paraId="57905393" w14:textId="292EECDA"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-5 %</w:t>
            </w:r>
          </w:p>
        </w:tc>
      </w:tr>
      <w:tr w:rsidR="008430BD" w:rsidRPr="001C3EC8" w14:paraId="7AE1B95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2C2360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528" w:type="dxa"/>
            <w:tcBorders>
              <w:top w:val="nil"/>
              <w:left w:val="nil"/>
              <w:bottom w:val="single" w:sz="4" w:space="0" w:color="auto"/>
              <w:right w:val="nil"/>
            </w:tcBorders>
            <w:shd w:val="clear" w:color="auto" w:fill="auto"/>
            <w:noWrap/>
            <w:vAlign w:val="bottom"/>
            <w:hideMark/>
          </w:tcPr>
          <w:p w14:paraId="4F9F7685"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w:t>
            </w:r>
          </w:p>
        </w:tc>
        <w:tc>
          <w:tcPr>
            <w:tcW w:w="1025" w:type="dxa"/>
            <w:tcBorders>
              <w:top w:val="nil"/>
              <w:left w:val="nil"/>
              <w:bottom w:val="single" w:sz="4" w:space="0" w:color="auto"/>
              <w:right w:val="nil"/>
            </w:tcBorders>
            <w:shd w:val="clear" w:color="auto" w:fill="auto"/>
            <w:noWrap/>
            <w:vAlign w:val="center"/>
            <w:hideMark/>
          </w:tcPr>
          <w:p w14:paraId="3392AD33" w14:textId="08413832"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-20 %</w:t>
            </w:r>
          </w:p>
        </w:tc>
        <w:tc>
          <w:tcPr>
            <w:tcW w:w="528" w:type="dxa"/>
            <w:tcBorders>
              <w:top w:val="nil"/>
              <w:left w:val="single" w:sz="4" w:space="0" w:color="auto"/>
              <w:bottom w:val="single" w:sz="4" w:space="0" w:color="auto"/>
              <w:right w:val="nil"/>
            </w:tcBorders>
            <w:shd w:val="clear" w:color="auto" w:fill="auto"/>
            <w:noWrap/>
            <w:vAlign w:val="bottom"/>
            <w:hideMark/>
          </w:tcPr>
          <w:p w14:paraId="1D0B520D"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1172" w:type="dxa"/>
            <w:tcBorders>
              <w:top w:val="nil"/>
              <w:left w:val="nil"/>
              <w:bottom w:val="single" w:sz="4" w:space="0" w:color="auto"/>
              <w:right w:val="single" w:sz="4" w:space="0" w:color="auto"/>
            </w:tcBorders>
            <w:shd w:val="clear" w:color="auto" w:fill="auto"/>
            <w:noWrap/>
            <w:vAlign w:val="center"/>
            <w:hideMark/>
          </w:tcPr>
          <w:p w14:paraId="56576C00" w14:textId="49159734"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-26 %</w:t>
            </w:r>
          </w:p>
        </w:tc>
        <w:tc>
          <w:tcPr>
            <w:tcW w:w="762" w:type="dxa"/>
            <w:tcBorders>
              <w:top w:val="nil"/>
              <w:left w:val="nil"/>
              <w:bottom w:val="single" w:sz="4" w:space="0" w:color="auto"/>
              <w:right w:val="nil"/>
            </w:tcBorders>
            <w:shd w:val="clear" w:color="auto" w:fill="auto"/>
            <w:noWrap/>
            <w:vAlign w:val="bottom"/>
            <w:hideMark/>
          </w:tcPr>
          <w:p w14:paraId="72D72D70"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w:t>
            </w:r>
          </w:p>
        </w:tc>
        <w:tc>
          <w:tcPr>
            <w:tcW w:w="1025" w:type="dxa"/>
            <w:tcBorders>
              <w:top w:val="nil"/>
              <w:left w:val="nil"/>
              <w:bottom w:val="single" w:sz="4" w:space="0" w:color="auto"/>
              <w:right w:val="nil"/>
            </w:tcBorders>
            <w:shd w:val="clear" w:color="auto" w:fill="auto"/>
            <w:noWrap/>
            <w:vAlign w:val="center"/>
            <w:hideMark/>
          </w:tcPr>
          <w:p w14:paraId="43F7220A" w14:textId="5C5672D7"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-22 %</w:t>
            </w:r>
          </w:p>
        </w:tc>
      </w:tr>
      <w:tr w:rsidR="008430BD" w:rsidRPr="001C3EC8" w14:paraId="1DC9BFC1"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408F308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528" w:type="dxa"/>
            <w:tcBorders>
              <w:top w:val="nil"/>
              <w:left w:val="nil"/>
              <w:bottom w:val="double" w:sz="6" w:space="0" w:color="auto"/>
              <w:right w:val="nil"/>
            </w:tcBorders>
            <w:shd w:val="clear" w:color="auto" w:fill="auto"/>
            <w:noWrap/>
            <w:vAlign w:val="bottom"/>
            <w:hideMark/>
          </w:tcPr>
          <w:p w14:paraId="50460F59"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62</w:t>
            </w:r>
          </w:p>
        </w:tc>
        <w:tc>
          <w:tcPr>
            <w:tcW w:w="1025" w:type="dxa"/>
            <w:tcBorders>
              <w:top w:val="nil"/>
              <w:left w:val="nil"/>
              <w:bottom w:val="double" w:sz="6" w:space="0" w:color="auto"/>
              <w:right w:val="nil"/>
            </w:tcBorders>
            <w:shd w:val="clear" w:color="auto" w:fill="auto"/>
            <w:noWrap/>
            <w:vAlign w:val="center"/>
            <w:hideMark/>
          </w:tcPr>
          <w:p w14:paraId="2AC7B4C8" w14:textId="7B8090D9"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+7 %</w:t>
            </w:r>
          </w:p>
        </w:tc>
        <w:tc>
          <w:tcPr>
            <w:tcW w:w="528" w:type="dxa"/>
            <w:tcBorders>
              <w:top w:val="nil"/>
              <w:left w:val="single" w:sz="4" w:space="0" w:color="auto"/>
              <w:bottom w:val="double" w:sz="6" w:space="0" w:color="auto"/>
              <w:right w:val="nil"/>
            </w:tcBorders>
            <w:shd w:val="clear" w:color="auto" w:fill="auto"/>
            <w:noWrap/>
            <w:vAlign w:val="bottom"/>
            <w:hideMark/>
          </w:tcPr>
          <w:p w14:paraId="4A6F2244"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w:t>
            </w:r>
          </w:p>
        </w:tc>
        <w:tc>
          <w:tcPr>
            <w:tcW w:w="1172" w:type="dxa"/>
            <w:tcBorders>
              <w:top w:val="nil"/>
              <w:left w:val="nil"/>
              <w:bottom w:val="double" w:sz="6" w:space="0" w:color="auto"/>
              <w:right w:val="single" w:sz="4" w:space="0" w:color="auto"/>
            </w:tcBorders>
            <w:shd w:val="clear" w:color="auto" w:fill="auto"/>
            <w:noWrap/>
            <w:vAlign w:val="center"/>
            <w:hideMark/>
          </w:tcPr>
          <w:p w14:paraId="24825ABB" w14:textId="0E41C082"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+10 %</w:t>
            </w:r>
          </w:p>
        </w:tc>
        <w:tc>
          <w:tcPr>
            <w:tcW w:w="762" w:type="dxa"/>
            <w:tcBorders>
              <w:top w:val="nil"/>
              <w:left w:val="nil"/>
              <w:bottom w:val="double" w:sz="6" w:space="0" w:color="auto"/>
              <w:right w:val="nil"/>
            </w:tcBorders>
            <w:shd w:val="clear" w:color="auto" w:fill="auto"/>
            <w:noWrap/>
            <w:vAlign w:val="bottom"/>
            <w:hideMark/>
          </w:tcPr>
          <w:p w14:paraId="37DF6B1C" w14:textId="77777777" w:rsidR="008430BD" w:rsidRPr="001C3EC8" w:rsidRDefault="008430BD" w:rsidP="0059689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120</w:t>
            </w:r>
          </w:p>
        </w:tc>
        <w:tc>
          <w:tcPr>
            <w:tcW w:w="1025" w:type="dxa"/>
            <w:tcBorders>
              <w:top w:val="nil"/>
              <w:left w:val="nil"/>
              <w:bottom w:val="double" w:sz="6" w:space="0" w:color="auto"/>
              <w:right w:val="nil"/>
            </w:tcBorders>
            <w:shd w:val="clear" w:color="auto" w:fill="auto"/>
            <w:noWrap/>
            <w:vAlign w:val="center"/>
            <w:hideMark/>
          </w:tcPr>
          <w:p w14:paraId="111CED56" w14:textId="0B82EF75" w:rsidR="008430BD" w:rsidRPr="001C3EC8" w:rsidRDefault="008430BD" w:rsidP="0059689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+3 %</w:t>
            </w:r>
          </w:p>
        </w:tc>
      </w:tr>
      <w:tr w:rsidR="008430BD" w:rsidRPr="001C3EC8" w14:paraId="4D0926F0"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5FCE1BD7"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528" w:type="dxa"/>
            <w:tcBorders>
              <w:top w:val="nil"/>
              <w:left w:val="nil"/>
              <w:bottom w:val="double" w:sz="6" w:space="0" w:color="auto"/>
              <w:right w:val="nil"/>
            </w:tcBorders>
            <w:shd w:val="clear" w:color="auto" w:fill="auto"/>
            <w:noWrap/>
            <w:vAlign w:val="center"/>
            <w:hideMark/>
          </w:tcPr>
          <w:p w14:paraId="010EE0F3" w14:textId="77777777" w:rsidR="008430BD" w:rsidRPr="001C3EC8" w:rsidRDefault="008430BD" w:rsidP="0059689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60</w:t>
            </w:r>
          </w:p>
        </w:tc>
        <w:tc>
          <w:tcPr>
            <w:tcW w:w="1025" w:type="dxa"/>
            <w:tcBorders>
              <w:top w:val="nil"/>
              <w:left w:val="nil"/>
              <w:bottom w:val="double" w:sz="6" w:space="0" w:color="auto"/>
              <w:right w:val="nil"/>
            </w:tcBorders>
            <w:shd w:val="clear" w:color="auto" w:fill="auto"/>
            <w:noWrap/>
            <w:vAlign w:val="center"/>
            <w:hideMark/>
          </w:tcPr>
          <w:p w14:paraId="32D87596" w14:textId="3928FFC5" w:rsidR="008430BD" w:rsidRPr="001C3EC8" w:rsidRDefault="008430BD" w:rsidP="0059689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-12 %</w:t>
            </w:r>
          </w:p>
        </w:tc>
        <w:tc>
          <w:tcPr>
            <w:tcW w:w="528" w:type="dxa"/>
            <w:tcBorders>
              <w:top w:val="nil"/>
              <w:left w:val="single" w:sz="4" w:space="0" w:color="auto"/>
              <w:bottom w:val="double" w:sz="6" w:space="0" w:color="auto"/>
              <w:right w:val="nil"/>
            </w:tcBorders>
            <w:shd w:val="clear" w:color="auto" w:fill="auto"/>
            <w:noWrap/>
            <w:vAlign w:val="center"/>
            <w:hideMark/>
          </w:tcPr>
          <w:p w14:paraId="3523D4E2" w14:textId="77777777" w:rsidR="008430BD" w:rsidRPr="001C3EC8" w:rsidRDefault="008430BD" w:rsidP="0059689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38</w:t>
            </w:r>
          </w:p>
        </w:tc>
        <w:tc>
          <w:tcPr>
            <w:tcW w:w="1172" w:type="dxa"/>
            <w:tcBorders>
              <w:top w:val="nil"/>
              <w:left w:val="nil"/>
              <w:bottom w:val="double" w:sz="6" w:space="0" w:color="auto"/>
              <w:right w:val="single" w:sz="4" w:space="0" w:color="auto"/>
            </w:tcBorders>
            <w:shd w:val="clear" w:color="auto" w:fill="auto"/>
            <w:noWrap/>
            <w:vAlign w:val="center"/>
            <w:hideMark/>
          </w:tcPr>
          <w:p w14:paraId="3AAABBD4" w14:textId="74E8FF1B" w:rsidR="008430BD" w:rsidRPr="001C3EC8" w:rsidRDefault="008430BD" w:rsidP="0059689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-19 %</w:t>
            </w:r>
          </w:p>
        </w:tc>
        <w:tc>
          <w:tcPr>
            <w:tcW w:w="762" w:type="dxa"/>
            <w:tcBorders>
              <w:top w:val="nil"/>
              <w:left w:val="nil"/>
              <w:bottom w:val="double" w:sz="6" w:space="0" w:color="auto"/>
              <w:right w:val="nil"/>
            </w:tcBorders>
            <w:shd w:val="clear" w:color="auto" w:fill="auto"/>
            <w:noWrap/>
            <w:vAlign w:val="center"/>
            <w:hideMark/>
          </w:tcPr>
          <w:p w14:paraId="42F48E6B" w14:textId="77777777" w:rsidR="008430BD" w:rsidRPr="001C3EC8" w:rsidRDefault="008430BD" w:rsidP="0059689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127</w:t>
            </w:r>
          </w:p>
        </w:tc>
        <w:tc>
          <w:tcPr>
            <w:tcW w:w="1025" w:type="dxa"/>
            <w:tcBorders>
              <w:top w:val="nil"/>
              <w:left w:val="nil"/>
              <w:bottom w:val="double" w:sz="6" w:space="0" w:color="auto"/>
              <w:right w:val="nil"/>
            </w:tcBorders>
            <w:shd w:val="clear" w:color="auto" w:fill="auto"/>
            <w:noWrap/>
            <w:vAlign w:val="center"/>
            <w:hideMark/>
          </w:tcPr>
          <w:p w14:paraId="3B086B4C" w14:textId="298FA725" w:rsidR="008430BD" w:rsidRPr="001C3EC8" w:rsidRDefault="008430BD" w:rsidP="0059689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-12 %</w:t>
            </w:r>
          </w:p>
        </w:tc>
      </w:tr>
    </w:tbl>
    <w:p w14:paraId="7327A757" w14:textId="77777777" w:rsidR="008430BD" w:rsidRPr="001C3EC8" w:rsidRDefault="008430BD" w:rsidP="008430BD">
      <w:pPr>
        <w:spacing w:line="240" w:lineRule="auto"/>
        <w:jc w:val="left"/>
        <w:rPr>
          <w:color w:val="000000" w:themeColor="text1"/>
        </w:rPr>
      </w:pPr>
    </w:p>
    <w:p w14:paraId="534BB2DC" w14:textId="77777777" w:rsidR="008430BD" w:rsidRPr="001C3EC8" w:rsidRDefault="008430BD" w:rsidP="008430BD">
      <w:pPr>
        <w:pStyle w:val="OdstavecASR"/>
        <w:keepNext/>
        <w:rPr>
          <w:b/>
          <w:color w:val="000000" w:themeColor="text1"/>
        </w:rPr>
      </w:pPr>
      <w:r w:rsidRPr="001C3EC8">
        <w:rPr>
          <w:b/>
          <w:color w:val="000000" w:themeColor="text1"/>
        </w:rPr>
        <w:t>Pouze právnické osoby (PO)</w:t>
      </w:r>
    </w:p>
    <w:p w14:paraId="6EE4A203" w14:textId="18EEBE16" w:rsidR="001B3252" w:rsidRPr="001C3EC8" w:rsidRDefault="008430BD" w:rsidP="001B3252">
      <w:pPr>
        <w:pStyle w:val="OdstavecASR"/>
        <w:rPr>
          <w:color w:val="000000" w:themeColor="text1"/>
        </w:rPr>
      </w:pPr>
      <w:r w:rsidRPr="001C3EC8">
        <w:rPr>
          <w:color w:val="000000" w:themeColor="text1"/>
        </w:rPr>
        <w:t xml:space="preserve">Tvrzení, že soud nemá vliv na délku řízení ve fázi řešení úpadku, platí většinou v situacích, v nichž je úpadek řešen oddlužením. U právnických osob je tomu jinak. Délka řízení přímo závisí na rychlosti zpeněžování majetku insolvenčním správcem (a tedy i intenzitě a kvalitě dohledové činnosti soudce) a rychlosti vyřizování incidenčních sporů. Z tohoto důvodů zde uvádíme délku řízení ode dne rozhodnutí o úpadku do dne konečného rozhodnutí soudem </w:t>
      </w:r>
      <w:r w:rsidR="000C3B1E">
        <w:rPr>
          <w:color w:val="000000" w:themeColor="text1"/>
        </w:rPr>
        <w:t>I. stupně</w:t>
      </w:r>
      <w:r w:rsidRPr="001C3EC8">
        <w:rPr>
          <w:color w:val="000000" w:themeColor="text1"/>
        </w:rPr>
        <w:t xml:space="preserve"> u věcí, kde je dlužníkem právnická osoba.</w:t>
      </w:r>
      <w:r w:rsidR="001B3252" w:rsidRPr="001B3252">
        <w:rPr>
          <w:color w:val="000000" w:themeColor="text1"/>
        </w:rPr>
        <w:t xml:space="preserve"> </w:t>
      </w:r>
      <w:r w:rsidR="001B3252" w:rsidRPr="001C3EC8">
        <w:rPr>
          <w:color w:val="000000" w:themeColor="text1"/>
        </w:rPr>
        <w:t xml:space="preserve">Ještě je třeba </w:t>
      </w:r>
      <w:r w:rsidR="001B3252">
        <w:rPr>
          <w:color w:val="000000" w:themeColor="text1"/>
        </w:rPr>
        <w:t>předeslat</w:t>
      </w:r>
      <w:r w:rsidR="001B3252" w:rsidRPr="001C3EC8">
        <w:rPr>
          <w:color w:val="000000" w:themeColor="text1"/>
        </w:rPr>
        <w:t>, že insolvence právnických osob tvoří velmi malou část agendy.</w:t>
      </w:r>
    </w:p>
    <w:p w14:paraId="1A197E50" w14:textId="21F33FBC" w:rsidR="008430BD" w:rsidRPr="001C3EC8" w:rsidRDefault="008430BD" w:rsidP="008430BD">
      <w:pPr>
        <w:pStyle w:val="OdstavecASR"/>
        <w:rPr>
          <w:color w:val="000000" w:themeColor="text1"/>
        </w:rPr>
      </w:pPr>
    </w:p>
    <w:p w14:paraId="1B752EA9" w14:textId="0AE604AC" w:rsidR="00B07E76" w:rsidRDefault="008430BD" w:rsidP="008430BD">
      <w:pPr>
        <w:pStyle w:val="OdstavecASR"/>
        <w:rPr>
          <w:color w:val="000000" w:themeColor="text1"/>
        </w:rPr>
      </w:pPr>
      <w:r w:rsidRPr="001C3EC8">
        <w:rPr>
          <w:color w:val="000000" w:themeColor="text1"/>
        </w:rPr>
        <w:t xml:space="preserve">V grafu níže vidíme silný rostoucí trend. Ten vyplývá z faktu, že se postupně ukončují řízení, která byla zahajována od roku 2008 a pomalu se nakumulovala. V dřívějších letech věci končily především z jiného důvodu než zrušením konkursu po obdržení zprávy insolvenčního správce o splnění rozvrhového usnesení, u řešení úpadku oddlužením jeho splněním nebo v případě řešení reorganizací splněním reorganizačního plánu. Jednoduše řečeno, větší podíl věcí skončil předčasně. Teprve v roce 2020 délky řízení přestaly růst </w:t>
      </w:r>
      <w:r w:rsidR="00532306" w:rsidRPr="001C3EC8">
        <w:rPr>
          <w:color w:val="000000" w:themeColor="text1"/>
        </w:rPr>
        <w:t>a</w:t>
      </w:r>
      <w:r w:rsidR="00532306">
        <w:rPr>
          <w:color w:val="000000" w:themeColor="text1"/>
        </w:rPr>
        <w:t> </w:t>
      </w:r>
      <w:r w:rsidR="00313DFB">
        <w:rPr>
          <w:color w:val="000000" w:themeColor="text1"/>
        </w:rPr>
        <w:t>mohly by se stabilizovat</w:t>
      </w:r>
      <w:r w:rsidR="00ED6972" w:rsidRPr="001C3EC8">
        <w:rPr>
          <w:color w:val="000000" w:themeColor="text1"/>
        </w:rPr>
        <w:t>.</w:t>
      </w:r>
    </w:p>
    <w:p w14:paraId="6F0CC042" w14:textId="4EE0A70B" w:rsidR="008430BD" w:rsidRPr="001C3EC8" w:rsidRDefault="008430BD" w:rsidP="008430BD">
      <w:pPr>
        <w:pStyle w:val="Podnadpis"/>
        <w:rPr>
          <w:color w:val="000000" w:themeColor="text1"/>
        </w:rPr>
      </w:pPr>
      <w:bookmarkStart w:id="645" w:name="_Toc515871403"/>
      <w:bookmarkStart w:id="646" w:name="_Toc11135134"/>
      <w:bookmarkStart w:id="647" w:name="_Toc43841453"/>
      <w:bookmarkStart w:id="648" w:name="_Toc75952255"/>
      <w:r w:rsidRPr="001C3EC8">
        <w:rPr>
          <w:color w:val="000000" w:themeColor="text1"/>
        </w:rPr>
        <w:lastRenderedPageBreak/>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75</w:t>
      </w:r>
      <w:r w:rsidRPr="001C3EC8">
        <w:rPr>
          <w:noProof/>
          <w:color w:val="000000" w:themeColor="text1"/>
        </w:rPr>
        <w:fldChar w:fldCharType="end"/>
      </w:r>
      <w:r w:rsidRPr="001C3EC8">
        <w:rPr>
          <w:color w:val="000000" w:themeColor="text1"/>
        </w:rPr>
        <w:t>: KS – délka druhé fáze insolvenčního řízení u PO v letech 2010–20</w:t>
      </w:r>
      <w:bookmarkEnd w:id="645"/>
      <w:bookmarkEnd w:id="646"/>
      <w:bookmarkEnd w:id="647"/>
      <w:r w:rsidRPr="001C3EC8">
        <w:rPr>
          <w:color w:val="000000" w:themeColor="text1"/>
        </w:rPr>
        <w:t>20</w:t>
      </w:r>
      <w:bookmarkEnd w:id="648"/>
    </w:p>
    <w:p w14:paraId="5738A54D" w14:textId="77777777" w:rsidR="008430BD" w:rsidRPr="001C3EC8" w:rsidRDefault="008430BD" w:rsidP="008430BD">
      <w:pPr>
        <w:spacing w:line="240" w:lineRule="auto"/>
        <w:jc w:val="left"/>
        <w:rPr>
          <w:color w:val="000000" w:themeColor="text1"/>
        </w:rPr>
      </w:pPr>
      <w:r w:rsidRPr="001C3EC8">
        <w:rPr>
          <w:noProof/>
          <w:color w:val="000000" w:themeColor="text1"/>
          <w:lang w:eastAsia="cs-CZ"/>
        </w:rPr>
        <w:drawing>
          <wp:inline distT="0" distB="0" distL="0" distR="0" wp14:anchorId="3016B901" wp14:editId="72C42B4F">
            <wp:extent cx="5114925" cy="3743325"/>
            <wp:effectExtent l="0" t="0" r="0" b="9525"/>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32A6898" w14:textId="379F0C6B" w:rsidR="008430BD" w:rsidRPr="001C3EC8" w:rsidRDefault="008430BD" w:rsidP="008430BD">
      <w:pPr>
        <w:pStyle w:val="OdstavecASR"/>
        <w:rPr>
          <w:color w:val="000000" w:themeColor="text1"/>
        </w:rPr>
      </w:pPr>
      <w:r w:rsidRPr="001C3EC8">
        <w:rPr>
          <w:color w:val="000000" w:themeColor="text1"/>
        </w:rPr>
        <w:t xml:space="preserve">V tabulce vidíme, že devadesátý percentil je vzhledem k jeho absolutní výši </w:t>
      </w:r>
      <w:r w:rsidR="0051437F">
        <w:rPr>
          <w:color w:val="000000" w:themeColor="text1"/>
        </w:rPr>
        <w:t xml:space="preserve">v posledních </w:t>
      </w:r>
      <w:r w:rsidR="00532306">
        <w:rPr>
          <w:color w:val="000000" w:themeColor="text1"/>
        </w:rPr>
        <w:t>2 </w:t>
      </w:r>
      <w:r w:rsidR="0051437F">
        <w:rPr>
          <w:color w:val="000000" w:themeColor="text1"/>
        </w:rPr>
        <w:t xml:space="preserve">letech </w:t>
      </w:r>
      <w:r w:rsidRPr="001C3EC8">
        <w:rPr>
          <w:color w:val="000000" w:themeColor="text1"/>
        </w:rPr>
        <w:t>poměrně vyrovnaný. Co se týče mediánu, rozdíly mezi soudy jsou v něm významnější.</w:t>
      </w:r>
    </w:p>
    <w:p w14:paraId="7CFB5F17" w14:textId="77777777" w:rsidR="008430BD" w:rsidRPr="001C3EC8" w:rsidRDefault="008430BD" w:rsidP="008430BD">
      <w:pPr>
        <w:pStyle w:val="OdstavecASR"/>
        <w:rPr>
          <w:color w:val="000000" w:themeColor="text1"/>
        </w:rPr>
      </w:pPr>
      <w:r w:rsidRPr="001C3EC8">
        <w:rPr>
          <w:color w:val="000000" w:themeColor="text1"/>
        </w:rPr>
        <w:t>Nejlépe si v tomto roce (po obrovském poklesu) vedl KS Ostrava. Naopak nejpomaleji (nejvyšší medián) vyřizuje věci KS Praha. Vzhledem k malému počtu pozorování dochází meziročně ke značným změnám. Například loni měl nejdelší délky řízení KS Plzeň.</w:t>
      </w:r>
    </w:p>
    <w:p w14:paraId="76661944" w14:textId="4BEA6D39" w:rsidR="008430BD" w:rsidRPr="001C3EC8" w:rsidRDefault="008430BD" w:rsidP="008430BD">
      <w:pPr>
        <w:pStyle w:val="OdstavecASR"/>
        <w:rPr>
          <w:color w:val="000000" w:themeColor="text1"/>
        </w:rPr>
      </w:pPr>
      <w:r w:rsidRPr="001C3EC8">
        <w:rPr>
          <w:color w:val="000000" w:themeColor="text1"/>
        </w:rPr>
        <w:t xml:space="preserve">Bližší pohled na data dále ukazuje, že insolvence akciových společností trvají déle. Délky řízení u ostatních právních forem podnikání jsou vyrovnané. Tento závěr je logický, neboť akciové společnosti jsou zpravidla výrazně větší a insolvence je tedy složitější. Nejběžnější jsou insolvence společností s ručením omezením, protože se jedná </w:t>
      </w:r>
      <w:r w:rsidR="00532306" w:rsidRPr="001C3EC8">
        <w:rPr>
          <w:color w:val="000000" w:themeColor="text1"/>
        </w:rPr>
        <w:t>o</w:t>
      </w:r>
      <w:r w:rsidR="00532306">
        <w:rPr>
          <w:color w:val="000000" w:themeColor="text1"/>
        </w:rPr>
        <w:t> </w:t>
      </w:r>
      <w:r w:rsidRPr="001C3EC8">
        <w:rPr>
          <w:color w:val="000000" w:themeColor="text1"/>
        </w:rPr>
        <w:t>zdaleka nejrozšířenější formu podnikající právnické osoby</w:t>
      </w:r>
      <w:r w:rsidR="00A659ED" w:rsidRPr="001C3EC8">
        <w:rPr>
          <w:color w:val="000000" w:themeColor="text1"/>
        </w:rPr>
        <w:t>.</w:t>
      </w:r>
    </w:p>
    <w:p w14:paraId="45E435CC" w14:textId="77777777" w:rsidR="008430BD" w:rsidRPr="001C3EC8" w:rsidRDefault="008430BD" w:rsidP="008430BD">
      <w:pPr>
        <w:spacing w:line="240" w:lineRule="auto"/>
        <w:jc w:val="left"/>
        <w:rPr>
          <w:rFonts w:eastAsia="Times New Roman"/>
          <w:b/>
          <w:iCs/>
          <w:color w:val="000000" w:themeColor="text1"/>
          <w:spacing w:val="15"/>
          <w:szCs w:val="24"/>
        </w:rPr>
      </w:pPr>
      <w:bookmarkStart w:id="649" w:name="_Toc515871498"/>
      <w:bookmarkStart w:id="650" w:name="_Toc11133263"/>
      <w:bookmarkStart w:id="651" w:name="_Toc43931242"/>
      <w:r w:rsidRPr="001C3EC8">
        <w:rPr>
          <w:color w:val="000000" w:themeColor="text1"/>
        </w:rPr>
        <w:br w:type="page"/>
      </w:r>
    </w:p>
    <w:p w14:paraId="5EF0A2C2" w14:textId="5E6EFCA6" w:rsidR="008430BD" w:rsidRPr="001C3EC8" w:rsidRDefault="008430BD" w:rsidP="008430BD">
      <w:pPr>
        <w:pStyle w:val="Podnadpis"/>
        <w:rPr>
          <w:color w:val="000000" w:themeColor="text1"/>
        </w:rPr>
      </w:pPr>
      <w:bookmarkStart w:id="652" w:name="_Toc75952375"/>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72</w:t>
      </w:r>
      <w:r w:rsidRPr="001C3EC8">
        <w:rPr>
          <w:color w:val="000000" w:themeColor="text1"/>
        </w:rPr>
        <w:fldChar w:fldCharType="end"/>
      </w:r>
      <w:r w:rsidRPr="001C3EC8">
        <w:rPr>
          <w:color w:val="000000" w:themeColor="text1"/>
        </w:rPr>
        <w:t>: KS – délka druhé fáze insolvenčního řízení u PO dle soudů</w:t>
      </w:r>
      <w:bookmarkEnd w:id="649"/>
      <w:bookmarkEnd w:id="650"/>
      <w:bookmarkEnd w:id="651"/>
      <w:bookmarkEnd w:id="652"/>
    </w:p>
    <w:tbl>
      <w:tblPr>
        <w:tblW w:w="7520" w:type="dxa"/>
        <w:tblCellMar>
          <w:left w:w="70" w:type="dxa"/>
          <w:right w:w="70" w:type="dxa"/>
        </w:tblCellMar>
        <w:tblLook w:val="04A0" w:firstRow="1" w:lastRow="0" w:firstColumn="1" w:lastColumn="0" w:noHBand="0" w:noVBand="1"/>
      </w:tblPr>
      <w:tblGrid>
        <w:gridCol w:w="2480"/>
        <w:gridCol w:w="820"/>
        <w:gridCol w:w="860"/>
        <w:gridCol w:w="820"/>
        <w:gridCol w:w="860"/>
        <w:gridCol w:w="820"/>
        <w:gridCol w:w="860"/>
      </w:tblGrid>
      <w:tr w:rsidR="008430BD" w:rsidRPr="001C3EC8" w14:paraId="67BCD8C5"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0A0C989" w14:textId="3E7AD01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43607D8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51757CBE"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52D4DBE6"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4B04FAB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191246F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6D397CC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48E45C3C"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33F6EC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20" w:type="dxa"/>
            <w:tcBorders>
              <w:top w:val="single" w:sz="4" w:space="0" w:color="auto"/>
              <w:left w:val="nil"/>
              <w:bottom w:val="single" w:sz="4" w:space="0" w:color="auto"/>
              <w:right w:val="nil"/>
            </w:tcBorders>
            <w:shd w:val="clear" w:color="auto" w:fill="auto"/>
            <w:noWrap/>
            <w:vAlign w:val="bottom"/>
            <w:hideMark/>
          </w:tcPr>
          <w:p w14:paraId="53887A8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1 376</w:t>
            </w:r>
          </w:p>
        </w:tc>
        <w:tc>
          <w:tcPr>
            <w:tcW w:w="860" w:type="dxa"/>
            <w:tcBorders>
              <w:top w:val="single" w:sz="4" w:space="0" w:color="auto"/>
              <w:left w:val="nil"/>
              <w:bottom w:val="single" w:sz="4" w:space="0" w:color="auto"/>
              <w:right w:val="nil"/>
            </w:tcBorders>
            <w:shd w:val="clear" w:color="auto" w:fill="auto"/>
            <w:noWrap/>
            <w:vAlign w:val="center"/>
            <w:hideMark/>
          </w:tcPr>
          <w:p w14:paraId="35D1E237" w14:textId="7017FB6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4FE028E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1 135</w:t>
            </w:r>
          </w:p>
        </w:tc>
        <w:tc>
          <w:tcPr>
            <w:tcW w:w="860" w:type="dxa"/>
            <w:tcBorders>
              <w:top w:val="nil"/>
              <w:left w:val="nil"/>
              <w:bottom w:val="single" w:sz="4" w:space="0" w:color="auto"/>
              <w:right w:val="single" w:sz="4" w:space="0" w:color="auto"/>
            </w:tcBorders>
            <w:shd w:val="clear" w:color="auto" w:fill="auto"/>
            <w:noWrap/>
            <w:vAlign w:val="center"/>
            <w:hideMark/>
          </w:tcPr>
          <w:p w14:paraId="658E0659" w14:textId="7C45EF9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20" w:type="dxa"/>
            <w:tcBorders>
              <w:top w:val="single" w:sz="4" w:space="0" w:color="auto"/>
              <w:left w:val="nil"/>
              <w:bottom w:val="single" w:sz="4" w:space="0" w:color="auto"/>
              <w:right w:val="nil"/>
            </w:tcBorders>
            <w:shd w:val="clear" w:color="auto" w:fill="auto"/>
            <w:noWrap/>
            <w:vAlign w:val="bottom"/>
            <w:hideMark/>
          </w:tcPr>
          <w:p w14:paraId="14967BC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2 866</w:t>
            </w:r>
          </w:p>
        </w:tc>
        <w:tc>
          <w:tcPr>
            <w:tcW w:w="860" w:type="dxa"/>
            <w:tcBorders>
              <w:top w:val="single" w:sz="4" w:space="0" w:color="auto"/>
              <w:left w:val="nil"/>
              <w:bottom w:val="single" w:sz="4" w:space="0" w:color="auto"/>
              <w:right w:val="nil"/>
            </w:tcBorders>
            <w:shd w:val="clear" w:color="auto" w:fill="auto"/>
            <w:noWrap/>
            <w:vAlign w:val="center"/>
            <w:hideMark/>
          </w:tcPr>
          <w:p w14:paraId="6C16FC92" w14:textId="27D7339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8430BD" w:rsidRPr="001C3EC8" w14:paraId="74DA8A3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BB3328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20" w:type="dxa"/>
            <w:tcBorders>
              <w:top w:val="nil"/>
              <w:left w:val="nil"/>
              <w:bottom w:val="single" w:sz="4" w:space="0" w:color="auto"/>
              <w:right w:val="nil"/>
            </w:tcBorders>
            <w:shd w:val="clear" w:color="auto" w:fill="auto"/>
            <w:noWrap/>
            <w:vAlign w:val="bottom"/>
            <w:hideMark/>
          </w:tcPr>
          <w:p w14:paraId="24A7336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1 479</w:t>
            </w:r>
          </w:p>
        </w:tc>
        <w:tc>
          <w:tcPr>
            <w:tcW w:w="860" w:type="dxa"/>
            <w:tcBorders>
              <w:top w:val="nil"/>
              <w:left w:val="nil"/>
              <w:bottom w:val="single" w:sz="4" w:space="0" w:color="auto"/>
              <w:right w:val="nil"/>
            </w:tcBorders>
            <w:shd w:val="clear" w:color="auto" w:fill="auto"/>
            <w:noWrap/>
            <w:vAlign w:val="center"/>
            <w:hideMark/>
          </w:tcPr>
          <w:p w14:paraId="3D6AAFEF" w14:textId="1551566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40EC37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1 407</w:t>
            </w:r>
          </w:p>
        </w:tc>
        <w:tc>
          <w:tcPr>
            <w:tcW w:w="860" w:type="dxa"/>
            <w:tcBorders>
              <w:top w:val="nil"/>
              <w:left w:val="nil"/>
              <w:bottom w:val="single" w:sz="4" w:space="0" w:color="auto"/>
              <w:right w:val="single" w:sz="4" w:space="0" w:color="auto"/>
            </w:tcBorders>
            <w:shd w:val="clear" w:color="auto" w:fill="auto"/>
            <w:noWrap/>
            <w:vAlign w:val="center"/>
            <w:hideMark/>
          </w:tcPr>
          <w:p w14:paraId="41121F6C" w14:textId="79F5181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6F4C50A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2 842</w:t>
            </w:r>
          </w:p>
        </w:tc>
        <w:tc>
          <w:tcPr>
            <w:tcW w:w="860" w:type="dxa"/>
            <w:tcBorders>
              <w:top w:val="nil"/>
              <w:left w:val="nil"/>
              <w:bottom w:val="single" w:sz="4" w:space="0" w:color="auto"/>
              <w:right w:val="nil"/>
            </w:tcBorders>
            <w:shd w:val="clear" w:color="auto" w:fill="auto"/>
            <w:noWrap/>
            <w:vAlign w:val="center"/>
            <w:hideMark/>
          </w:tcPr>
          <w:p w14:paraId="5DBE9EAF" w14:textId="6AFED33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8430BD" w:rsidRPr="001C3EC8" w14:paraId="5D95660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EF48C3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20" w:type="dxa"/>
            <w:tcBorders>
              <w:top w:val="nil"/>
              <w:left w:val="nil"/>
              <w:bottom w:val="single" w:sz="4" w:space="0" w:color="auto"/>
              <w:right w:val="nil"/>
            </w:tcBorders>
            <w:shd w:val="clear" w:color="auto" w:fill="auto"/>
            <w:noWrap/>
            <w:vAlign w:val="bottom"/>
            <w:hideMark/>
          </w:tcPr>
          <w:p w14:paraId="06B3CAC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1 441</w:t>
            </w:r>
          </w:p>
        </w:tc>
        <w:tc>
          <w:tcPr>
            <w:tcW w:w="860" w:type="dxa"/>
            <w:tcBorders>
              <w:top w:val="nil"/>
              <w:left w:val="nil"/>
              <w:bottom w:val="single" w:sz="4" w:space="0" w:color="auto"/>
              <w:right w:val="nil"/>
            </w:tcBorders>
            <w:shd w:val="clear" w:color="auto" w:fill="auto"/>
            <w:noWrap/>
            <w:vAlign w:val="center"/>
            <w:hideMark/>
          </w:tcPr>
          <w:p w14:paraId="3A7657E8" w14:textId="13F7A9F4"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69173A8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1 238</w:t>
            </w:r>
          </w:p>
        </w:tc>
        <w:tc>
          <w:tcPr>
            <w:tcW w:w="860" w:type="dxa"/>
            <w:tcBorders>
              <w:top w:val="nil"/>
              <w:left w:val="nil"/>
              <w:bottom w:val="single" w:sz="4" w:space="0" w:color="auto"/>
              <w:right w:val="single" w:sz="4" w:space="0" w:color="auto"/>
            </w:tcBorders>
            <w:shd w:val="clear" w:color="auto" w:fill="auto"/>
            <w:noWrap/>
            <w:vAlign w:val="center"/>
            <w:hideMark/>
          </w:tcPr>
          <w:p w14:paraId="3B2DC97A" w14:textId="6C66A61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6697252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3 026</w:t>
            </w:r>
          </w:p>
        </w:tc>
        <w:tc>
          <w:tcPr>
            <w:tcW w:w="860" w:type="dxa"/>
            <w:tcBorders>
              <w:top w:val="nil"/>
              <w:left w:val="nil"/>
              <w:bottom w:val="single" w:sz="4" w:space="0" w:color="auto"/>
              <w:right w:val="nil"/>
            </w:tcBorders>
            <w:shd w:val="clear" w:color="auto" w:fill="auto"/>
            <w:noWrap/>
            <w:vAlign w:val="center"/>
            <w:hideMark/>
          </w:tcPr>
          <w:p w14:paraId="4F78850F" w14:textId="34ABF39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57BBE29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77791E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20" w:type="dxa"/>
            <w:tcBorders>
              <w:top w:val="nil"/>
              <w:left w:val="nil"/>
              <w:bottom w:val="single" w:sz="4" w:space="0" w:color="auto"/>
              <w:right w:val="nil"/>
            </w:tcBorders>
            <w:shd w:val="clear" w:color="auto" w:fill="auto"/>
            <w:noWrap/>
            <w:vAlign w:val="bottom"/>
            <w:hideMark/>
          </w:tcPr>
          <w:p w14:paraId="51260F3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1 630</w:t>
            </w:r>
          </w:p>
        </w:tc>
        <w:tc>
          <w:tcPr>
            <w:tcW w:w="860" w:type="dxa"/>
            <w:tcBorders>
              <w:top w:val="nil"/>
              <w:left w:val="nil"/>
              <w:bottom w:val="single" w:sz="4" w:space="0" w:color="auto"/>
              <w:right w:val="nil"/>
            </w:tcBorders>
            <w:shd w:val="clear" w:color="auto" w:fill="auto"/>
            <w:noWrap/>
            <w:vAlign w:val="center"/>
            <w:hideMark/>
          </w:tcPr>
          <w:p w14:paraId="3C22437D" w14:textId="667B7871"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0983E71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1 253</w:t>
            </w:r>
          </w:p>
        </w:tc>
        <w:tc>
          <w:tcPr>
            <w:tcW w:w="860" w:type="dxa"/>
            <w:tcBorders>
              <w:top w:val="nil"/>
              <w:left w:val="nil"/>
              <w:bottom w:val="single" w:sz="4" w:space="0" w:color="auto"/>
              <w:right w:val="single" w:sz="4" w:space="0" w:color="auto"/>
            </w:tcBorders>
            <w:shd w:val="clear" w:color="auto" w:fill="auto"/>
            <w:noWrap/>
            <w:vAlign w:val="center"/>
            <w:hideMark/>
          </w:tcPr>
          <w:p w14:paraId="2444CDD9" w14:textId="07D235A6"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7E99C0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3 428</w:t>
            </w:r>
          </w:p>
        </w:tc>
        <w:tc>
          <w:tcPr>
            <w:tcW w:w="860" w:type="dxa"/>
            <w:tcBorders>
              <w:top w:val="nil"/>
              <w:left w:val="nil"/>
              <w:bottom w:val="single" w:sz="4" w:space="0" w:color="auto"/>
              <w:right w:val="nil"/>
            </w:tcBorders>
            <w:shd w:val="clear" w:color="auto" w:fill="auto"/>
            <w:noWrap/>
            <w:vAlign w:val="center"/>
            <w:hideMark/>
          </w:tcPr>
          <w:p w14:paraId="6B813ADB" w14:textId="6D81DACC"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346DDA3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DEF83A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20" w:type="dxa"/>
            <w:tcBorders>
              <w:top w:val="nil"/>
              <w:left w:val="nil"/>
              <w:bottom w:val="single" w:sz="4" w:space="0" w:color="auto"/>
              <w:right w:val="nil"/>
            </w:tcBorders>
            <w:shd w:val="clear" w:color="auto" w:fill="auto"/>
            <w:noWrap/>
            <w:vAlign w:val="bottom"/>
            <w:hideMark/>
          </w:tcPr>
          <w:p w14:paraId="489A999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1 640</w:t>
            </w:r>
          </w:p>
        </w:tc>
        <w:tc>
          <w:tcPr>
            <w:tcW w:w="860" w:type="dxa"/>
            <w:tcBorders>
              <w:top w:val="nil"/>
              <w:left w:val="nil"/>
              <w:bottom w:val="single" w:sz="4" w:space="0" w:color="auto"/>
              <w:right w:val="nil"/>
            </w:tcBorders>
            <w:shd w:val="clear" w:color="auto" w:fill="auto"/>
            <w:noWrap/>
            <w:vAlign w:val="center"/>
            <w:hideMark/>
          </w:tcPr>
          <w:p w14:paraId="6E036D0D" w14:textId="6F28F21F"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147B903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1 370</w:t>
            </w:r>
          </w:p>
        </w:tc>
        <w:tc>
          <w:tcPr>
            <w:tcW w:w="860" w:type="dxa"/>
            <w:tcBorders>
              <w:top w:val="nil"/>
              <w:left w:val="nil"/>
              <w:bottom w:val="single" w:sz="4" w:space="0" w:color="auto"/>
              <w:right w:val="single" w:sz="4" w:space="0" w:color="auto"/>
            </w:tcBorders>
            <w:shd w:val="clear" w:color="auto" w:fill="auto"/>
            <w:noWrap/>
            <w:vAlign w:val="center"/>
            <w:hideMark/>
          </w:tcPr>
          <w:p w14:paraId="6357AD65" w14:textId="1D85493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35A3F6B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3 571</w:t>
            </w:r>
          </w:p>
        </w:tc>
        <w:tc>
          <w:tcPr>
            <w:tcW w:w="860" w:type="dxa"/>
            <w:tcBorders>
              <w:top w:val="nil"/>
              <w:left w:val="nil"/>
              <w:bottom w:val="single" w:sz="4" w:space="0" w:color="auto"/>
              <w:right w:val="nil"/>
            </w:tcBorders>
            <w:shd w:val="clear" w:color="auto" w:fill="auto"/>
            <w:noWrap/>
            <w:vAlign w:val="center"/>
            <w:hideMark/>
          </w:tcPr>
          <w:p w14:paraId="6E3CFAC9" w14:textId="70572CF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r>
      <w:tr w:rsidR="008430BD" w:rsidRPr="001C3EC8" w14:paraId="3C71B167"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559711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20" w:type="dxa"/>
            <w:tcBorders>
              <w:top w:val="nil"/>
              <w:left w:val="nil"/>
              <w:bottom w:val="single" w:sz="4" w:space="0" w:color="auto"/>
              <w:right w:val="nil"/>
            </w:tcBorders>
            <w:shd w:val="clear" w:color="auto" w:fill="auto"/>
            <w:noWrap/>
            <w:vAlign w:val="bottom"/>
            <w:hideMark/>
          </w:tcPr>
          <w:p w14:paraId="03540B3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1 499</w:t>
            </w:r>
          </w:p>
        </w:tc>
        <w:tc>
          <w:tcPr>
            <w:tcW w:w="860" w:type="dxa"/>
            <w:tcBorders>
              <w:top w:val="nil"/>
              <w:left w:val="nil"/>
              <w:bottom w:val="single" w:sz="4" w:space="0" w:color="auto"/>
              <w:right w:val="nil"/>
            </w:tcBorders>
            <w:shd w:val="clear" w:color="auto" w:fill="auto"/>
            <w:noWrap/>
            <w:vAlign w:val="center"/>
            <w:hideMark/>
          </w:tcPr>
          <w:p w14:paraId="4A3E4B9D" w14:textId="603C44D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52E7A6B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1 320</w:t>
            </w:r>
          </w:p>
        </w:tc>
        <w:tc>
          <w:tcPr>
            <w:tcW w:w="860" w:type="dxa"/>
            <w:tcBorders>
              <w:top w:val="nil"/>
              <w:left w:val="nil"/>
              <w:bottom w:val="single" w:sz="4" w:space="0" w:color="auto"/>
              <w:right w:val="single" w:sz="4" w:space="0" w:color="auto"/>
            </w:tcBorders>
            <w:shd w:val="clear" w:color="auto" w:fill="auto"/>
            <w:noWrap/>
            <w:vAlign w:val="center"/>
            <w:hideMark/>
          </w:tcPr>
          <w:p w14:paraId="1BF2D149" w14:textId="0DE2237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4D5390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2 739</w:t>
            </w:r>
          </w:p>
        </w:tc>
        <w:tc>
          <w:tcPr>
            <w:tcW w:w="860" w:type="dxa"/>
            <w:tcBorders>
              <w:top w:val="nil"/>
              <w:left w:val="nil"/>
              <w:bottom w:val="single" w:sz="4" w:space="0" w:color="auto"/>
              <w:right w:val="nil"/>
            </w:tcBorders>
            <w:shd w:val="clear" w:color="auto" w:fill="auto"/>
            <w:noWrap/>
            <w:vAlign w:val="center"/>
            <w:hideMark/>
          </w:tcPr>
          <w:p w14:paraId="19CBD9DD" w14:textId="071E78C3"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38F1E74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70AF862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20" w:type="dxa"/>
            <w:tcBorders>
              <w:top w:val="nil"/>
              <w:left w:val="nil"/>
              <w:bottom w:val="single" w:sz="4" w:space="0" w:color="auto"/>
              <w:right w:val="nil"/>
            </w:tcBorders>
            <w:shd w:val="clear" w:color="auto" w:fill="auto"/>
            <w:noWrap/>
            <w:vAlign w:val="bottom"/>
            <w:hideMark/>
          </w:tcPr>
          <w:p w14:paraId="18BA2F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1 435</w:t>
            </w:r>
          </w:p>
        </w:tc>
        <w:tc>
          <w:tcPr>
            <w:tcW w:w="860" w:type="dxa"/>
            <w:tcBorders>
              <w:top w:val="nil"/>
              <w:left w:val="nil"/>
              <w:bottom w:val="single" w:sz="4" w:space="0" w:color="auto"/>
              <w:right w:val="nil"/>
            </w:tcBorders>
            <w:shd w:val="clear" w:color="auto" w:fill="auto"/>
            <w:noWrap/>
            <w:vAlign w:val="center"/>
            <w:hideMark/>
          </w:tcPr>
          <w:p w14:paraId="39BB5247" w14:textId="4E8138E0"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62503F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1 267</w:t>
            </w:r>
          </w:p>
        </w:tc>
        <w:tc>
          <w:tcPr>
            <w:tcW w:w="860" w:type="dxa"/>
            <w:tcBorders>
              <w:top w:val="nil"/>
              <w:left w:val="nil"/>
              <w:bottom w:val="single" w:sz="4" w:space="0" w:color="auto"/>
              <w:right w:val="single" w:sz="4" w:space="0" w:color="auto"/>
            </w:tcBorders>
            <w:shd w:val="clear" w:color="auto" w:fill="auto"/>
            <w:noWrap/>
            <w:vAlign w:val="center"/>
            <w:hideMark/>
          </w:tcPr>
          <w:p w14:paraId="3B941223" w14:textId="312AE072"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3A88A76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2 629</w:t>
            </w:r>
          </w:p>
        </w:tc>
        <w:tc>
          <w:tcPr>
            <w:tcW w:w="860" w:type="dxa"/>
            <w:tcBorders>
              <w:top w:val="nil"/>
              <w:left w:val="nil"/>
              <w:bottom w:val="single" w:sz="4" w:space="0" w:color="auto"/>
              <w:right w:val="nil"/>
            </w:tcBorders>
            <w:shd w:val="clear" w:color="auto" w:fill="auto"/>
            <w:noWrap/>
            <w:vAlign w:val="center"/>
            <w:hideMark/>
          </w:tcPr>
          <w:p w14:paraId="278BCADA" w14:textId="47830D68"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8430BD" w:rsidRPr="001C3EC8" w14:paraId="11F531DA"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3341B58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20" w:type="dxa"/>
            <w:tcBorders>
              <w:top w:val="nil"/>
              <w:left w:val="nil"/>
              <w:bottom w:val="double" w:sz="6" w:space="0" w:color="auto"/>
              <w:right w:val="nil"/>
            </w:tcBorders>
            <w:shd w:val="clear" w:color="auto" w:fill="auto"/>
            <w:noWrap/>
            <w:vAlign w:val="bottom"/>
            <w:hideMark/>
          </w:tcPr>
          <w:p w14:paraId="7ADED59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1 187</w:t>
            </w:r>
          </w:p>
        </w:tc>
        <w:tc>
          <w:tcPr>
            <w:tcW w:w="860" w:type="dxa"/>
            <w:tcBorders>
              <w:top w:val="nil"/>
              <w:left w:val="nil"/>
              <w:bottom w:val="double" w:sz="6" w:space="0" w:color="auto"/>
              <w:right w:val="nil"/>
            </w:tcBorders>
            <w:shd w:val="clear" w:color="auto" w:fill="auto"/>
            <w:noWrap/>
            <w:vAlign w:val="center"/>
            <w:hideMark/>
          </w:tcPr>
          <w:p w14:paraId="51B5B762" w14:textId="47BE9E6E"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c>
          <w:tcPr>
            <w:tcW w:w="820" w:type="dxa"/>
            <w:tcBorders>
              <w:top w:val="nil"/>
              <w:left w:val="single" w:sz="4" w:space="0" w:color="auto"/>
              <w:bottom w:val="double" w:sz="6" w:space="0" w:color="auto"/>
              <w:right w:val="nil"/>
            </w:tcBorders>
            <w:shd w:val="clear" w:color="auto" w:fill="auto"/>
            <w:noWrap/>
            <w:vAlign w:val="bottom"/>
            <w:hideMark/>
          </w:tcPr>
          <w:p w14:paraId="4349123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763</w:t>
            </w:r>
          </w:p>
        </w:tc>
        <w:tc>
          <w:tcPr>
            <w:tcW w:w="860" w:type="dxa"/>
            <w:tcBorders>
              <w:top w:val="nil"/>
              <w:left w:val="nil"/>
              <w:bottom w:val="double" w:sz="6" w:space="0" w:color="auto"/>
              <w:right w:val="single" w:sz="4" w:space="0" w:color="auto"/>
            </w:tcBorders>
            <w:shd w:val="clear" w:color="auto" w:fill="auto"/>
            <w:noWrap/>
            <w:vAlign w:val="center"/>
            <w:hideMark/>
          </w:tcPr>
          <w:p w14:paraId="654D1CED" w14:textId="43C9963A"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-51 </w:t>
            </w:r>
            <w:r w:rsidR="00B07E76">
              <w:rPr>
                <w:rFonts w:eastAsia="Times New Roman"/>
                <w:color w:val="000000" w:themeColor="text1"/>
                <w:sz w:val="20"/>
                <w:szCs w:val="20"/>
                <w:lang w:eastAsia="cs-CZ"/>
              </w:rPr>
              <w:t>%</w:t>
            </w:r>
          </w:p>
        </w:tc>
        <w:tc>
          <w:tcPr>
            <w:tcW w:w="820" w:type="dxa"/>
            <w:tcBorders>
              <w:top w:val="nil"/>
              <w:left w:val="nil"/>
              <w:bottom w:val="double" w:sz="6" w:space="0" w:color="auto"/>
              <w:right w:val="nil"/>
            </w:tcBorders>
            <w:shd w:val="clear" w:color="auto" w:fill="auto"/>
            <w:noWrap/>
            <w:vAlign w:val="bottom"/>
            <w:hideMark/>
          </w:tcPr>
          <w:p w14:paraId="5A5B927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2 591</w:t>
            </w:r>
          </w:p>
        </w:tc>
        <w:tc>
          <w:tcPr>
            <w:tcW w:w="860" w:type="dxa"/>
            <w:tcBorders>
              <w:top w:val="nil"/>
              <w:left w:val="nil"/>
              <w:bottom w:val="double" w:sz="6" w:space="0" w:color="auto"/>
              <w:right w:val="nil"/>
            </w:tcBorders>
            <w:shd w:val="clear" w:color="auto" w:fill="auto"/>
            <w:noWrap/>
            <w:vAlign w:val="center"/>
            <w:hideMark/>
          </w:tcPr>
          <w:p w14:paraId="060F3F1F" w14:textId="1B6CA55B" w:rsidR="008430BD" w:rsidRPr="001C3EC8" w:rsidRDefault="008430BD" w:rsidP="00E077F3">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8430BD" w:rsidRPr="001C3EC8" w14:paraId="3B7B50FA"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0686246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20" w:type="dxa"/>
            <w:tcBorders>
              <w:top w:val="nil"/>
              <w:left w:val="nil"/>
              <w:bottom w:val="double" w:sz="6" w:space="0" w:color="auto"/>
              <w:right w:val="nil"/>
            </w:tcBorders>
            <w:shd w:val="clear" w:color="auto" w:fill="auto"/>
            <w:noWrap/>
            <w:vAlign w:val="center"/>
            <w:hideMark/>
          </w:tcPr>
          <w:p w14:paraId="632F63B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1 419</w:t>
            </w:r>
          </w:p>
        </w:tc>
        <w:tc>
          <w:tcPr>
            <w:tcW w:w="860" w:type="dxa"/>
            <w:tcBorders>
              <w:top w:val="nil"/>
              <w:left w:val="nil"/>
              <w:bottom w:val="double" w:sz="6" w:space="0" w:color="auto"/>
              <w:right w:val="nil"/>
            </w:tcBorders>
            <w:shd w:val="clear" w:color="auto" w:fill="auto"/>
            <w:noWrap/>
            <w:vAlign w:val="center"/>
            <w:hideMark/>
          </w:tcPr>
          <w:p w14:paraId="2C10B387" w14:textId="34B4EE88"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820" w:type="dxa"/>
            <w:tcBorders>
              <w:top w:val="nil"/>
              <w:left w:val="single" w:sz="4" w:space="0" w:color="auto"/>
              <w:bottom w:val="double" w:sz="6" w:space="0" w:color="auto"/>
              <w:right w:val="nil"/>
            </w:tcBorders>
            <w:shd w:val="clear" w:color="auto" w:fill="auto"/>
            <w:noWrap/>
            <w:vAlign w:val="center"/>
            <w:hideMark/>
          </w:tcPr>
          <w:p w14:paraId="17C4124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1 181</w:t>
            </w:r>
          </w:p>
        </w:tc>
        <w:tc>
          <w:tcPr>
            <w:tcW w:w="860" w:type="dxa"/>
            <w:tcBorders>
              <w:top w:val="nil"/>
              <w:left w:val="nil"/>
              <w:bottom w:val="double" w:sz="6" w:space="0" w:color="auto"/>
              <w:right w:val="single" w:sz="4" w:space="0" w:color="auto"/>
            </w:tcBorders>
            <w:shd w:val="clear" w:color="auto" w:fill="auto"/>
            <w:noWrap/>
            <w:vAlign w:val="center"/>
            <w:hideMark/>
          </w:tcPr>
          <w:p w14:paraId="57FE8F53" w14:textId="690C3975"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-6 </w:t>
            </w:r>
            <w:r w:rsidR="00B07E76">
              <w:rPr>
                <w:rFonts w:eastAsia="Times New Roman"/>
                <w:b/>
                <w:bCs/>
                <w:color w:val="000000" w:themeColor="text1"/>
                <w:sz w:val="20"/>
                <w:szCs w:val="20"/>
                <w:lang w:eastAsia="cs-CZ"/>
              </w:rPr>
              <w:t>%</w:t>
            </w:r>
          </w:p>
        </w:tc>
        <w:tc>
          <w:tcPr>
            <w:tcW w:w="820" w:type="dxa"/>
            <w:tcBorders>
              <w:top w:val="nil"/>
              <w:left w:val="nil"/>
              <w:bottom w:val="double" w:sz="6" w:space="0" w:color="auto"/>
              <w:right w:val="nil"/>
            </w:tcBorders>
            <w:shd w:val="clear" w:color="auto" w:fill="auto"/>
            <w:noWrap/>
            <w:vAlign w:val="center"/>
            <w:hideMark/>
          </w:tcPr>
          <w:p w14:paraId="5BCD595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2 947</w:t>
            </w:r>
          </w:p>
        </w:tc>
        <w:tc>
          <w:tcPr>
            <w:tcW w:w="860" w:type="dxa"/>
            <w:tcBorders>
              <w:top w:val="nil"/>
              <w:left w:val="nil"/>
              <w:bottom w:val="double" w:sz="6" w:space="0" w:color="auto"/>
              <w:right w:val="nil"/>
            </w:tcBorders>
            <w:shd w:val="clear" w:color="auto" w:fill="auto"/>
            <w:noWrap/>
            <w:vAlign w:val="center"/>
            <w:hideMark/>
          </w:tcPr>
          <w:p w14:paraId="6FE83D0F" w14:textId="03EC6823" w:rsidR="008430BD" w:rsidRPr="001C3EC8" w:rsidRDefault="008430BD" w:rsidP="00E077F3">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 </w:t>
            </w:r>
            <w:r w:rsidR="00B07E76">
              <w:rPr>
                <w:rFonts w:eastAsia="Times New Roman"/>
                <w:b/>
                <w:bCs/>
                <w:color w:val="000000" w:themeColor="text1"/>
                <w:sz w:val="20"/>
                <w:szCs w:val="20"/>
                <w:lang w:eastAsia="cs-CZ"/>
              </w:rPr>
              <w:t>%</w:t>
            </w:r>
          </w:p>
        </w:tc>
      </w:tr>
    </w:tbl>
    <w:p w14:paraId="04DE4949" w14:textId="77777777" w:rsidR="008430BD" w:rsidRPr="00E10CA4" w:rsidRDefault="008430BD" w:rsidP="00E10CA4">
      <w:pPr>
        <w:pStyle w:val="OdstavecASR"/>
        <w:rPr>
          <w:color w:val="000000" w:themeColor="text1"/>
        </w:rPr>
      </w:pPr>
      <w:bookmarkStart w:id="653" w:name="_Toc515871404"/>
      <w:bookmarkStart w:id="654" w:name="_Toc11135135"/>
    </w:p>
    <w:p w14:paraId="5EAE2D6A" w14:textId="77777777" w:rsidR="008430BD" w:rsidRPr="001C3EC8" w:rsidRDefault="008430BD" w:rsidP="008430BD">
      <w:pPr>
        <w:pStyle w:val="OdstavecASR"/>
        <w:keepNext/>
        <w:rPr>
          <w:b/>
          <w:color w:val="000000" w:themeColor="text1"/>
        </w:rPr>
      </w:pPr>
      <w:r w:rsidRPr="001C3EC8">
        <w:rPr>
          <w:b/>
          <w:color w:val="000000" w:themeColor="text1"/>
        </w:rPr>
        <w:t>Jen fyzické osoby (FO)</w:t>
      </w:r>
    </w:p>
    <w:p w14:paraId="5B1128AD" w14:textId="77777777" w:rsidR="008430BD" w:rsidRPr="001C3EC8" w:rsidRDefault="008430BD" w:rsidP="008430BD">
      <w:pPr>
        <w:pStyle w:val="OdstavecASR"/>
        <w:rPr>
          <w:color w:val="000000" w:themeColor="text1"/>
        </w:rPr>
      </w:pPr>
      <w:r w:rsidRPr="001C3EC8">
        <w:rPr>
          <w:color w:val="000000" w:themeColor="text1"/>
        </w:rPr>
        <w:t>Jak jsme uvedli již výše, úpadek většiny fyzických osob je řešen oddlužením, a soud tedy nemá vliv na délku druhé fáze řízení. Malá část se však řeší stejně jako úpadek právnických osob, tj. konkursem; u těchto řízení soudy vliv na délku řízení mají. Proto v grafu a tabulce níže uvádíme délky druhé fáze insolvenčního řízení u fyzických osob, je-li úpadek řešen konkursem, bez případů, kdy došlo ke změně řešení úpadku na konkurs.</w:t>
      </w:r>
    </w:p>
    <w:p w14:paraId="3C5267A3" w14:textId="268837DB" w:rsidR="008430BD" w:rsidRPr="001C3EC8" w:rsidRDefault="008430BD" w:rsidP="008430BD">
      <w:pPr>
        <w:pStyle w:val="Podnadpis"/>
        <w:rPr>
          <w:color w:val="000000" w:themeColor="text1"/>
        </w:rPr>
      </w:pPr>
      <w:bookmarkStart w:id="655" w:name="_Toc43841454"/>
      <w:bookmarkStart w:id="656" w:name="_Toc75952256"/>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76</w:t>
      </w:r>
      <w:r w:rsidRPr="001C3EC8">
        <w:rPr>
          <w:color w:val="000000" w:themeColor="text1"/>
        </w:rPr>
        <w:fldChar w:fldCharType="end"/>
      </w:r>
      <w:r w:rsidRPr="001C3EC8">
        <w:rPr>
          <w:color w:val="000000" w:themeColor="text1"/>
        </w:rPr>
        <w:t>: KS – délka druhé fáze insolvenčního řízení u FO v letech 2010–20</w:t>
      </w:r>
      <w:bookmarkEnd w:id="653"/>
      <w:bookmarkEnd w:id="654"/>
      <w:bookmarkEnd w:id="655"/>
      <w:r w:rsidR="00C76DA4" w:rsidRPr="001C3EC8">
        <w:rPr>
          <w:color w:val="000000" w:themeColor="text1"/>
        </w:rPr>
        <w:t>20</w:t>
      </w:r>
      <w:bookmarkEnd w:id="656"/>
    </w:p>
    <w:p w14:paraId="755BC2FF" w14:textId="77777777" w:rsidR="00C76DA4" w:rsidRPr="001C3EC8" w:rsidRDefault="00C76DA4" w:rsidP="008430BD">
      <w:pPr>
        <w:pStyle w:val="OdstavecASR"/>
        <w:rPr>
          <w:color w:val="000000" w:themeColor="text1"/>
        </w:rPr>
      </w:pPr>
      <w:r w:rsidRPr="001C3EC8">
        <w:rPr>
          <w:noProof/>
          <w:color w:val="000000" w:themeColor="text1"/>
          <w:lang w:eastAsia="cs-CZ"/>
        </w:rPr>
        <w:drawing>
          <wp:inline distT="0" distB="0" distL="0" distR="0" wp14:anchorId="08C5EBB8" wp14:editId="75611748">
            <wp:extent cx="5114925" cy="374332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60011A6" w14:textId="77777777" w:rsidR="00C76DA4" w:rsidRPr="001C3EC8" w:rsidRDefault="00C76DA4">
      <w:pPr>
        <w:spacing w:after="160" w:line="259" w:lineRule="auto"/>
        <w:jc w:val="left"/>
        <w:rPr>
          <w:color w:val="000000" w:themeColor="text1"/>
        </w:rPr>
      </w:pPr>
      <w:r w:rsidRPr="001C3EC8">
        <w:rPr>
          <w:color w:val="000000" w:themeColor="text1"/>
        </w:rPr>
        <w:br w:type="page"/>
      </w:r>
    </w:p>
    <w:p w14:paraId="594A5E7D" w14:textId="4490AD24" w:rsidR="00C76DA4" w:rsidRPr="001C3EC8" w:rsidRDefault="00C76DA4" w:rsidP="00C76DA4">
      <w:pPr>
        <w:pStyle w:val="Podnadpis"/>
        <w:rPr>
          <w:color w:val="000000" w:themeColor="text1"/>
        </w:rPr>
      </w:pPr>
      <w:bookmarkStart w:id="657" w:name="_Toc75952376"/>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73</w:t>
      </w:r>
      <w:r w:rsidRPr="001C3EC8">
        <w:rPr>
          <w:color w:val="000000" w:themeColor="text1"/>
        </w:rPr>
        <w:fldChar w:fldCharType="end"/>
      </w:r>
      <w:r w:rsidRPr="001C3EC8">
        <w:rPr>
          <w:color w:val="000000" w:themeColor="text1"/>
        </w:rPr>
        <w:t>: KS – délka druhé fáze insolvenčního řízení u </w:t>
      </w:r>
      <w:r w:rsidR="00684AE7" w:rsidRPr="001C3EC8">
        <w:rPr>
          <w:color w:val="000000" w:themeColor="text1"/>
        </w:rPr>
        <w:t xml:space="preserve">FO </w:t>
      </w:r>
      <w:r w:rsidRPr="001C3EC8">
        <w:rPr>
          <w:color w:val="000000" w:themeColor="text1"/>
        </w:rPr>
        <w:t>dle soudů</w:t>
      </w:r>
      <w:bookmarkEnd w:id="657"/>
    </w:p>
    <w:tbl>
      <w:tblPr>
        <w:tblW w:w="7520" w:type="dxa"/>
        <w:tblCellMar>
          <w:left w:w="70" w:type="dxa"/>
          <w:right w:w="70" w:type="dxa"/>
        </w:tblCellMar>
        <w:tblLook w:val="04A0" w:firstRow="1" w:lastRow="0" w:firstColumn="1" w:lastColumn="0" w:noHBand="0" w:noVBand="1"/>
      </w:tblPr>
      <w:tblGrid>
        <w:gridCol w:w="2480"/>
        <w:gridCol w:w="820"/>
        <w:gridCol w:w="860"/>
        <w:gridCol w:w="820"/>
        <w:gridCol w:w="860"/>
        <w:gridCol w:w="820"/>
        <w:gridCol w:w="860"/>
      </w:tblGrid>
      <w:tr w:rsidR="00C76DA4" w:rsidRPr="001C3EC8" w14:paraId="4FBF05AA" w14:textId="77777777" w:rsidTr="00C76DA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D4D1DC7"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14:paraId="627C25B2"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C76DA4" w:rsidRPr="001C3EC8" w14:paraId="39A40C88" w14:textId="77777777" w:rsidTr="00C76DA4">
        <w:trPr>
          <w:trHeight w:val="330"/>
        </w:trPr>
        <w:tc>
          <w:tcPr>
            <w:tcW w:w="2480" w:type="dxa"/>
            <w:vMerge/>
            <w:tcBorders>
              <w:top w:val="double" w:sz="6" w:space="0" w:color="auto"/>
              <w:left w:val="nil"/>
              <w:bottom w:val="double" w:sz="6" w:space="0" w:color="000000"/>
              <w:right w:val="nil"/>
            </w:tcBorders>
            <w:vAlign w:val="center"/>
            <w:hideMark/>
          </w:tcPr>
          <w:p w14:paraId="6E492917" w14:textId="77777777" w:rsidR="00C76DA4" w:rsidRPr="001C3EC8" w:rsidRDefault="00C76DA4" w:rsidP="00C76DA4">
            <w:pPr>
              <w:spacing w:line="240" w:lineRule="auto"/>
              <w:jc w:val="left"/>
              <w:rPr>
                <w:rFonts w:eastAsia="Times New Roman"/>
                <w:b/>
                <w:bCs/>
                <w:color w:val="000000" w:themeColor="text1"/>
                <w:szCs w:val="24"/>
                <w:lang w:eastAsia="cs-CZ"/>
              </w:rPr>
            </w:pP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07BA4B80"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10EF0F98"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3E36067F"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C76DA4" w:rsidRPr="001C3EC8" w14:paraId="007F300D" w14:textId="77777777" w:rsidTr="00C76DA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5818170"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20" w:type="dxa"/>
            <w:tcBorders>
              <w:top w:val="single" w:sz="4" w:space="0" w:color="auto"/>
              <w:left w:val="nil"/>
              <w:bottom w:val="single" w:sz="4" w:space="0" w:color="auto"/>
              <w:right w:val="nil"/>
            </w:tcBorders>
            <w:shd w:val="clear" w:color="auto" w:fill="auto"/>
            <w:noWrap/>
            <w:vAlign w:val="bottom"/>
            <w:hideMark/>
          </w:tcPr>
          <w:p w14:paraId="344FA332"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1 573</w:t>
            </w:r>
          </w:p>
        </w:tc>
        <w:tc>
          <w:tcPr>
            <w:tcW w:w="860" w:type="dxa"/>
            <w:tcBorders>
              <w:top w:val="single" w:sz="4" w:space="0" w:color="auto"/>
              <w:left w:val="nil"/>
              <w:bottom w:val="single" w:sz="4" w:space="0" w:color="auto"/>
              <w:right w:val="nil"/>
            </w:tcBorders>
            <w:shd w:val="clear" w:color="auto" w:fill="auto"/>
            <w:noWrap/>
            <w:vAlign w:val="center"/>
            <w:hideMark/>
          </w:tcPr>
          <w:p w14:paraId="6E347227" w14:textId="5212A2A4"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6D0C3CD3"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1 396</w:t>
            </w:r>
          </w:p>
        </w:tc>
        <w:tc>
          <w:tcPr>
            <w:tcW w:w="860" w:type="dxa"/>
            <w:tcBorders>
              <w:top w:val="nil"/>
              <w:left w:val="nil"/>
              <w:bottom w:val="single" w:sz="4" w:space="0" w:color="auto"/>
              <w:right w:val="single" w:sz="4" w:space="0" w:color="auto"/>
            </w:tcBorders>
            <w:shd w:val="clear" w:color="auto" w:fill="auto"/>
            <w:noWrap/>
            <w:vAlign w:val="center"/>
            <w:hideMark/>
          </w:tcPr>
          <w:p w14:paraId="098651D5" w14:textId="18354D7E"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20" w:type="dxa"/>
            <w:tcBorders>
              <w:top w:val="single" w:sz="4" w:space="0" w:color="auto"/>
              <w:left w:val="nil"/>
              <w:bottom w:val="single" w:sz="4" w:space="0" w:color="auto"/>
              <w:right w:val="nil"/>
            </w:tcBorders>
            <w:shd w:val="clear" w:color="auto" w:fill="auto"/>
            <w:noWrap/>
            <w:vAlign w:val="bottom"/>
            <w:hideMark/>
          </w:tcPr>
          <w:p w14:paraId="00FE1081"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2 892</w:t>
            </w:r>
          </w:p>
        </w:tc>
        <w:tc>
          <w:tcPr>
            <w:tcW w:w="860" w:type="dxa"/>
            <w:tcBorders>
              <w:top w:val="single" w:sz="4" w:space="0" w:color="auto"/>
              <w:left w:val="nil"/>
              <w:bottom w:val="single" w:sz="4" w:space="0" w:color="auto"/>
              <w:right w:val="nil"/>
            </w:tcBorders>
            <w:shd w:val="clear" w:color="auto" w:fill="auto"/>
            <w:noWrap/>
            <w:vAlign w:val="center"/>
            <w:hideMark/>
          </w:tcPr>
          <w:p w14:paraId="2DCBDA37" w14:textId="746B7E67"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r>
      <w:tr w:rsidR="00C76DA4" w:rsidRPr="001C3EC8" w14:paraId="2AC5E4E1" w14:textId="77777777" w:rsidTr="00C76DA4">
        <w:trPr>
          <w:trHeight w:val="315"/>
        </w:trPr>
        <w:tc>
          <w:tcPr>
            <w:tcW w:w="2480" w:type="dxa"/>
            <w:tcBorders>
              <w:top w:val="nil"/>
              <w:left w:val="nil"/>
              <w:bottom w:val="single" w:sz="4" w:space="0" w:color="auto"/>
              <w:right w:val="nil"/>
            </w:tcBorders>
            <w:shd w:val="clear" w:color="auto" w:fill="auto"/>
            <w:noWrap/>
            <w:vAlign w:val="bottom"/>
            <w:hideMark/>
          </w:tcPr>
          <w:p w14:paraId="2A6306F4"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20" w:type="dxa"/>
            <w:tcBorders>
              <w:top w:val="nil"/>
              <w:left w:val="nil"/>
              <w:bottom w:val="single" w:sz="4" w:space="0" w:color="auto"/>
              <w:right w:val="nil"/>
            </w:tcBorders>
            <w:shd w:val="clear" w:color="auto" w:fill="auto"/>
            <w:noWrap/>
            <w:vAlign w:val="bottom"/>
            <w:hideMark/>
          </w:tcPr>
          <w:p w14:paraId="340E7E85"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1 472</w:t>
            </w:r>
          </w:p>
        </w:tc>
        <w:tc>
          <w:tcPr>
            <w:tcW w:w="860" w:type="dxa"/>
            <w:tcBorders>
              <w:top w:val="nil"/>
              <w:left w:val="nil"/>
              <w:bottom w:val="single" w:sz="4" w:space="0" w:color="auto"/>
              <w:right w:val="nil"/>
            </w:tcBorders>
            <w:shd w:val="clear" w:color="auto" w:fill="auto"/>
            <w:noWrap/>
            <w:vAlign w:val="center"/>
            <w:hideMark/>
          </w:tcPr>
          <w:p w14:paraId="2B1880AC" w14:textId="70D543BC"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660CFD7B"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1 428</w:t>
            </w:r>
          </w:p>
        </w:tc>
        <w:tc>
          <w:tcPr>
            <w:tcW w:w="860" w:type="dxa"/>
            <w:tcBorders>
              <w:top w:val="nil"/>
              <w:left w:val="nil"/>
              <w:bottom w:val="single" w:sz="4" w:space="0" w:color="auto"/>
              <w:right w:val="single" w:sz="4" w:space="0" w:color="auto"/>
            </w:tcBorders>
            <w:shd w:val="clear" w:color="auto" w:fill="auto"/>
            <w:noWrap/>
            <w:vAlign w:val="center"/>
            <w:hideMark/>
          </w:tcPr>
          <w:p w14:paraId="1B653DF7" w14:textId="19581BC6"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1606DDE3"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2 424</w:t>
            </w:r>
          </w:p>
        </w:tc>
        <w:tc>
          <w:tcPr>
            <w:tcW w:w="860" w:type="dxa"/>
            <w:tcBorders>
              <w:top w:val="nil"/>
              <w:left w:val="nil"/>
              <w:bottom w:val="single" w:sz="4" w:space="0" w:color="auto"/>
              <w:right w:val="nil"/>
            </w:tcBorders>
            <w:shd w:val="clear" w:color="auto" w:fill="auto"/>
            <w:noWrap/>
            <w:vAlign w:val="center"/>
            <w:hideMark/>
          </w:tcPr>
          <w:p w14:paraId="207B06F0" w14:textId="5CF323B7"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r>
      <w:tr w:rsidR="00C76DA4" w:rsidRPr="001C3EC8" w14:paraId="2F87C876" w14:textId="77777777" w:rsidTr="00C76DA4">
        <w:trPr>
          <w:trHeight w:val="315"/>
        </w:trPr>
        <w:tc>
          <w:tcPr>
            <w:tcW w:w="2480" w:type="dxa"/>
            <w:tcBorders>
              <w:top w:val="nil"/>
              <w:left w:val="nil"/>
              <w:bottom w:val="single" w:sz="4" w:space="0" w:color="auto"/>
              <w:right w:val="nil"/>
            </w:tcBorders>
            <w:shd w:val="clear" w:color="auto" w:fill="auto"/>
            <w:noWrap/>
            <w:vAlign w:val="bottom"/>
            <w:hideMark/>
          </w:tcPr>
          <w:p w14:paraId="04EA4E5A"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20" w:type="dxa"/>
            <w:tcBorders>
              <w:top w:val="nil"/>
              <w:left w:val="nil"/>
              <w:bottom w:val="single" w:sz="4" w:space="0" w:color="auto"/>
              <w:right w:val="nil"/>
            </w:tcBorders>
            <w:shd w:val="clear" w:color="auto" w:fill="auto"/>
            <w:noWrap/>
            <w:vAlign w:val="bottom"/>
            <w:hideMark/>
          </w:tcPr>
          <w:p w14:paraId="2BCC9888"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1 404</w:t>
            </w:r>
          </w:p>
        </w:tc>
        <w:tc>
          <w:tcPr>
            <w:tcW w:w="860" w:type="dxa"/>
            <w:tcBorders>
              <w:top w:val="nil"/>
              <w:left w:val="nil"/>
              <w:bottom w:val="single" w:sz="4" w:space="0" w:color="auto"/>
              <w:right w:val="nil"/>
            </w:tcBorders>
            <w:shd w:val="clear" w:color="auto" w:fill="auto"/>
            <w:noWrap/>
            <w:vAlign w:val="center"/>
            <w:hideMark/>
          </w:tcPr>
          <w:p w14:paraId="630457F8" w14:textId="0F5FBBFC"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38AFB8A2"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1 092</w:t>
            </w:r>
          </w:p>
        </w:tc>
        <w:tc>
          <w:tcPr>
            <w:tcW w:w="860" w:type="dxa"/>
            <w:tcBorders>
              <w:top w:val="nil"/>
              <w:left w:val="nil"/>
              <w:bottom w:val="single" w:sz="4" w:space="0" w:color="auto"/>
              <w:right w:val="single" w:sz="4" w:space="0" w:color="auto"/>
            </w:tcBorders>
            <w:shd w:val="clear" w:color="auto" w:fill="auto"/>
            <w:noWrap/>
            <w:vAlign w:val="center"/>
            <w:hideMark/>
          </w:tcPr>
          <w:p w14:paraId="484AFC23" w14:textId="40622D8A"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7FB7AA05"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2 486</w:t>
            </w:r>
          </w:p>
        </w:tc>
        <w:tc>
          <w:tcPr>
            <w:tcW w:w="860" w:type="dxa"/>
            <w:tcBorders>
              <w:top w:val="nil"/>
              <w:left w:val="nil"/>
              <w:bottom w:val="single" w:sz="4" w:space="0" w:color="auto"/>
              <w:right w:val="nil"/>
            </w:tcBorders>
            <w:shd w:val="clear" w:color="auto" w:fill="auto"/>
            <w:noWrap/>
            <w:vAlign w:val="center"/>
            <w:hideMark/>
          </w:tcPr>
          <w:p w14:paraId="440283D1" w14:textId="0A87CFD7"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C76DA4" w:rsidRPr="001C3EC8" w14:paraId="0C79DA54" w14:textId="77777777" w:rsidTr="00C76DA4">
        <w:trPr>
          <w:trHeight w:val="315"/>
        </w:trPr>
        <w:tc>
          <w:tcPr>
            <w:tcW w:w="2480" w:type="dxa"/>
            <w:tcBorders>
              <w:top w:val="nil"/>
              <w:left w:val="nil"/>
              <w:bottom w:val="single" w:sz="4" w:space="0" w:color="auto"/>
              <w:right w:val="nil"/>
            </w:tcBorders>
            <w:shd w:val="clear" w:color="auto" w:fill="auto"/>
            <w:noWrap/>
            <w:vAlign w:val="bottom"/>
            <w:hideMark/>
          </w:tcPr>
          <w:p w14:paraId="0722210D"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20" w:type="dxa"/>
            <w:tcBorders>
              <w:top w:val="nil"/>
              <w:left w:val="nil"/>
              <w:bottom w:val="single" w:sz="4" w:space="0" w:color="auto"/>
              <w:right w:val="nil"/>
            </w:tcBorders>
            <w:shd w:val="clear" w:color="auto" w:fill="auto"/>
            <w:noWrap/>
            <w:vAlign w:val="bottom"/>
            <w:hideMark/>
          </w:tcPr>
          <w:p w14:paraId="435A9C74"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1 868</w:t>
            </w:r>
          </w:p>
        </w:tc>
        <w:tc>
          <w:tcPr>
            <w:tcW w:w="860" w:type="dxa"/>
            <w:tcBorders>
              <w:top w:val="nil"/>
              <w:left w:val="nil"/>
              <w:bottom w:val="single" w:sz="4" w:space="0" w:color="auto"/>
              <w:right w:val="nil"/>
            </w:tcBorders>
            <w:shd w:val="clear" w:color="auto" w:fill="auto"/>
            <w:noWrap/>
            <w:vAlign w:val="center"/>
            <w:hideMark/>
          </w:tcPr>
          <w:p w14:paraId="0630F8D8" w14:textId="20F2F2F9"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1FC71CC2"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1 868</w:t>
            </w:r>
          </w:p>
        </w:tc>
        <w:tc>
          <w:tcPr>
            <w:tcW w:w="860" w:type="dxa"/>
            <w:tcBorders>
              <w:top w:val="nil"/>
              <w:left w:val="nil"/>
              <w:bottom w:val="single" w:sz="4" w:space="0" w:color="auto"/>
              <w:right w:val="single" w:sz="4" w:space="0" w:color="auto"/>
            </w:tcBorders>
            <w:shd w:val="clear" w:color="auto" w:fill="auto"/>
            <w:noWrap/>
            <w:vAlign w:val="center"/>
            <w:hideMark/>
          </w:tcPr>
          <w:p w14:paraId="34A71159" w14:textId="344E6371"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08515921"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3 070</w:t>
            </w:r>
          </w:p>
        </w:tc>
        <w:tc>
          <w:tcPr>
            <w:tcW w:w="860" w:type="dxa"/>
            <w:tcBorders>
              <w:top w:val="nil"/>
              <w:left w:val="nil"/>
              <w:bottom w:val="single" w:sz="4" w:space="0" w:color="auto"/>
              <w:right w:val="nil"/>
            </w:tcBorders>
            <w:shd w:val="clear" w:color="auto" w:fill="auto"/>
            <w:noWrap/>
            <w:vAlign w:val="center"/>
            <w:hideMark/>
          </w:tcPr>
          <w:p w14:paraId="33D4F9A4" w14:textId="2E5EDEFC"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r>
      <w:tr w:rsidR="00C76DA4" w:rsidRPr="001C3EC8" w14:paraId="02C15F6D" w14:textId="77777777" w:rsidTr="00C76DA4">
        <w:trPr>
          <w:trHeight w:val="315"/>
        </w:trPr>
        <w:tc>
          <w:tcPr>
            <w:tcW w:w="2480" w:type="dxa"/>
            <w:tcBorders>
              <w:top w:val="nil"/>
              <w:left w:val="nil"/>
              <w:bottom w:val="single" w:sz="4" w:space="0" w:color="auto"/>
              <w:right w:val="nil"/>
            </w:tcBorders>
            <w:shd w:val="clear" w:color="auto" w:fill="auto"/>
            <w:noWrap/>
            <w:vAlign w:val="bottom"/>
            <w:hideMark/>
          </w:tcPr>
          <w:p w14:paraId="39B98283"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20" w:type="dxa"/>
            <w:tcBorders>
              <w:top w:val="nil"/>
              <w:left w:val="nil"/>
              <w:bottom w:val="single" w:sz="4" w:space="0" w:color="auto"/>
              <w:right w:val="nil"/>
            </w:tcBorders>
            <w:shd w:val="clear" w:color="auto" w:fill="auto"/>
            <w:noWrap/>
            <w:vAlign w:val="bottom"/>
            <w:hideMark/>
          </w:tcPr>
          <w:p w14:paraId="1CD0A5B2"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1 545</w:t>
            </w:r>
          </w:p>
        </w:tc>
        <w:tc>
          <w:tcPr>
            <w:tcW w:w="860" w:type="dxa"/>
            <w:tcBorders>
              <w:top w:val="nil"/>
              <w:left w:val="nil"/>
              <w:bottom w:val="single" w:sz="4" w:space="0" w:color="auto"/>
              <w:right w:val="nil"/>
            </w:tcBorders>
            <w:shd w:val="clear" w:color="auto" w:fill="auto"/>
            <w:noWrap/>
            <w:vAlign w:val="center"/>
            <w:hideMark/>
          </w:tcPr>
          <w:p w14:paraId="0B7169CB" w14:textId="11A55BDE"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18F45934"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1 492</w:t>
            </w:r>
          </w:p>
        </w:tc>
        <w:tc>
          <w:tcPr>
            <w:tcW w:w="860" w:type="dxa"/>
            <w:tcBorders>
              <w:top w:val="nil"/>
              <w:left w:val="nil"/>
              <w:bottom w:val="single" w:sz="4" w:space="0" w:color="auto"/>
              <w:right w:val="single" w:sz="4" w:space="0" w:color="auto"/>
            </w:tcBorders>
            <w:shd w:val="clear" w:color="auto" w:fill="auto"/>
            <w:noWrap/>
            <w:vAlign w:val="center"/>
            <w:hideMark/>
          </w:tcPr>
          <w:p w14:paraId="710EEC2A" w14:textId="231F16B6"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64870403"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2 440</w:t>
            </w:r>
          </w:p>
        </w:tc>
        <w:tc>
          <w:tcPr>
            <w:tcW w:w="860" w:type="dxa"/>
            <w:tcBorders>
              <w:top w:val="nil"/>
              <w:left w:val="nil"/>
              <w:bottom w:val="single" w:sz="4" w:space="0" w:color="auto"/>
              <w:right w:val="nil"/>
            </w:tcBorders>
            <w:shd w:val="clear" w:color="auto" w:fill="auto"/>
            <w:noWrap/>
            <w:vAlign w:val="center"/>
            <w:hideMark/>
          </w:tcPr>
          <w:p w14:paraId="2AB1D191" w14:textId="5A72FACD"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r>
      <w:tr w:rsidR="00C76DA4" w:rsidRPr="001C3EC8" w14:paraId="776E66B4" w14:textId="77777777" w:rsidTr="00C76DA4">
        <w:trPr>
          <w:trHeight w:val="315"/>
        </w:trPr>
        <w:tc>
          <w:tcPr>
            <w:tcW w:w="2480" w:type="dxa"/>
            <w:tcBorders>
              <w:top w:val="nil"/>
              <w:left w:val="nil"/>
              <w:bottom w:val="single" w:sz="4" w:space="0" w:color="auto"/>
              <w:right w:val="nil"/>
            </w:tcBorders>
            <w:shd w:val="clear" w:color="auto" w:fill="auto"/>
            <w:noWrap/>
            <w:vAlign w:val="bottom"/>
            <w:hideMark/>
          </w:tcPr>
          <w:p w14:paraId="4F769178"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20" w:type="dxa"/>
            <w:tcBorders>
              <w:top w:val="nil"/>
              <w:left w:val="nil"/>
              <w:bottom w:val="single" w:sz="4" w:space="0" w:color="auto"/>
              <w:right w:val="nil"/>
            </w:tcBorders>
            <w:shd w:val="clear" w:color="auto" w:fill="auto"/>
            <w:noWrap/>
            <w:vAlign w:val="bottom"/>
            <w:hideMark/>
          </w:tcPr>
          <w:p w14:paraId="12B77D45"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1 628</w:t>
            </w:r>
          </w:p>
        </w:tc>
        <w:tc>
          <w:tcPr>
            <w:tcW w:w="860" w:type="dxa"/>
            <w:tcBorders>
              <w:top w:val="nil"/>
              <w:left w:val="nil"/>
              <w:bottom w:val="single" w:sz="4" w:space="0" w:color="auto"/>
              <w:right w:val="nil"/>
            </w:tcBorders>
            <w:shd w:val="clear" w:color="auto" w:fill="auto"/>
            <w:noWrap/>
            <w:vAlign w:val="center"/>
            <w:hideMark/>
          </w:tcPr>
          <w:p w14:paraId="244D6DED" w14:textId="5F4B98E7"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497ED6DE"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1 329</w:t>
            </w:r>
          </w:p>
        </w:tc>
        <w:tc>
          <w:tcPr>
            <w:tcW w:w="860" w:type="dxa"/>
            <w:tcBorders>
              <w:top w:val="nil"/>
              <w:left w:val="nil"/>
              <w:bottom w:val="single" w:sz="4" w:space="0" w:color="auto"/>
              <w:right w:val="single" w:sz="4" w:space="0" w:color="auto"/>
            </w:tcBorders>
            <w:shd w:val="clear" w:color="auto" w:fill="auto"/>
            <w:noWrap/>
            <w:vAlign w:val="center"/>
            <w:hideMark/>
          </w:tcPr>
          <w:p w14:paraId="2205DE37" w14:textId="15618093"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562A961B"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2 802</w:t>
            </w:r>
          </w:p>
        </w:tc>
        <w:tc>
          <w:tcPr>
            <w:tcW w:w="860" w:type="dxa"/>
            <w:tcBorders>
              <w:top w:val="nil"/>
              <w:left w:val="nil"/>
              <w:bottom w:val="single" w:sz="4" w:space="0" w:color="auto"/>
              <w:right w:val="nil"/>
            </w:tcBorders>
            <w:shd w:val="clear" w:color="auto" w:fill="auto"/>
            <w:noWrap/>
            <w:vAlign w:val="center"/>
            <w:hideMark/>
          </w:tcPr>
          <w:p w14:paraId="3ACD7781" w14:textId="673B6FF4"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r>
      <w:tr w:rsidR="00C76DA4" w:rsidRPr="001C3EC8" w14:paraId="6A310739" w14:textId="77777777" w:rsidTr="00C76DA4">
        <w:trPr>
          <w:trHeight w:val="315"/>
        </w:trPr>
        <w:tc>
          <w:tcPr>
            <w:tcW w:w="2480" w:type="dxa"/>
            <w:tcBorders>
              <w:top w:val="nil"/>
              <w:left w:val="nil"/>
              <w:bottom w:val="single" w:sz="4" w:space="0" w:color="auto"/>
              <w:right w:val="nil"/>
            </w:tcBorders>
            <w:shd w:val="clear" w:color="auto" w:fill="auto"/>
            <w:noWrap/>
            <w:vAlign w:val="bottom"/>
            <w:hideMark/>
          </w:tcPr>
          <w:p w14:paraId="6166F53C"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20" w:type="dxa"/>
            <w:tcBorders>
              <w:top w:val="nil"/>
              <w:left w:val="nil"/>
              <w:bottom w:val="single" w:sz="4" w:space="0" w:color="auto"/>
              <w:right w:val="nil"/>
            </w:tcBorders>
            <w:shd w:val="clear" w:color="auto" w:fill="auto"/>
            <w:noWrap/>
            <w:vAlign w:val="bottom"/>
            <w:hideMark/>
          </w:tcPr>
          <w:p w14:paraId="45DAE3BA"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1 517</w:t>
            </w:r>
          </w:p>
        </w:tc>
        <w:tc>
          <w:tcPr>
            <w:tcW w:w="860" w:type="dxa"/>
            <w:tcBorders>
              <w:top w:val="nil"/>
              <w:left w:val="nil"/>
              <w:bottom w:val="single" w:sz="4" w:space="0" w:color="auto"/>
              <w:right w:val="nil"/>
            </w:tcBorders>
            <w:shd w:val="clear" w:color="auto" w:fill="auto"/>
            <w:noWrap/>
            <w:vAlign w:val="center"/>
            <w:hideMark/>
          </w:tcPr>
          <w:p w14:paraId="795F23BE" w14:textId="16906E21"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820" w:type="dxa"/>
            <w:tcBorders>
              <w:top w:val="nil"/>
              <w:left w:val="single" w:sz="4" w:space="0" w:color="auto"/>
              <w:bottom w:val="single" w:sz="4" w:space="0" w:color="auto"/>
              <w:right w:val="nil"/>
            </w:tcBorders>
            <w:shd w:val="clear" w:color="auto" w:fill="auto"/>
            <w:noWrap/>
            <w:vAlign w:val="bottom"/>
            <w:hideMark/>
          </w:tcPr>
          <w:p w14:paraId="51EB33AC"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1 349</w:t>
            </w:r>
          </w:p>
        </w:tc>
        <w:tc>
          <w:tcPr>
            <w:tcW w:w="860" w:type="dxa"/>
            <w:tcBorders>
              <w:top w:val="nil"/>
              <w:left w:val="nil"/>
              <w:bottom w:val="single" w:sz="4" w:space="0" w:color="auto"/>
              <w:right w:val="single" w:sz="4" w:space="0" w:color="auto"/>
            </w:tcBorders>
            <w:shd w:val="clear" w:color="auto" w:fill="auto"/>
            <w:noWrap/>
            <w:vAlign w:val="center"/>
            <w:hideMark/>
          </w:tcPr>
          <w:p w14:paraId="472A2CDE" w14:textId="786B83DE"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820" w:type="dxa"/>
            <w:tcBorders>
              <w:top w:val="nil"/>
              <w:left w:val="nil"/>
              <w:bottom w:val="single" w:sz="4" w:space="0" w:color="auto"/>
              <w:right w:val="nil"/>
            </w:tcBorders>
            <w:shd w:val="clear" w:color="auto" w:fill="auto"/>
            <w:noWrap/>
            <w:vAlign w:val="bottom"/>
            <w:hideMark/>
          </w:tcPr>
          <w:p w14:paraId="38082341"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2 654</w:t>
            </w:r>
          </w:p>
        </w:tc>
        <w:tc>
          <w:tcPr>
            <w:tcW w:w="860" w:type="dxa"/>
            <w:tcBorders>
              <w:top w:val="nil"/>
              <w:left w:val="nil"/>
              <w:bottom w:val="single" w:sz="4" w:space="0" w:color="auto"/>
              <w:right w:val="nil"/>
            </w:tcBorders>
            <w:shd w:val="clear" w:color="auto" w:fill="auto"/>
            <w:noWrap/>
            <w:vAlign w:val="center"/>
            <w:hideMark/>
          </w:tcPr>
          <w:p w14:paraId="2B3D4FF4" w14:textId="7FD96719"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C76DA4" w:rsidRPr="001C3EC8" w14:paraId="0F6B5432" w14:textId="77777777" w:rsidTr="00C76DA4">
        <w:trPr>
          <w:trHeight w:val="330"/>
        </w:trPr>
        <w:tc>
          <w:tcPr>
            <w:tcW w:w="2480" w:type="dxa"/>
            <w:tcBorders>
              <w:top w:val="nil"/>
              <w:left w:val="nil"/>
              <w:bottom w:val="double" w:sz="6" w:space="0" w:color="auto"/>
              <w:right w:val="nil"/>
            </w:tcBorders>
            <w:shd w:val="clear" w:color="auto" w:fill="auto"/>
            <w:noWrap/>
            <w:vAlign w:val="bottom"/>
            <w:hideMark/>
          </w:tcPr>
          <w:p w14:paraId="75EF0FC3" w14:textId="77777777" w:rsidR="00C76DA4" w:rsidRPr="001C3EC8" w:rsidRDefault="00C76DA4" w:rsidP="00C76DA4">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20" w:type="dxa"/>
            <w:tcBorders>
              <w:top w:val="nil"/>
              <w:left w:val="nil"/>
              <w:bottom w:val="double" w:sz="6" w:space="0" w:color="auto"/>
              <w:right w:val="nil"/>
            </w:tcBorders>
            <w:shd w:val="clear" w:color="auto" w:fill="auto"/>
            <w:noWrap/>
            <w:vAlign w:val="bottom"/>
            <w:hideMark/>
          </w:tcPr>
          <w:p w14:paraId="6F3CA7EB"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1 380</w:t>
            </w:r>
          </w:p>
        </w:tc>
        <w:tc>
          <w:tcPr>
            <w:tcW w:w="860" w:type="dxa"/>
            <w:tcBorders>
              <w:top w:val="nil"/>
              <w:left w:val="nil"/>
              <w:bottom w:val="double" w:sz="6" w:space="0" w:color="auto"/>
              <w:right w:val="nil"/>
            </w:tcBorders>
            <w:shd w:val="clear" w:color="auto" w:fill="auto"/>
            <w:noWrap/>
            <w:vAlign w:val="center"/>
            <w:hideMark/>
          </w:tcPr>
          <w:p w14:paraId="0502DAC9" w14:textId="26B4762B"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820" w:type="dxa"/>
            <w:tcBorders>
              <w:top w:val="nil"/>
              <w:left w:val="single" w:sz="4" w:space="0" w:color="auto"/>
              <w:bottom w:val="double" w:sz="6" w:space="0" w:color="auto"/>
              <w:right w:val="nil"/>
            </w:tcBorders>
            <w:shd w:val="clear" w:color="auto" w:fill="auto"/>
            <w:noWrap/>
            <w:vAlign w:val="bottom"/>
            <w:hideMark/>
          </w:tcPr>
          <w:p w14:paraId="59900099"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1 127</w:t>
            </w:r>
          </w:p>
        </w:tc>
        <w:tc>
          <w:tcPr>
            <w:tcW w:w="860" w:type="dxa"/>
            <w:tcBorders>
              <w:top w:val="nil"/>
              <w:left w:val="nil"/>
              <w:bottom w:val="double" w:sz="6" w:space="0" w:color="auto"/>
              <w:right w:val="single" w:sz="4" w:space="0" w:color="auto"/>
            </w:tcBorders>
            <w:shd w:val="clear" w:color="auto" w:fill="auto"/>
            <w:noWrap/>
            <w:vAlign w:val="center"/>
            <w:hideMark/>
          </w:tcPr>
          <w:p w14:paraId="0473D48A" w14:textId="769B8AD7"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820" w:type="dxa"/>
            <w:tcBorders>
              <w:top w:val="nil"/>
              <w:left w:val="nil"/>
              <w:bottom w:val="double" w:sz="6" w:space="0" w:color="auto"/>
              <w:right w:val="nil"/>
            </w:tcBorders>
            <w:shd w:val="clear" w:color="auto" w:fill="auto"/>
            <w:noWrap/>
            <w:vAlign w:val="bottom"/>
            <w:hideMark/>
          </w:tcPr>
          <w:p w14:paraId="6AAD5546" w14:textId="77777777" w:rsidR="00C76DA4" w:rsidRPr="001C3EC8" w:rsidRDefault="00C76DA4" w:rsidP="00C76DA4">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2 605</w:t>
            </w:r>
          </w:p>
        </w:tc>
        <w:tc>
          <w:tcPr>
            <w:tcW w:w="860" w:type="dxa"/>
            <w:tcBorders>
              <w:top w:val="nil"/>
              <w:left w:val="nil"/>
              <w:bottom w:val="double" w:sz="6" w:space="0" w:color="auto"/>
              <w:right w:val="nil"/>
            </w:tcBorders>
            <w:shd w:val="clear" w:color="auto" w:fill="auto"/>
            <w:noWrap/>
            <w:vAlign w:val="center"/>
            <w:hideMark/>
          </w:tcPr>
          <w:p w14:paraId="16AD3F8A" w14:textId="185C428A" w:rsidR="00C76DA4" w:rsidRPr="001C3EC8" w:rsidRDefault="00C76DA4" w:rsidP="00C76DA4">
            <w:pPr>
              <w:spacing w:line="240" w:lineRule="auto"/>
              <w:jc w:val="right"/>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r>
      <w:tr w:rsidR="00C76DA4" w:rsidRPr="001C3EC8" w14:paraId="2F6D506D" w14:textId="77777777" w:rsidTr="00C76DA4">
        <w:trPr>
          <w:trHeight w:val="345"/>
        </w:trPr>
        <w:tc>
          <w:tcPr>
            <w:tcW w:w="2480" w:type="dxa"/>
            <w:tcBorders>
              <w:top w:val="nil"/>
              <w:left w:val="nil"/>
              <w:bottom w:val="double" w:sz="6" w:space="0" w:color="auto"/>
              <w:right w:val="nil"/>
            </w:tcBorders>
            <w:shd w:val="clear" w:color="auto" w:fill="auto"/>
            <w:noWrap/>
            <w:vAlign w:val="bottom"/>
            <w:hideMark/>
          </w:tcPr>
          <w:p w14:paraId="2389CB72" w14:textId="77777777" w:rsidR="00C76DA4" w:rsidRPr="001C3EC8" w:rsidRDefault="00C76DA4" w:rsidP="00C76DA4">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20" w:type="dxa"/>
            <w:tcBorders>
              <w:top w:val="nil"/>
              <w:left w:val="nil"/>
              <w:bottom w:val="double" w:sz="6" w:space="0" w:color="auto"/>
              <w:right w:val="nil"/>
            </w:tcBorders>
            <w:shd w:val="clear" w:color="auto" w:fill="auto"/>
            <w:noWrap/>
            <w:vAlign w:val="center"/>
            <w:hideMark/>
          </w:tcPr>
          <w:p w14:paraId="784EA09D"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1 548</w:t>
            </w:r>
          </w:p>
        </w:tc>
        <w:tc>
          <w:tcPr>
            <w:tcW w:w="860" w:type="dxa"/>
            <w:tcBorders>
              <w:top w:val="nil"/>
              <w:left w:val="nil"/>
              <w:bottom w:val="double" w:sz="6" w:space="0" w:color="auto"/>
              <w:right w:val="nil"/>
            </w:tcBorders>
            <w:shd w:val="clear" w:color="auto" w:fill="auto"/>
            <w:noWrap/>
            <w:vAlign w:val="center"/>
            <w:hideMark/>
          </w:tcPr>
          <w:p w14:paraId="7B749CD2" w14:textId="6889022D" w:rsidR="00C76DA4" w:rsidRPr="001C3EC8" w:rsidRDefault="00C76DA4" w:rsidP="00C76DA4">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+6 </w:t>
            </w:r>
            <w:r w:rsidR="00B07E76">
              <w:rPr>
                <w:rFonts w:eastAsia="Times New Roman"/>
                <w:b/>
                <w:bCs/>
                <w:color w:val="000000" w:themeColor="text1"/>
                <w:sz w:val="20"/>
                <w:szCs w:val="20"/>
                <w:lang w:eastAsia="cs-CZ"/>
              </w:rPr>
              <w:t>%</w:t>
            </w:r>
          </w:p>
        </w:tc>
        <w:tc>
          <w:tcPr>
            <w:tcW w:w="820" w:type="dxa"/>
            <w:tcBorders>
              <w:top w:val="nil"/>
              <w:left w:val="single" w:sz="4" w:space="0" w:color="auto"/>
              <w:bottom w:val="double" w:sz="6" w:space="0" w:color="auto"/>
              <w:right w:val="nil"/>
            </w:tcBorders>
            <w:shd w:val="clear" w:color="auto" w:fill="auto"/>
            <w:noWrap/>
            <w:vAlign w:val="center"/>
            <w:hideMark/>
          </w:tcPr>
          <w:p w14:paraId="43B112CF"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1 450</w:t>
            </w:r>
          </w:p>
        </w:tc>
        <w:tc>
          <w:tcPr>
            <w:tcW w:w="860" w:type="dxa"/>
            <w:tcBorders>
              <w:top w:val="nil"/>
              <w:left w:val="nil"/>
              <w:bottom w:val="double" w:sz="6" w:space="0" w:color="auto"/>
              <w:right w:val="single" w:sz="4" w:space="0" w:color="auto"/>
            </w:tcBorders>
            <w:shd w:val="clear" w:color="auto" w:fill="auto"/>
            <w:noWrap/>
            <w:vAlign w:val="center"/>
            <w:hideMark/>
          </w:tcPr>
          <w:p w14:paraId="7B2B660A" w14:textId="12616684" w:rsidR="00C76DA4" w:rsidRPr="001C3EC8" w:rsidRDefault="00C76DA4" w:rsidP="00C76DA4">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+7 </w:t>
            </w:r>
            <w:r w:rsidR="00B07E76">
              <w:rPr>
                <w:rFonts w:eastAsia="Times New Roman"/>
                <w:b/>
                <w:bCs/>
                <w:color w:val="000000" w:themeColor="text1"/>
                <w:sz w:val="20"/>
                <w:szCs w:val="20"/>
                <w:lang w:eastAsia="cs-CZ"/>
              </w:rPr>
              <w:t>%</w:t>
            </w:r>
          </w:p>
        </w:tc>
        <w:tc>
          <w:tcPr>
            <w:tcW w:w="820" w:type="dxa"/>
            <w:tcBorders>
              <w:top w:val="nil"/>
              <w:left w:val="nil"/>
              <w:bottom w:val="double" w:sz="6" w:space="0" w:color="auto"/>
              <w:right w:val="nil"/>
            </w:tcBorders>
            <w:shd w:val="clear" w:color="auto" w:fill="auto"/>
            <w:noWrap/>
            <w:vAlign w:val="center"/>
            <w:hideMark/>
          </w:tcPr>
          <w:p w14:paraId="4AF67B7A" w14:textId="77777777" w:rsidR="00C76DA4" w:rsidRPr="001C3EC8" w:rsidRDefault="00C76DA4" w:rsidP="00C76DA4">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2 621</w:t>
            </w:r>
          </w:p>
        </w:tc>
        <w:tc>
          <w:tcPr>
            <w:tcW w:w="860" w:type="dxa"/>
            <w:tcBorders>
              <w:top w:val="nil"/>
              <w:left w:val="nil"/>
              <w:bottom w:val="double" w:sz="6" w:space="0" w:color="auto"/>
              <w:right w:val="nil"/>
            </w:tcBorders>
            <w:shd w:val="clear" w:color="auto" w:fill="auto"/>
            <w:noWrap/>
            <w:vAlign w:val="center"/>
            <w:hideMark/>
          </w:tcPr>
          <w:p w14:paraId="6CEBDC3F" w14:textId="3BE430C0" w:rsidR="00C76DA4" w:rsidRPr="001C3EC8" w:rsidRDefault="00C76DA4" w:rsidP="00C76DA4">
            <w:pPr>
              <w:spacing w:line="240" w:lineRule="auto"/>
              <w:jc w:val="right"/>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+10 </w:t>
            </w:r>
            <w:r w:rsidR="00B07E76">
              <w:rPr>
                <w:rFonts w:eastAsia="Times New Roman"/>
                <w:b/>
                <w:bCs/>
                <w:color w:val="000000" w:themeColor="text1"/>
                <w:sz w:val="20"/>
                <w:szCs w:val="20"/>
                <w:lang w:eastAsia="cs-CZ"/>
              </w:rPr>
              <w:t>%</w:t>
            </w:r>
          </w:p>
        </w:tc>
      </w:tr>
    </w:tbl>
    <w:p w14:paraId="6F28A8BF" w14:textId="77777777" w:rsidR="00A659ED" w:rsidRPr="001C3EC8" w:rsidRDefault="00A659ED" w:rsidP="00A659ED">
      <w:pPr>
        <w:autoSpaceDE w:val="0"/>
        <w:autoSpaceDN w:val="0"/>
        <w:adjustRightInd w:val="0"/>
        <w:spacing w:line="240" w:lineRule="auto"/>
        <w:jc w:val="left"/>
        <w:rPr>
          <w:rFonts w:eastAsiaTheme="minorHAnsi" w:cs="Garamond"/>
          <w:color w:val="000000" w:themeColor="text1"/>
          <w:szCs w:val="24"/>
        </w:rPr>
      </w:pPr>
    </w:p>
    <w:p w14:paraId="405EBC8B" w14:textId="3D398454" w:rsidR="008430BD" w:rsidRPr="001C3EC8" w:rsidRDefault="00A659ED" w:rsidP="00505E06">
      <w:pPr>
        <w:pStyle w:val="OdstavecASR"/>
        <w:rPr>
          <w:color w:val="000000" w:themeColor="text1"/>
        </w:rPr>
      </w:pPr>
      <w:r w:rsidRPr="00FC5756">
        <w:rPr>
          <w:rStyle w:val="OdstavecASRChar"/>
        </w:rPr>
        <w:t xml:space="preserve">Trend i absolutní délky řízení jsou podobné těm </w:t>
      </w:r>
      <w:r w:rsidR="00532306" w:rsidRPr="00FC5756">
        <w:rPr>
          <w:rStyle w:val="OdstavecASRChar"/>
        </w:rPr>
        <w:t>u</w:t>
      </w:r>
      <w:r w:rsidR="00532306">
        <w:rPr>
          <w:rStyle w:val="OdstavecASRChar"/>
        </w:rPr>
        <w:t> </w:t>
      </w:r>
      <w:r w:rsidRPr="00FC5756">
        <w:rPr>
          <w:rStyle w:val="OdstavecASRChar"/>
        </w:rPr>
        <w:t xml:space="preserve">právnických osob, </w:t>
      </w:r>
      <w:r w:rsidR="0051437F" w:rsidRPr="00FC5756">
        <w:rPr>
          <w:rStyle w:val="OdstavecASRChar"/>
        </w:rPr>
        <w:t xml:space="preserve">protože se </w:t>
      </w:r>
      <w:r w:rsidRPr="00FC5756">
        <w:rPr>
          <w:rStyle w:val="OdstavecASRChar"/>
        </w:rPr>
        <w:t>jedná</w:t>
      </w:r>
      <w:r w:rsidR="00B07E76">
        <w:rPr>
          <w:rStyle w:val="OdstavecASRChar"/>
        </w:rPr>
        <w:t xml:space="preserve"> </w:t>
      </w:r>
      <w:r w:rsidR="00532306" w:rsidRPr="00FC5756">
        <w:rPr>
          <w:rStyle w:val="OdstavecASRChar"/>
        </w:rPr>
        <w:t>o</w:t>
      </w:r>
      <w:r w:rsidR="00532306">
        <w:rPr>
          <w:rStyle w:val="OdstavecASRChar"/>
        </w:rPr>
        <w:t> </w:t>
      </w:r>
      <w:r w:rsidRPr="00FC5756">
        <w:rPr>
          <w:rStyle w:val="OdstavecASRChar"/>
        </w:rPr>
        <w:t xml:space="preserve">stejnou formu řešení úpadku. Platí zde tedy obdobné závěry jako </w:t>
      </w:r>
      <w:r w:rsidR="00532306" w:rsidRPr="00FC5756">
        <w:rPr>
          <w:rStyle w:val="OdstavecASRChar"/>
        </w:rPr>
        <w:t>u</w:t>
      </w:r>
      <w:r w:rsidR="00532306">
        <w:rPr>
          <w:rStyle w:val="OdstavecASRChar"/>
        </w:rPr>
        <w:t> </w:t>
      </w:r>
      <w:r w:rsidRPr="00FC5756">
        <w:rPr>
          <w:rStyle w:val="OdstavecASRChar"/>
        </w:rPr>
        <w:t>právnických osob.</w:t>
      </w:r>
      <w:r w:rsidR="00684AE7" w:rsidRPr="00FC5756">
        <w:rPr>
          <w:rStyle w:val="OdstavecASRChar"/>
        </w:rPr>
        <w:t xml:space="preserve"> Pouze v </w:t>
      </w:r>
      <w:r w:rsidR="00FC5756" w:rsidRPr="00FC5756">
        <w:rPr>
          <w:rStyle w:val="OdstavecASRChar"/>
        </w:rPr>
        <w:t xml:space="preserve">roce </w:t>
      </w:r>
      <w:r w:rsidR="00684AE7" w:rsidRPr="00FC5756">
        <w:rPr>
          <w:rStyle w:val="OdstavecASRChar"/>
        </w:rPr>
        <w:t xml:space="preserve">2020 vidíme určitý rozdíl – růst délek řízení se </w:t>
      </w:r>
      <w:r w:rsidR="00532306" w:rsidRPr="00FC5756">
        <w:rPr>
          <w:rStyle w:val="OdstavecASRChar"/>
        </w:rPr>
        <w:t>u</w:t>
      </w:r>
      <w:r w:rsidR="00532306">
        <w:rPr>
          <w:rStyle w:val="OdstavecASRChar"/>
        </w:rPr>
        <w:t> </w:t>
      </w:r>
      <w:r w:rsidR="00684AE7" w:rsidRPr="00FC5756">
        <w:rPr>
          <w:rStyle w:val="OdstavecASRChar"/>
        </w:rPr>
        <w:t xml:space="preserve">PO zastavil, zatímco </w:t>
      </w:r>
      <w:r w:rsidR="00532306" w:rsidRPr="00FC5756">
        <w:rPr>
          <w:rStyle w:val="OdstavecASRChar"/>
        </w:rPr>
        <w:t>u</w:t>
      </w:r>
      <w:r w:rsidR="00532306">
        <w:rPr>
          <w:rStyle w:val="OdstavecASRChar"/>
        </w:rPr>
        <w:t> </w:t>
      </w:r>
      <w:r w:rsidR="00684AE7" w:rsidRPr="00FC5756">
        <w:rPr>
          <w:rStyle w:val="OdstavecASRChar"/>
        </w:rPr>
        <w:t>FO pokračuje</w:t>
      </w:r>
      <w:r w:rsidR="00684AE7" w:rsidRPr="001C3EC8">
        <w:rPr>
          <w:rFonts w:eastAsiaTheme="minorHAnsi" w:cs="Garamond"/>
          <w:color w:val="000000" w:themeColor="text1"/>
          <w:szCs w:val="24"/>
        </w:rPr>
        <w:t>.</w:t>
      </w:r>
    </w:p>
    <w:p w14:paraId="0D7402A8" w14:textId="0BE8A14B" w:rsidR="008430BD" w:rsidRPr="001C3EC8" w:rsidRDefault="008430BD" w:rsidP="008430BD">
      <w:pPr>
        <w:pStyle w:val="Nadpis3"/>
        <w:numPr>
          <w:ilvl w:val="2"/>
          <w:numId w:val="1"/>
        </w:numPr>
        <w:rPr>
          <w:color w:val="000000" w:themeColor="text1"/>
        </w:rPr>
      </w:pPr>
      <w:bookmarkStart w:id="658" w:name="_Toc43903082"/>
      <w:bookmarkStart w:id="659" w:name="_Toc75952115"/>
      <w:bookmarkEnd w:id="637"/>
      <w:bookmarkEnd w:id="638"/>
      <w:r w:rsidRPr="001C3EC8">
        <w:rPr>
          <w:color w:val="000000" w:themeColor="text1"/>
        </w:rPr>
        <w:t>Vyřizování věcí</w:t>
      </w:r>
      <w:bookmarkEnd w:id="658"/>
      <w:bookmarkEnd w:id="659"/>
    </w:p>
    <w:p w14:paraId="3696988F" w14:textId="2FD00133" w:rsidR="008430BD" w:rsidRPr="001C3EC8" w:rsidRDefault="008430BD" w:rsidP="008430BD">
      <w:pPr>
        <w:pStyle w:val="Podnadpis"/>
        <w:rPr>
          <w:color w:val="000000" w:themeColor="text1"/>
        </w:rPr>
      </w:pPr>
      <w:bookmarkStart w:id="660" w:name="_Toc515871405"/>
      <w:bookmarkStart w:id="661" w:name="_Toc11135136"/>
      <w:bookmarkStart w:id="662" w:name="_Toc43841455"/>
      <w:bookmarkStart w:id="663" w:name="_Toc75952257"/>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77</w:t>
      </w:r>
      <w:r w:rsidRPr="001C3EC8">
        <w:rPr>
          <w:noProof/>
          <w:color w:val="000000" w:themeColor="text1"/>
        </w:rPr>
        <w:fldChar w:fldCharType="end"/>
      </w:r>
      <w:r w:rsidRPr="001C3EC8">
        <w:rPr>
          <w:color w:val="000000" w:themeColor="text1"/>
        </w:rPr>
        <w:t>: KS – vyřizování insolvenčních věcí v letech 2008–20</w:t>
      </w:r>
      <w:bookmarkEnd w:id="660"/>
      <w:bookmarkEnd w:id="661"/>
      <w:bookmarkEnd w:id="662"/>
      <w:r w:rsidRPr="001C3EC8">
        <w:rPr>
          <w:color w:val="000000" w:themeColor="text1"/>
        </w:rPr>
        <w:t>20</w:t>
      </w:r>
      <w:bookmarkEnd w:id="663"/>
    </w:p>
    <w:p w14:paraId="4A678243" w14:textId="45961212" w:rsidR="008430BD" w:rsidRPr="001C3EC8" w:rsidRDefault="00FE43FA" w:rsidP="008430BD">
      <w:pPr>
        <w:rPr>
          <w:color w:val="000000" w:themeColor="text1"/>
        </w:rPr>
      </w:pPr>
      <w:r w:rsidRPr="001C3EC8">
        <w:rPr>
          <w:noProof/>
          <w:color w:val="000000" w:themeColor="text1"/>
          <w:lang w:eastAsia="cs-CZ"/>
        </w:rPr>
        <w:drawing>
          <wp:inline distT="0" distB="0" distL="0" distR="0" wp14:anchorId="183D669D" wp14:editId="431CDEA4">
            <wp:extent cx="5114925" cy="3743325"/>
            <wp:effectExtent l="0" t="0" r="0" b="9525"/>
            <wp:docPr id="317" name="Obráze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FFD15C9" w14:textId="77777777" w:rsidR="008430BD" w:rsidRPr="001C3EC8" w:rsidRDefault="008430BD" w:rsidP="008430BD">
      <w:pPr>
        <w:rPr>
          <w:color w:val="000000" w:themeColor="text1"/>
        </w:rPr>
      </w:pPr>
    </w:p>
    <w:p w14:paraId="2B39AADE" w14:textId="77777777" w:rsidR="008430BD" w:rsidRPr="001C3EC8" w:rsidRDefault="008430BD" w:rsidP="008430BD">
      <w:pPr>
        <w:rPr>
          <w:color w:val="000000" w:themeColor="text1"/>
        </w:rPr>
      </w:pPr>
      <w:r w:rsidRPr="001C3EC8">
        <w:rPr>
          <w:color w:val="000000" w:themeColor="text1"/>
        </w:rPr>
        <w:t xml:space="preserve">Sledovat vyřizování věcí je složitější, než je tomu u ostatních agend. Nápad je u této agendy principiálně stejný. Jedná se o jeden podaný insolvenční návrh nebo návrh na moratorium (viz seznam pojmů v příloze) před zahájením insolvenčního řízení (viz </w:t>
      </w:r>
      <w:proofErr w:type="spellStart"/>
      <w:r w:rsidRPr="001C3EC8">
        <w:rPr>
          <w:color w:val="000000" w:themeColor="text1"/>
        </w:rPr>
        <w:t>ust</w:t>
      </w:r>
      <w:proofErr w:type="spellEnd"/>
      <w:r w:rsidRPr="001C3EC8">
        <w:rPr>
          <w:color w:val="000000" w:themeColor="text1"/>
        </w:rPr>
        <w:t xml:space="preserve">. § 115 a násl. insolvenčního zákona). „Vyřízené věci“ v této podkapitole se nicméně vztahují k již zcela vyřízeným věcem. Jedná </w:t>
      </w:r>
      <w:r w:rsidRPr="001C3EC8">
        <w:rPr>
          <w:color w:val="000000" w:themeColor="text1"/>
        </w:rPr>
        <w:lastRenderedPageBreak/>
        <w:t>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 a úpadek dlužníka je realizován určeným způsobem</w:t>
      </w:r>
      <w:r w:rsidR="00060216" w:rsidRPr="001C3EC8">
        <w:rPr>
          <w:color w:val="000000" w:themeColor="text1"/>
        </w:rPr>
        <w:t>.</w:t>
      </w:r>
    </w:p>
    <w:p w14:paraId="5E5CE163" w14:textId="77777777" w:rsidR="008430BD" w:rsidRPr="001C3EC8" w:rsidRDefault="008430BD" w:rsidP="008430BD">
      <w:pPr>
        <w:rPr>
          <w:color w:val="000000" w:themeColor="text1"/>
        </w:rPr>
      </w:pPr>
    </w:p>
    <w:p w14:paraId="180D0EB6" w14:textId="202AC230" w:rsidR="008430BD" w:rsidRPr="001C3EC8" w:rsidRDefault="008430BD" w:rsidP="008430BD">
      <w:pPr>
        <w:pStyle w:val="Podnadpis"/>
        <w:rPr>
          <w:color w:val="000000" w:themeColor="text1"/>
        </w:rPr>
      </w:pPr>
      <w:bookmarkStart w:id="664" w:name="_Toc11133265"/>
      <w:bookmarkStart w:id="665" w:name="_Toc43931244"/>
      <w:bookmarkStart w:id="666" w:name="_Toc75952377"/>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74</w:t>
      </w:r>
      <w:r w:rsidRPr="001C3EC8">
        <w:rPr>
          <w:noProof/>
          <w:color w:val="000000" w:themeColor="text1"/>
        </w:rPr>
        <w:fldChar w:fldCharType="end"/>
      </w:r>
      <w:r w:rsidRPr="001C3EC8">
        <w:rPr>
          <w:color w:val="000000" w:themeColor="text1"/>
        </w:rPr>
        <w:t>: KS – vyřizování insolvenčních věcí dle soudů</w:t>
      </w:r>
      <w:bookmarkEnd w:id="664"/>
      <w:bookmarkEnd w:id="665"/>
      <w:bookmarkEnd w:id="666"/>
    </w:p>
    <w:tbl>
      <w:tblPr>
        <w:tblW w:w="8201" w:type="dxa"/>
        <w:tblCellMar>
          <w:left w:w="70" w:type="dxa"/>
          <w:right w:w="70" w:type="dxa"/>
        </w:tblCellMar>
        <w:tblLook w:val="04A0" w:firstRow="1" w:lastRow="0" w:firstColumn="1" w:lastColumn="0" w:noHBand="0" w:noVBand="1"/>
      </w:tblPr>
      <w:tblGrid>
        <w:gridCol w:w="1980"/>
        <w:gridCol w:w="895"/>
        <w:gridCol w:w="678"/>
        <w:gridCol w:w="895"/>
        <w:gridCol w:w="678"/>
        <w:gridCol w:w="740"/>
        <w:gridCol w:w="686"/>
        <w:gridCol w:w="1002"/>
        <w:gridCol w:w="647"/>
      </w:tblGrid>
      <w:tr w:rsidR="008430BD" w:rsidRPr="001C3EC8" w14:paraId="24F4B79B" w14:textId="77777777" w:rsidTr="00E077F3">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47FA0879" w14:textId="3B6A5A8E"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6221" w:type="dxa"/>
            <w:gridSpan w:val="8"/>
            <w:tcBorders>
              <w:top w:val="double" w:sz="6" w:space="0" w:color="auto"/>
              <w:left w:val="nil"/>
              <w:bottom w:val="nil"/>
              <w:right w:val="nil"/>
            </w:tcBorders>
            <w:shd w:val="clear" w:color="auto" w:fill="auto"/>
            <w:noWrap/>
            <w:vAlign w:val="center"/>
            <w:hideMark/>
          </w:tcPr>
          <w:p w14:paraId="5E23F82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r>
      <w:tr w:rsidR="008430BD" w:rsidRPr="001C3EC8" w14:paraId="78DB4C0A" w14:textId="77777777" w:rsidTr="00E077F3">
        <w:trPr>
          <w:trHeight w:val="960"/>
        </w:trPr>
        <w:tc>
          <w:tcPr>
            <w:tcW w:w="1980" w:type="dxa"/>
            <w:vMerge/>
            <w:tcBorders>
              <w:top w:val="double" w:sz="6" w:space="0" w:color="auto"/>
              <w:left w:val="nil"/>
              <w:bottom w:val="double" w:sz="6" w:space="0" w:color="000000"/>
              <w:right w:val="nil"/>
            </w:tcBorders>
            <w:vAlign w:val="center"/>
            <w:hideMark/>
          </w:tcPr>
          <w:p w14:paraId="5B34864E"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573" w:type="dxa"/>
            <w:gridSpan w:val="2"/>
            <w:tcBorders>
              <w:top w:val="nil"/>
              <w:left w:val="nil"/>
              <w:bottom w:val="double" w:sz="6" w:space="0" w:color="auto"/>
              <w:right w:val="nil"/>
            </w:tcBorders>
            <w:shd w:val="clear" w:color="auto" w:fill="auto"/>
            <w:vAlign w:val="center"/>
            <w:hideMark/>
          </w:tcPr>
          <w:p w14:paraId="091145B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57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6AD309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426" w:type="dxa"/>
            <w:gridSpan w:val="2"/>
            <w:tcBorders>
              <w:top w:val="nil"/>
              <w:left w:val="nil"/>
              <w:bottom w:val="double" w:sz="6" w:space="0" w:color="auto"/>
              <w:right w:val="single" w:sz="4" w:space="0" w:color="000000"/>
            </w:tcBorders>
            <w:shd w:val="clear" w:color="auto" w:fill="auto"/>
            <w:vAlign w:val="center"/>
            <w:hideMark/>
          </w:tcPr>
          <w:p w14:paraId="6D2EBF6A" w14:textId="2F76270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Nevyřízeno před </w:t>
            </w:r>
            <w:proofErr w:type="spellStart"/>
            <w:r w:rsidRPr="001C3EC8">
              <w:rPr>
                <w:rFonts w:eastAsia="Times New Roman"/>
                <w:b/>
                <w:bCs/>
                <w:color w:val="000000" w:themeColor="text1"/>
                <w:szCs w:val="24"/>
                <w:lang w:eastAsia="cs-CZ"/>
              </w:rPr>
              <w:t>rozh</w:t>
            </w:r>
            <w:proofErr w:type="spellEnd"/>
            <w:r w:rsidRPr="001C3EC8">
              <w:rPr>
                <w:rFonts w:eastAsia="Times New Roman"/>
                <w:b/>
                <w:bCs/>
                <w:color w:val="000000" w:themeColor="text1"/>
                <w:szCs w:val="24"/>
                <w:lang w:eastAsia="cs-CZ"/>
              </w:rPr>
              <w:t xml:space="preserve">. </w:t>
            </w:r>
            <w:r w:rsidR="00532306" w:rsidRPr="001C3EC8">
              <w:rPr>
                <w:rFonts w:eastAsia="Times New Roman"/>
                <w:b/>
                <w:bCs/>
                <w:color w:val="000000" w:themeColor="text1"/>
                <w:szCs w:val="24"/>
                <w:lang w:eastAsia="cs-CZ"/>
              </w:rPr>
              <w:t>o</w:t>
            </w:r>
            <w:r w:rsidR="00532306">
              <w:rPr>
                <w:rFonts w:eastAsia="Times New Roman"/>
                <w:b/>
                <w:bCs/>
                <w:color w:val="000000" w:themeColor="text1"/>
                <w:szCs w:val="24"/>
                <w:lang w:eastAsia="cs-CZ"/>
              </w:rPr>
              <w:t> </w:t>
            </w:r>
            <w:r w:rsidRPr="001C3EC8">
              <w:rPr>
                <w:rFonts w:eastAsia="Times New Roman"/>
                <w:b/>
                <w:bCs/>
                <w:color w:val="000000" w:themeColor="text1"/>
                <w:szCs w:val="24"/>
                <w:lang w:eastAsia="cs-CZ"/>
              </w:rPr>
              <w:t>úpadku</w:t>
            </w:r>
          </w:p>
        </w:tc>
        <w:tc>
          <w:tcPr>
            <w:tcW w:w="1649" w:type="dxa"/>
            <w:gridSpan w:val="2"/>
            <w:tcBorders>
              <w:top w:val="nil"/>
              <w:left w:val="nil"/>
              <w:bottom w:val="double" w:sz="6" w:space="0" w:color="auto"/>
              <w:right w:val="nil"/>
            </w:tcBorders>
            <w:shd w:val="clear" w:color="auto" w:fill="auto"/>
            <w:vAlign w:val="center"/>
            <w:hideMark/>
          </w:tcPr>
          <w:p w14:paraId="3572315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Nevyřízeno po </w:t>
            </w:r>
            <w:proofErr w:type="spellStart"/>
            <w:r w:rsidRPr="001C3EC8">
              <w:rPr>
                <w:rFonts w:eastAsia="Times New Roman"/>
                <w:b/>
                <w:bCs/>
                <w:color w:val="000000" w:themeColor="text1"/>
                <w:szCs w:val="24"/>
                <w:lang w:eastAsia="cs-CZ"/>
              </w:rPr>
              <w:t>rozh</w:t>
            </w:r>
            <w:proofErr w:type="spellEnd"/>
            <w:r w:rsidRPr="001C3EC8">
              <w:rPr>
                <w:rFonts w:eastAsia="Times New Roman"/>
                <w:b/>
                <w:bCs/>
                <w:color w:val="000000" w:themeColor="text1"/>
                <w:szCs w:val="24"/>
                <w:lang w:eastAsia="cs-CZ"/>
              </w:rPr>
              <w:t>. o úpadku</w:t>
            </w:r>
          </w:p>
        </w:tc>
      </w:tr>
      <w:tr w:rsidR="008430BD" w:rsidRPr="001C3EC8" w14:paraId="38DEC6F6" w14:textId="77777777" w:rsidTr="00E077F3">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1001046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95" w:type="dxa"/>
            <w:tcBorders>
              <w:top w:val="single" w:sz="4" w:space="0" w:color="auto"/>
              <w:left w:val="nil"/>
              <w:bottom w:val="single" w:sz="4" w:space="0" w:color="auto"/>
              <w:right w:val="nil"/>
            </w:tcBorders>
            <w:shd w:val="clear" w:color="auto" w:fill="auto"/>
            <w:noWrap/>
            <w:vAlign w:val="bottom"/>
            <w:hideMark/>
          </w:tcPr>
          <w:p w14:paraId="1211FB0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2 826</w:t>
            </w:r>
          </w:p>
        </w:tc>
        <w:tc>
          <w:tcPr>
            <w:tcW w:w="678" w:type="dxa"/>
            <w:tcBorders>
              <w:top w:val="single" w:sz="4" w:space="0" w:color="auto"/>
              <w:left w:val="nil"/>
              <w:bottom w:val="single" w:sz="4" w:space="0" w:color="auto"/>
              <w:right w:val="nil"/>
            </w:tcBorders>
            <w:shd w:val="clear" w:color="auto" w:fill="auto"/>
            <w:noWrap/>
            <w:vAlign w:val="center"/>
            <w:hideMark/>
          </w:tcPr>
          <w:p w14:paraId="56D8ADDC" w14:textId="46CD302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895" w:type="dxa"/>
            <w:tcBorders>
              <w:top w:val="single" w:sz="4" w:space="0" w:color="auto"/>
              <w:left w:val="single" w:sz="4" w:space="0" w:color="auto"/>
              <w:bottom w:val="single" w:sz="4" w:space="0" w:color="auto"/>
              <w:right w:val="nil"/>
            </w:tcBorders>
            <w:shd w:val="clear" w:color="auto" w:fill="auto"/>
            <w:noWrap/>
            <w:vAlign w:val="bottom"/>
            <w:hideMark/>
          </w:tcPr>
          <w:p w14:paraId="5192BB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2 261</w:t>
            </w:r>
          </w:p>
        </w:tc>
        <w:tc>
          <w:tcPr>
            <w:tcW w:w="678" w:type="dxa"/>
            <w:tcBorders>
              <w:top w:val="single" w:sz="4" w:space="0" w:color="auto"/>
              <w:left w:val="nil"/>
              <w:bottom w:val="single" w:sz="4" w:space="0" w:color="auto"/>
              <w:right w:val="single" w:sz="4" w:space="0" w:color="auto"/>
            </w:tcBorders>
            <w:shd w:val="clear" w:color="auto" w:fill="auto"/>
            <w:noWrap/>
            <w:vAlign w:val="center"/>
            <w:hideMark/>
          </w:tcPr>
          <w:p w14:paraId="05207053" w14:textId="1051B13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740" w:type="dxa"/>
            <w:tcBorders>
              <w:top w:val="single" w:sz="4" w:space="0" w:color="auto"/>
              <w:left w:val="nil"/>
              <w:bottom w:val="single" w:sz="4" w:space="0" w:color="auto"/>
              <w:right w:val="nil"/>
            </w:tcBorders>
            <w:shd w:val="clear" w:color="auto" w:fill="auto"/>
            <w:noWrap/>
            <w:vAlign w:val="bottom"/>
            <w:hideMark/>
          </w:tcPr>
          <w:p w14:paraId="4881C32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467</w:t>
            </w:r>
          </w:p>
        </w:tc>
        <w:tc>
          <w:tcPr>
            <w:tcW w:w="686" w:type="dxa"/>
            <w:tcBorders>
              <w:top w:val="single" w:sz="4" w:space="0" w:color="auto"/>
              <w:left w:val="nil"/>
              <w:bottom w:val="single" w:sz="4" w:space="0" w:color="auto"/>
              <w:right w:val="single" w:sz="4" w:space="0" w:color="auto"/>
            </w:tcBorders>
            <w:shd w:val="clear" w:color="auto" w:fill="auto"/>
            <w:noWrap/>
            <w:vAlign w:val="center"/>
            <w:hideMark/>
          </w:tcPr>
          <w:p w14:paraId="3528359D" w14:textId="1BA9D84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1002" w:type="dxa"/>
            <w:tcBorders>
              <w:top w:val="single" w:sz="4" w:space="0" w:color="auto"/>
              <w:left w:val="nil"/>
              <w:bottom w:val="single" w:sz="4" w:space="0" w:color="auto"/>
              <w:right w:val="nil"/>
            </w:tcBorders>
            <w:shd w:val="clear" w:color="auto" w:fill="auto"/>
            <w:noWrap/>
            <w:vAlign w:val="bottom"/>
            <w:hideMark/>
          </w:tcPr>
          <w:p w14:paraId="629D93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8 697</w:t>
            </w:r>
          </w:p>
        </w:tc>
        <w:tc>
          <w:tcPr>
            <w:tcW w:w="647" w:type="dxa"/>
            <w:tcBorders>
              <w:top w:val="single" w:sz="4" w:space="0" w:color="auto"/>
              <w:left w:val="nil"/>
              <w:bottom w:val="single" w:sz="4" w:space="0" w:color="auto"/>
              <w:right w:val="nil"/>
            </w:tcBorders>
            <w:shd w:val="clear" w:color="auto" w:fill="auto"/>
            <w:noWrap/>
            <w:vAlign w:val="center"/>
            <w:hideMark/>
          </w:tcPr>
          <w:p w14:paraId="522A3923" w14:textId="13B1CE3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r>
      <w:tr w:rsidR="008430BD" w:rsidRPr="001C3EC8" w14:paraId="0A330E86" w14:textId="77777777" w:rsidTr="00E077F3">
        <w:trPr>
          <w:trHeight w:val="315"/>
        </w:trPr>
        <w:tc>
          <w:tcPr>
            <w:tcW w:w="1980" w:type="dxa"/>
            <w:tcBorders>
              <w:top w:val="nil"/>
              <w:left w:val="nil"/>
              <w:bottom w:val="single" w:sz="4" w:space="0" w:color="auto"/>
              <w:right w:val="nil"/>
            </w:tcBorders>
            <w:shd w:val="clear" w:color="auto" w:fill="auto"/>
            <w:noWrap/>
            <w:vAlign w:val="bottom"/>
            <w:hideMark/>
          </w:tcPr>
          <w:p w14:paraId="55839DA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95" w:type="dxa"/>
            <w:tcBorders>
              <w:top w:val="nil"/>
              <w:left w:val="nil"/>
              <w:bottom w:val="single" w:sz="4" w:space="0" w:color="auto"/>
              <w:right w:val="nil"/>
            </w:tcBorders>
            <w:shd w:val="clear" w:color="auto" w:fill="auto"/>
            <w:noWrap/>
            <w:vAlign w:val="bottom"/>
            <w:hideMark/>
          </w:tcPr>
          <w:p w14:paraId="354360F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3 246</w:t>
            </w:r>
          </w:p>
        </w:tc>
        <w:tc>
          <w:tcPr>
            <w:tcW w:w="678" w:type="dxa"/>
            <w:tcBorders>
              <w:top w:val="nil"/>
              <w:left w:val="nil"/>
              <w:bottom w:val="single" w:sz="4" w:space="0" w:color="auto"/>
              <w:right w:val="nil"/>
            </w:tcBorders>
            <w:shd w:val="clear" w:color="auto" w:fill="auto"/>
            <w:noWrap/>
            <w:vAlign w:val="center"/>
            <w:hideMark/>
          </w:tcPr>
          <w:p w14:paraId="74EC9D87" w14:textId="26C1AF6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c>
          <w:tcPr>
            <w:tcW w:w="895" w:type="dxa"/>
            <w:tcBorders>
              <w:top w:val="nil"/>
              <w:left w:val="single" w:sz="4" w:space="0" w:color="auto"/>
              <w:bottom w:val="single" w:sz="4" w:space="0" w:color="auto"/>
              <w:right w:val="nil"/>
            </w:tcBorders>
            <w:shd w:val="clear" w:color="auto" w:fill="auto"/>
            <w:noWrap/>
            <w:vAlign w:val="bottom"/>
            <w:hideMark/>
          </w:tcPr>
          <w:p w14:paraId="3464392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3 442</w:t>
            </w:r>
          </w:p>
        </w:tc>
        <w:tc>
          <w:tcPr>
            <w:tcW w:w="678" w:type="dxa"/>
            <w:tcBorders>
              <w:top w:val="nil"/>
              <w:left w:val="nil"/>
              <w:bottom w:val="single" w:sz="4" w:space="0" w:color="auto"/>
              <w:right w:val="single" w:sz="4" w:space="0" w:color="auto"/>
            </w:tcBorders>
            <w:shd w:val="clear" w:color="auto" w:fill="auto"/>
            <w:noWrap/>
            <w:vAlign w:val="center"/>
            <w:hideMark/>
          </w:tcPr>
          <w:p w14:paraId="03F189C7" w14:textId="14531B9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740" w:type="dxa"/>
            <w:tcBorders>
              <w:top w:val="nil"/>
              <w:left w:val="nil"/>
              <w:bottom w:val="single" w:sz="4" w:space="0" w:color="auto"/>
              <w:right w:val="nil"/>
            </w:tcBorders>
            <w:shd w:val="clear" w:color="auto" w:fill="auto"/>
            <w:noWrap/>
            <w:vAlign w:val="bottom"/>
            <w:hideMark/>
          </w:tcPr>
          <w:p w14:paraId="643F4D6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264</w:t>
            </w:r>
          </w:p>
        </w:tc>
        <w:tc>
          <w:tcPr>
            <w:tcW w:w="686" w:type="dxa"/>
            <w:tcBorders>
              <w:top w:val="nil"/>
              <w:left w:val="nil"/>
              <w:bottom w:val="single" w:sz="4" w:space="0" w:color="auto"/>
              <w:right w:val="single" w:sz="4" w:space="0" w:color="auto"/>
            </w:tcBorders>
            <w:shd w:val="clear" w:color="auto" w:fill="auto"/>
            <w:noWrap/>
            <w:vAlign w:val="center"/>
            <w:hideMark/>
          </w:tcPr>
          <w:p w14:paraId="6B88D4B6" w14:textId="5B3A954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-34 </w:t>
            </w:r>
            <w:r w:rsidR="00B07E76">
              <w:rPr>
                <w:rFonts w:eastAsia="Times New Roman"/>
                <w:color w:val="000000" w:themeColor="text1"/>
                <w:sz w:val="20"/>
                <w:szCs w:val="20"/>
                <w:lang w:eastAsia="cs-CZ"/>
              </w:rPr>
              <w:t>%</w:t>
            </w:r>
          </w:p>
        </w:tc>
        <w:tc>
          <w:tcPr>
            <w:tcW w:w="1002" w:type="dxa"/>
            <w:tcBorders>
              <w:top w:val="nil"/>
              <w:left w:val="nil"/>
              <w:bottom w:val="single" w:sz="4" w:space="0" w:color="auto"/>
              <w:right w:val="nil"/>
            </w:tcBorders>
            <w:shd w:val="clear" w:color="auto" w:fill="auto"/>
            <w:noWrap/>
            <w:vAlign w:val="bottom"/>
            <w:hideMark/>
          </w:tcPr>
          <w:p w14:paraId="7B552CB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12 013</w:t>
            </w:r>
          </w:p>
        </w:tc>
        <w:tc>
          <w:tcPr>
            <w:tcW w:w="647" w:type="dxa"/>
            <w:tcBorders>
              <w:top w:val="nil"/>
              <w:left w:val="nil"/>
              <w:bottom w:val="single" w:sz="4" w:space="0" w:color="auto"/>
              <w:right w:val="nil"/>
            </w:tcBorders>
            <w:shd w:val="clear" w:color="auto" w:fill="auto"/>
            <w:noWrap/>
            <w:vAlign w:val="center"/>
            <w:hideMark/>
          </w:tcPr>
          <w:p w14:paraId="0DA1908C" w14:textId="2CE282A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035C5771" w14:textId="77777777" w:rsidTr="00E077F3">
        <w:trPr>
          <w:trHeight w:val="315"/>
        </w:trPr>
        <w:tc>
          <w:tcPr>
            <w:tcW w:w="1980" w:type="dxa"/>
            <w:tcBorders>
              <w:top w:val="nil"/>
              <w:left w:val="nil"/>
              <w:bottom w:val="single" w:sz="4" w:space="0" w:color="auto"/>
              <w:right w:val="nil"/>
            </w:tcBorders>
            <w:shd w:val="clear" w:color="auto" w:fill="auto"/>
            <w:noWrap/>
            <w:vAlign w:val="bottom"/>
            <w:hideMark/>
          </w:tcPr>
          <w:p w14:paraId="63C0DEF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95" w:type="dxa"/>
            <w:tcBorders>
              <w:top w:val="nil"/>
              <w:left w:val="nil"/>
              <w:bottom w:val="single" w:sz="4" w:space="0" w:color="auto"/>
              <w:right w:val="nil"/>
            </w:tcBorders>
            <w:shd w:val="clear" w:color="auto" w:fill="auto"/>
            <w:noWrap/>
            <w:vAlign w:val="bottom"/>
            <w:hideMark/>
          </w:tcPr>
          <w:p w14:paraId="793714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1 670</w:t>
            </w:r>
          </w:p>
        </w:tc>
        <w:tc>
          <w:tcPr>
            <w:tcW w:w="678" w:type="dxa"/>
            <w:tcBorders>
              <w:top w:val="nil"/>
              <w:left w:val="nil"/>
              <w:bottom w:val="single" w:sz="4" w:space="0" w:color="auto"/>
              <w:right w:val="nil"/>
            </w:tcBorders>
            <w:shd w:val="clear" w:color="auto" w:fill="auto"/>
            <w:noWrap/>
            <w:vAlign w:val="center"/>
            <w:hideMark/>
          </w:tcPr>
          <w:p w14:paraId="51250F14" w14:textId="0147456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895" w:type="dxa"/>
            <w:tcBorders>
              <w:top w:val="nil"/>
              <w:left w:val="single" w:sz="4" w:space="0" w:color="auto"/>
              <w:bottom w:val="single" w:sz="4" w:space="0" w:color="auto"/>
              <w:right w:val="nil"/>
            </w:tcBorders>
            <w:shd w:val="clear" w:color="auto" w:fill="auto"/>
            <w:noWrap/>
            <w:vAlign w:val="bottom"/>
            <w:hideMark/>
          </w:tcPr>
          <w:p w14:paraId="15C0449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1 927</w:t>
            </w:r>
          </w:p>
        </w:tc>
        <w:tc>
          <w:tcPr>
            <w:tcW w:w="678" w:type="dxa"/>
            <w:tcBorders>
              <w:top w:val="nil"/>
              <w:left w:val="nil"/>
              <w:bottom w:val="single" w:sz="4" w:space="0" w:color="auto"/>
              <w:right w:val="single" w:sz="4" w:space="0" w:color="auto"/>
            </w:tcBorders>
            <w:shd w:val="clear" w:color="auto" w:fill="auto"/>
            <w:noWrap/>
            <w:vAlign w:val="center"/>
            <w:hideMark/>
          </w:tcPr>
          <w:p w14:paraId="0C15066B" w14:textId="39AA7D4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740" w:type="dxa"/>
            <w:tcBorders>
              <w:top w:val="nil"/>
              <w:left w:val="nil"/>
              <w:bottom w:val="single" w:sz="4" w:space="0" w:color="auto"/>
              <w:right w:val="nil"/>
            </w:tcBorders>
            <w:shd w:val="clear" w:color="auto" w:fill="auto"/>
            <w:noWrap/>
            <w:vAlign w:val="bottom"/>
            <w:hideMark/>
          </w:tcPr>
          <w:p w14:paraId="1DA3E00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28</w:t>
            </w:r>
          </w:p>
        </w:tc>
        <w:tc>
          <w:tcPr>
            <w:tcW w:w="686" w:type="dxa"/>
            <w:tcBorders>
              <w:top w:val="nil"/>
              <w:left w:val="nil"/>
              <w:bottom w:val="single" w:sz="4" w:space="0" w:color="auto"/>
              <w:right w:val="single" w:sz="4" w:space="0" w:color="auto"/>
            </w:tcBorders>
            <w:shd w:val="clear" w:color="auto" w:fill="auto"/>
            <w:noWrap/>
            <w:vAlign w:val="center"/>
            <w:hideMark/>
          </w:tcPr>
          <w:p w14:paraId="32D57BDA" w14:textId="42B064D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-26 </w:t>
            </w:r>
            <w:r w:rsidR="00B07E76">
              <w:rPr>
                <w:rFonts w:eastAsia="Times New Roman"/>
                <w:color w:val="000000" w:themeColor="text1"/>
                <w:sz w:val="20"/>
                <w:szCs w:val="20"/>
                <w:lang w:eastAsia="cs-CZ"/>
              </w:rPr>
              <w:t>%</w:t>
            </w:r>
          </w:p>
        </w:tc>
        <w:tc>
          <w:tcPr>
            <w:tcW w:w="1002" w:type="dxa"/>
            <w:tcBorders>
              <w:top w:val="nil"/>
              <w:left w:val="nil"/>
              <w:bottom w:val="single" w:sz="4" w:space="0" w:color="auto"/>
              <w:right w:val="nil"/>
            </w:tcBorders>
            <w:shd w:val="clear" w:color="auto" w:fill="auto"/>
            <w:noWrap/>
            <w:vAlign w:val="bottom"/>
            <w:hideMark/>
          </w:tcPr>
          <w:p w14:paraId="42FD2CD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7 258</w:t>
            </w:r>
          </w:p>
        </w:tc>
        <w:tc>
          <w:tcPr>
            <w:tcW w:w="647" w:type="dxa"/>
            <w:tcBorders>
              <w:top w:val="nil"/>
              <w:left w:val="nil"/>
              <w:bottom w:val="single" w:sz="4" w:space="0" w:color="auto"/>
              <w:right w:val="nil"/>
            </w:tcBorders>
            <w:shd w:val="clear" w:color="auto" w:fill="auto"/>
            <w:noWrap/>
            <w:vAlign w:val="center"/>
            <w:hideMark/>
          </w:tcPr>
          <w:p w14:paraId="05AE1B5C" w14:textId="632E441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68FD491E" w14:textId="77777777" w:rsidTr="00E077F3">
        <w:trPr>
          <w:trHeight w:val="315"/>
        </w:trPr>
        <w:tc>
          <w:tcPr>
            <w:tcW w:w="1980" w:type="dxa"/>
            <w:tcBorders>
              <w:top w:val="nil"/>
              <w:left w:val="nil"/>
              <w:bottom w:val="single" w:sz="4" w:space="0" w:color="auto"/>
              <w:right w:val="nil"/>
            </w:tcBorders>
            <w:shd w:val="clear" w:color="auto" w:fill="auto"/>
            <w:noWrap/>
            <w:vAlign w:val="bottom"/>
            <w:hideMark/>
          </w:tcPr>
          <w:p w14:paraId="0893345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95" w:type="dxa"/>
            <w:tcBorders>
              <w:top w:val="nil"/>
              <w:left w:val="nil"/>
              <w:bottom w:val="single" w:sz="4" w:space="0" w:color="auto"/>
              <w:right w:val="nil"/>
            </w:tcBorders>
            <w:shd w:val="clear" w:color="auto" w:fill="auto"/>
            <w:noWrap/>
            <w:vAlign w:val="bottom"/>
            <w:hideMark/>
          </w:tcPr>
          <w:p w14:paraId="124AA5A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2 346</w:t>
            </w:r>
          </w:p>
        </w:tc>
        <w:tc>
          <w:tcPr>
            <w:tcW w:w="678" w:type="dxa"/>
            <w:tcBorders>
              <w:top w:val="nil"/>
              <w:left w:val="nil"/>
              <w:bottom w:val="single" w:sz="4" w:space="0" w:color="auto"/>
              <w:right w:val="nil"/>
            </w:tcBorders>
            <w:shd w:val="clear" w:color="auto" w:fill="auto"/>
            <w:noWrap/>
            <w:vAlign w:val="center"/>
            <w:hideMark/>
          </w:tcPr>
          <w:p w14:paraId="54C0A651" w14:textId="4000518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895" w:type="dxa"/>
            <w:tcBorders>
              <w:top w:val="nil"/>
              <w:left w:val="single" w:sz="4" w:space="0" w:color="auto"/>
              <w:bottom w:val="single" w:sz="4" w:space="0" w:color="auto"/>
              <w:right w:val="nil"/>
            </w:tcBorders>
            <w:shd w:val="clear" w:color="auto" w:fill="auto"/>
            <w:noWrap/>
            <w:vAlign w:val="bottom"/>
            <w:hideMark/>
          </w:tcPr>
          <w:p w14:paraId="7DB95E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2 657</w:t>
            </w:r>
          </w:p>
        </w:tc>
        <w:tc>
          <w:tcPr>
            <w:tcW w:w="678" w:type="dxa"/>
            <w:tcBorders>
              <w:top w:val="nil"/>
              <w:left w:val="nil"/>
              <w:bottom w:val="single" w:sz="4" w:space="0" w:color="auto"/>
              <w:right w:val="single" w:sz="4" w:space="0" w:color="auto"/>
            </w:tcBorders>
            <w:shd w:val="clear" w:color="auto" w:fill="auto"/>
            <w:noWrap/>
            <w:vAlign w:val="center"/>
            <w:hideMark/>
          </w:tcPr>
          <w:p w14:paraId="4B636087" w14:textId="698B6F6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740" w:type="dxa"/>
            <w:tcBorders>
              <w:top w:val="nil"/>
              <w:left w:val="nil"/>
              <w:bottom w:val="single" w:sz="4" w:space="0" w:color="auto"/>
              <w:right w:val="nil"/>
            </w:tcBorders>
            <w:shd w:val="clear" w:color="auto" w:fill="auto"/>
            <w:noWrap/>
            <w:vAlign w:val="bottom"/>
            <w:hideMark/>
          </w:tcPr>
          <w:p w14:paraId="3E7AE97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302</w:t>
            </w:r>
          </w:p>
        </w:tc>
        <w:tc>
          <w:tcPr>
            <w:tcW w:w="686" w:type="dxa"/>
            <w:tcBorders>
              <w:top w:val="nil"/>
              <w:left w:val="nil"/>
              <w:bottom w:val="single" w:sz="4" w:space="0" w:color="auto"/>
              <w:right w:val="single" w:sz="4" w:space="0" w:color="auto"/>
            </w:tcBorders>
            <w:shd w:val="clear" w:color="auto" w:fill="auto"/>
            <w:noWrap/>
            <w:vAlign w:val="center"/>
            <w:hideMark/>
          </w:tcPr>
          <w:p w14:paraId="0C5C676F" w14:textId="5F09B40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-27 </w:t>
            </w:r>
            <w:r w:rsidR="00B07E76">
              <w:rPr>
                <w:rFonts w:eastAsia="Times New Roman"/>
                <w:color w:val="000000" w:themeColor="text1"/>
                <w:sz w:val="20"/>
                <w:szCs w:val="20"/>
                <w:lang w:eastAsia="cs-CZ"/>
              </w:rPr>
              <w:t>%</w:t>
            </w:r>
          </w:p>
        </w:tc>
        <w:tc>
          <w:tcPr>
            <w:tcW w:w="1002" w:type="dxa"/>
            <w:tcBorders>
              <w:top w:val="nil"/>
              <w:left w:val="nil"/>
              <w:bottom w:val="single" w:sz="4" w:space="0" w:color="auto"/>
              <w:right w:val="nil"/>
            </w:tcBorders>
            <w:shd w:val="clear" w:color="auto" w:fill="auto"/>
            <w:noWrap/>
            <w:vAlign w:val="bottom"/>
            <w:hideMark/>
          </w:tcPr>
          <w:p w14:paraId="4FF8CCF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10 281</w:t>
            </w:r>
          </w:p>
        </w:tc>
        <w:tc>
          <w:tcPr>
            <w:tcW w:w="647" w:type="dxa"/>
            <w:tcBorders>
              <w:top w:val="nil"/>
              <w:left w:val="nil"/>
              <w:bottom w:val="single" w:sz="4" w:space="0" w:color="auto"/>
              <w:right w:val="nil"/>
            </w:tcBorders>
            <w:shd w:val="clear" w:color="auto" w:fill="auto"/>
            <w:noWrap/>
            <w:vAlign w:val="center"/>
            <w:hideMark/>
          </w:tcPr>
          <w:p w14:paraId="16DAF532" w14:textId="71640FA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r>
      <w:tr w:rsidR="008430BD" w:rsidRPr="001C3EC8" w14:paraId="421D3BE0" w14:textId="77777777" w:rsidTr="00E077F3">
        <w:trPr>
          <w:trHeight w:val="315"/>
        </w:trPr>
        <w:tc>
          <w:tcPr>
            <w:tcW w:w="1980" w:type="dxa"/>
            <w:tcBorders>
              <w:top w:val="nil"/>
              <w:left w:val="nil"/>
              <w:bottom w:val="single" w:sz="4" w:space="0" w:color="auto"/>
              <w:right w:val="nil"/>
            </w:tcBorders>
            <w:shd w:val="clear" w:color="auto" w:fill="auto"/>
            <w:noWrap/>
            <w:vAlign w:val="bottom"/>
            <w:hideMark/>
          </w:tcPr>
          <w:p w14:paraId="57EAE87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95" w:type="dxa"/>
            <w:tcBorders>
              <w:top w:val="nil"/>
              <w:left w:val="nil"/>
              <w:bottom w:val="single" w:sz="4" w:space="0" w:color="auto"/>
              <w:right w:val="nil"/>
            </w:tcBorders>
            <w:shd w:val="clear" w:color="auto" w:fill="auto"/>
            <w:noWrap/>
            <w:vAlign w:val="bottom"/>
            <w:hideMark/>
          </w:tcPr>
          <w:p w14:paraId="69E47AD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4 267</w:t>
            </w:r>
          </w:p>
        </w:tc>
        <w:tc>
          <w:tcPr>
            <w:tcW w:w="678" w:type="dxa"/>
            <w:tcBorders>
              <w:top w:val="nil"/>
              <w:left w:val="nil"/>
              <w:bottom w:val="single" w:sz="4" w:space="0" w:color="auto"/>
              <w:right w:val="nil"/>
            </w:tcBorders>
            <w:shd w:val="clear" w:color="auto" w:fill="auto"/>
            <w:noWrap/>
            <w:vAlign w:val="center"/>
            <w:hideMark/>
          </w:tcPr>
          <w:p w14:paraId="7D4955A1" w14:textId="35E1020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c>
          <w:tcPr>
            <w:tcW w:w="895" w:type="dxa"/>
            <w:tcBorders>
              <w:top w:val="nil"/>
              <w:left w:val="single" w:sz="4" w:space="0" w:color="auto"/>
              <w:bottom w:val="single" w:sz="4" w:space="0" w:color="auto"/>
              <w:right w:val="nil"/>
            </w:tcBorders>
            <w:shd w:val="clear" w:color="auto" w:fill="auto"/>
            <w:noWrap/>
            <w:vAlign w:val="bottom"/>
            <w:hideMark/>
          </w:tcPr>
          <w:p w14:paraId="016705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4 487</w:t>
            </w:r>
          </w:p>
        </w:tc>
        <w:tc>
          <w:tcPr>
            <w:tcW w:w="678" w:type="dxa"/>
            <w:tcBorders>
              <w:top w:val="nil"/>
              <w:left w:val="nil"/>
              <w:bottom w:val="single" w:sz="4" w:space="0" w:color="auto"/>
              <w:right w:val="single" w:sz="4" w:space="0" w:color="auto"/>
            </w:tcBorders>
            <w:shd w:val="clear" w:color="auto" w:fill="auto"/>
            <w:noWrap/>
            <w:vAlign w:val="center"/>
            <w:hideMark/>
          </w:tcPr>
          <w:p w14:paraId="6842AED6" w14:textId="74E1BD7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740" w:type="dxa"/>
            <w:tcBorders>
              <w:top w:val="nil"/>
              <w:left w:val="nil"/>
              <w:bottom w:val="single" w:sz="4" w:space="0" w:color="auto"/>
              <w:right w:val="nil"/>
            </w:tcBorders>
            <w:shd w:val="clear" w:color="auto" w:fill="auto"/>
            <w:noWrap/>
            <w:vAlign w:val="bottom"/>
            <w:hideMark/>
          </w:tcPr>
          <w:p w14:paraId="613A487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298</w:t>
            </w:r>
          </w:p>
        </w:tc>
        <w:tc>
          <w:tcPr>
            <w:tcW w:w="686" w:type="dxa"/>
            <w:tcBorders>
              <w:top w:val="nil"/>
              <w:left w:val="nil"/>
              <w:bottom w:val="single" w:sz="4" w:space="0" w:color="auto"/>
              <w:right w:val="single" w:sz="4" w:space="0" w:color="auto"/>
            </w:tcBorders>
            <w:shd w:val="clear" w:color="auto" w:fill="auto"/>
            <w:noWrap/>
            <w:vAlign w:val="center"/>
            <w:hideMark/>
          </w:tcPr>
          <w:p w14:paraId="13FB0B26" w14:textId="19792C2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-26 </w:t>
            </w:r>
            <w:r w:rsidR="00B07E76">
              <w:rPr>
                <w:rFonts w:eastAsia="Times New Roman"/>
                <w:color w:val="000000" w:themeColor="text1"/>
                <w:sz w:val="20"/>
                <w:szCs w:val="20"/>
                <w:lang w:eastAsia="cs-CZ"/>
              </w:rPr>
              <w:t>%</w:t>
            </w:r>
          </w:p>
        </w:tc>
        <w:tc>
          <w:tcPr>
            <w:tcW w:w="1002" w:type="dxa"/>
            <w:tcBorders>
              <w:top w:val="nil"/>
              <w:left w:val="nil"/>
              <w:bottom w:val="single" w:sz="4" w:space="0" w:color="auto"/>
              <w:right w:val="nil"/>
            </w:tcBorders>
            <w:shd w:val="clear" w:color="auto" w:fill="auto"/>
            <w:noWrap/>
            <w:vAlign w:val="bottom"/>
            <w:hideMark/>
          </w:tcPr>
          <w:p w14:paraId="20E7655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18 538</w:t>
            </w:r>
          </w:p>
        </w:tc>
        <w:tc>
          <w:tcPr>
            <w:tcW w:w="647" w:type="dxa"/>
            <w:tcBorders>
              <w:top w:val="nil"/>
              <w:left w:val="nil"/>
              <w:bottom w:val="single" w:sz="4" w:space="0" w:color="auto"/>
              <w:right w:val="nil"/>
            </w:tcBorders>
            <w:shd w:val="clear" w:color="auto" w:fill="auto"/>
            <w:noWrap/>
            <w:vAlign w:val="center"/>
            <w:hideMark/>
          </w:tcPr>
          <w:p w14:paraId="68272E04" w14:textId="64ABB96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r>
      <w:tr w:rsidR="008430BD" w:rsidRPr="001C3EC8" w14:paraId="0F21521F" w14:textId="77777777" w:rsidTr="00E077F3">
        <w:trPr>
          <w:trHeight w:val="315"/>
        </w:trPr>
        <w:tc>
          <w:tcPr>
            <w:tcW w:w="1980" w:type="dxa"/>
            <w:tcBorders>
              <w:top w:val="nil"/>
              <w:left w:val="nil"/>
              <w:bottom w:val="single" w:sz="4" w:space="0" w:color="auto"/>
              <w:right w:val="nil"/>
            </w:tcBorders>
            <w:shd w:val="clear" w:color="auto" w:fill="auto"/>
            <w:noWrap/>
            <w:vAlign w:val="bottom"/>
            <w:hideMark/>
          </w:tcPr>
          <w:p w14:paraId="768ED3D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95" w:type="dxa"/>
            <w:tcBorders>
              <w:top w:val="nil"/>
              <w:left w:val="nil"/>
              <w:bottom w:val="single" w:sz="4" w:space="0" w:color="auto"/>
              <w:right w:val="nil"/>
            </w:tcBorders>
            <w:shd w:val="clear" w:color="auto" w:fill="auto"/>
            <w:noWrap/>
            <w:vAlign w:val="bottom"/>
            <w:hideMark/>
          </w:tcPr>
          <w:p w14:paraId="6061EC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2 698</w:t>
            </w:r>
          </w:p>
        </w:tc>
        <w:tc>
          <w:tcPr>
            <w:tcW w:w="678" w:type="dxa"/>
            <w:tcBorders>
              <w:top w:val="nil"/>
              <w:left w:val="nil"/>
              <w:bottom w:val="single" w:sz="4" w:space="0" w:color="auto"/>
              <w:right w:val="nil"/>
            </w:tcBorders>
            <w:shd w:val="clear" w:color="auto" w:fill="auto"/>
            <w:noWrap/>
            <w:vAlign w:val="center"/>
            <w:hideMark/>
          </w:tcPr>
          <w:p w14:paraId="27C0546E" w14:textId="74C3E41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895" w:type="dxa"/>
            <w:tcBorders>
              <w:top w:val="nil"/>
              <w:left w:val="single" w:sz="4" w:space="0" w:color="auto"/>
              <w:bottom w:val="single" w:sz="4" w:space="0" w:color="auto"/>
              <w:right w:val="nil"/>
            </w:tcBorders>
            <w:shd w:val="clear" w:color="auto" w:fill="auto"/>
            <w:noWrap/>
            <w:vAlign w:val="bottom"/>
            <w:hideMark/>
          </w:tcPr>
          <w:p w14:paraId="1873B5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3 459</w:t>
            </w:r>
          </w:p>
        </w:tc>
        <w:tc>
          <w:tcPr>
            <w:tcW w:w="678" w:type="dxa"/>
            <w:tcBorders>
              <w:top w:val="nil"/>
              <w:left w:val="nil"/>
              <w:bottom w:val="single" w:sz="4" w:space="0" w:color="auto"/>
              <w:right w:val="single" w:sz="4" w:space="0" w:color="auto"/>
            </w:tcBorders>
            <w:shd w:val="clear" w:color="auto" w:fill="auto"/>
            <w:noWrap/>
            <w:vAlign w:val="center"/>
            <w:hideMark/>
          </w:tcPr>
          <w:p w14:paraId="29FF7E21" w14:textId="407EBD1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740" w:type="dxa"/>
            <w:tcBorders>
              <w:top w:val="nil"/>
              <w:left w:val="nil"/>
              <w:bottom w:val="single" w:sz="4" w:space="0" w:color="auto"/>
              <w:right w:val="nil"/>
            </w:tcBorders>
            <w:shd w:val="clear" w:color="auto" w:fill="auto"/>
            <w:noWrap/>
            <w:vAlign w:val="bottom"/>
            <w:hideMark/>
          </w:tcPr>
          <w:p w14:paraId="499677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w:t>
            </w:r>
          </w:p>
        </w:tc>
        <w:tc>
          <w:tcPr>
            <w:tcW w:w="686" w:type="dxa"/>
            <w:tcBorders>
              <w:top w:val="nil"/>
              <w:left w:val="nil"/>
              <w:bottom w:val="single" w:sz="4" w:space="0" w:color="auto"/>
              <w:right w:val="single" w:sz="4" w:space="0" w:color="auto"/>
            </w:tcBorders>
            <w:shd w:val="clear" w:color="auto" w:fill="auto"/>
            <w:noWrap/>
            <w:vAlign w:val="center"/>
            <w:hideMark/>
          </w:tcPr>
          <w:p w14:paraId="2C6311DC" w14:textId="4068699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-62 </w:t>
            </w:r>
            <w:r w:rsidR="00B07E76">
              <w:rPr>
                <w:rFonts w:eastAsia="Times New Roman"/>
                <w:color w:val="000000" w:themeColor="text1"/>
                <w:sz w:val="20"/>
                <w:szCs w:val="20"/>
                <w:lang w:eastAsia="cs-CZ"/>
              </w:rPr>
              <w:t>%</w:t>
            </w:r>
          </w:p>
        </w:tc>
        <w:tc>
          <w:tcPr>
            <w:tcW w:w="1002" w:type="dxa"/>
            <w:tcBorders>
              <w:top w:val="nil"/>
              <w:left w:val="nil"/>
              <w:bottom w:val="single" w:sz="4" w:space="0" w:color="auto"/>
              <w:right w:val="nil"/>
            </w:tcBorders>
            <w:shd w:val="clear" w:color="auto" w:fill="auto"/>
            <w:noWrap/>
            <w:vAlign w:val="bottom"/>
            <w:hideMark/>
          </w:tcPr>
          <w:p w14:paraId="6FB0E55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12 817</w:t>
            </w:r>
          </w:p>
        </w:tc>
        <w:tc>
          <w:tcPr>
            <w:tcW w:w="647" w:type="dxa"/>
            <w:tcBorders>
              <w:top w:val="nil"/>
              <w:left w:val="nil"/>
              <w:bottom w:val="single" w:sz="4" w:space="0" w:color="auto"/>
              <w:right w:val="nil"/>
            </w:tcBorders>
            <w:shd w:val="clear" w:color="auto" w:fill="auto"/>
            <w:noWrap/>
            <w:vAlign w:val="center"/>
            <w:hideMark/>
          </w:tcPr>
          <w:p w14:paraId="705BDC5A" w14:textId="3D9CF3A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115BBDC9" w14:textId="77777777" w:rsidTr="00E077F3">
        <w:trPr>
          <w:trHeight w:val="315"/>
        </w:trPr>
        <w:tc>
          <w:tcPr>
            <w:tcW w:w="1980" w:type="dxa"/>
            <w:tcBorders>
              <w:top w:val="nil"/>
              <w:left w:val="nil"/>
              <w:bottom w:val="single" w:sz="4" w:space="0" w:color="auto"/>
              <w:right w:val="nil"/>
            </w:tcBorders>
            <w:shd w:val="clear" w:color="auto" w:fill="auto"/>
            <w:noWrap/>
            <w:vAlign w:val="bottom"/>
            <w:hideMark/>
          </w:tcPr>
          <w:p w14:paraId="0C58389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95" w:type="dxa"/>
            <w:tcBorders>
              <w:top w:val="nil"/>
              <w:left w:val="nil"/>
              <w:bottom w:val="single" w:sz="4" w:space="0" w:color="auto"/>
              <w:right w:val="nil"/>
            </w:tcBorders>
            <w:shd w:val="clear" w:color="auto" w:fill="auto"/>
            <w:noWrap/>
            <w:vAlign w:val="bottom"/>
            <w:hideMark/>
          </w:tcPr>
          <w:p w14:paraId="2F80D8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4 555</w:t>
            </w:r>
          </w:p>
        </w:tc>
        <w:tc>
          <w:tcPr>
            <w:tcW w:w="678" w:type="dxa"/>
            <w:tcBorders>
              <w:top w:val="nil"/>
              <w:left w:val="nil"/>
              <w:bottom w:val="single" w:sz="4" w:space="0" w:color="auto"/>
              <w:right w:val="nil"/>
            </w:tcBorders>
            <w:shd w:val="clear" w:color="auto" w:fill="auto"/>
            <w:noWrap/>
            <w:vAlign w:val="center"/>
            <w:hideMark/>
          </w:tcPr>
          <w:p w14:paraId="7D012457" w14:textId="52270D1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c>
          <w:tcPr>
            <w:tcW w:w="895" w:type="dxa"/>
            <w:tcBorders>
              <w:top w:val="nil"/>
              <w:left w:val="single" w:sz="4" w:space="0" w:color="auto"/>
              <w:bottom w:val="single" w:sz="4" w:space="0" w:color="auto"/>
              <w:right w:val="nil"/>
            </w:tcBorders>
            <w:shd w:val="clear" w:color="auto" w:fill="auto"/>
            <w:noWrap/>
            <w:vAlign w:val="bottom"/>
            <w:hideMark/>
          </w:tcPr>
          <w:p w14:paraId="2FDC0C8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4 187</w:t>
            </w:r>
          </w:p>
        </w:tc>
        <w:tc>
          <w:tcPr>
            <w:tcW w:w="678" w:type="dxa"/>
            <w:tcBorders>
              <w:top w:val="nil"/>
              <w:left w:val="nil"/>
              <w:bottom w:val="single" w:sz="4" w:space="0" w:color="auto"/>
              <w:right w:val="single" w:sz="4" w:space="0" w:color="auto"/>
            </w:tcBorders>
            <w:shd w:val="clear" w:color="auto" w:fill="auto"/>
            <w:noWrap/>
            <w:vAlign w:val="center"/>
            <w:hideMark/>
          </w:tcPr>
          <w:p w14:paraId="27D85DBF" w14:textId="0BE5100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740" w:type="dxa"/>
            <w:tcBorders>
              <w:top w:val="nil"/>
              <w:left w:val="nil"/>
              <w:bottom w:val="single" w:sz="4" w:space="0" w:color="auto"/>
              <w:right w:val="nil"/>
            </w:tcBorders>
            <w:shd w:val="clear" w:color="auto" w:fill="auto"/>
            <w:noWrap/>
            <w:vAlign w:val="bottom"/>
            <w:hideMark/>
          </w:tcPr>
          <w:p w14:paraId="32913AA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467</w:t>
            </w:r>
          </w:p>
        </w:tc>
        <w:tc>
          <w:tcPr>
            <w:tcW w:w="686" w:type="dxa"/>
            <w:tcBorders>
              <w:top w:val="nil"/>
              <w:left w:val="nil"/>
              <w:bottom w:val="single" w:sz="4" w:space="0" w:color="auto"/>
              <w:right w:val="single" w:sz="4" w:space="0" w:color="auto"/>
            </w:tcBorders>
            <w:shd w:val="clear" w:color="auto" w:fill="auto"/>
            <w:noWrap/>
            <w:vAlign w:val="center"/>
            <w:hideMark/>
          </w:tcPr>
          <w:p w14:paraId="088429CF" w14:textId="73B65E5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1002" w:type="dxa"/>
            <w:tcBorders>
              <w:top w:val="nil"/>
              <w:left w:val="nil"/>
              <w:bottom w:val="single" w:sz="4" w:space="0" w:color="auto"/>
              <w:right w:val="nil"/>
            </w:tcBorders>
            <w:shd w:val="clear" w:color="auto" w:fill="auto"/>
            <w:noWrap/>
            <w:vAlign w:val="bottom"/>
            <w:hideMark/>
          </w:tcPr>
          <w:p w14:paraId="514497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16 669</w:t>
            </w:r>
          </w:p>
        </w:tc>
        <w:tc>
          <w:tcPr>
            <w:tcW w:w="647" w:type="dxa"/>
            <w:tcBorders>
              <w:top w:val="nil"/>
              <w:left w:val="nil"/>
              <w:bottom w:val="single" w:sz="4" w:space="0" w:color="auto"/>
              <w:right w:val="nil"/>
            </w:tcBorders>
            <w:shd w:val="clear" w:color="auto" w:fill="auto"/>
            <w:noWrap/>
            <w:vAlign w:val="center"/>
            <w:hideMark/>
          </w:tcPr>
          <w:p w14:paraId="4F733241" w14:textId="4C7089D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 </w:t>
            </w:r>
            <w:r w:rsidR="00B07E76">
              <w:rPr>
                <w:rFonts w:eastAsia="Times New Roman"/>
                <w:color w:val="000000" w:themeColor="text1"/>
                <w:sz w:val="20"/>
                <w:szCs w:val="20"/>
                <w:lang w:eastAsia="cs-CZ"/>
              </w:rPr>
              <w:t>%</w:t>
            </w:r>
          </w:p>
        </w:tc>
      </w:tr>
      <w:tr w:rsidR="008430BD" w:rsidRPr="001C3EC8" w14:paraId="5BF2B61D" w14:textId="77777777" w:rsidTr="00E077F3">
        <w:trPr>
          <w:trHeight w:val="330"/>
        </w:trPr>
        <w:tc>
          <w:tcPr>
            <w:tcW w:w="1980" w:type="dxa"/>
            <w:tcBorders>
              <w:top w:val="nil"/>
              <w:left w:val="nil"/>
              <w:bottom w:val="double" w:sz="6" w:space="0" w:color="auto"/>
              <w:right w:val="nil"/>
            </w:tcBorders>
            <w:shd w:val="clear" w:color="auto" w:fill="auto"/>
            <w:noWrap/>
            <w:vAlign w:val="bottom"/>
            <w:hideMark/>
          </w:tcPr>
          <w:p w14:paraId="078C772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95" w:type="dxa"/>
            <w:tcBorders>
              <w:top w:val="nil"/>
              <w:left w:val="nil"/>
              <w:bottom w:val="double" w:sz="6" w:space="0" w:color="auto"/>
              <w:right w:val="nil"/>
            </w:tcBorders>
            <w:shd w:val="clear" w:color="auto" w:fill="auto"/>
            <w:noWrap/>
            <w:vAlign w:val="bottom"/>
            <w:hideMark/>
          </w:tcPr>
          <w:p w14:paraId="32C3D05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5 124</w:t>
            </w:r>
          </w:p>
        </w:tc>
        <w:tc>
          <w:tcPr>
            <w:tcW w:w="678" w:type="dxa"/>
            <w:tcBorders>
              <w:top w:val="nil"/>
              <w:left w:val="nil"/>
              <w:bottom w:val="double" w:sz="6" w:space="0" w:color="auto"/>
              <w:right w:val="nil"/>
            </w:tcBorders>
            <w:shd w:val="clear" w:color="auto" w:fill="auto"/>
            <w:noWrap/>
            <w:vAlign w:val="center"/>
            <w:hideMark/>
          </w:tcPr>
          <w:p w14:paraId="1D1B48EF" w14:textId="1641C07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895" w:type="dxa"/>
            <w:tcBorders>
              <w:top w:val="nil"/>
              <w:left w:val="single" w:sz="4" w:space="0" w:color="auto"/>
              <w:bottom w:val="double" w:sz="6" w:space="0" w:color="auto"/>
              <w:right w:val="nil"/>
            </w:tcBorders>
            <w:shd w:val="clear" w:color="auto" w:fill="auto"/>
            <w:noWrap/>
            <w:vAlign w:val="bottom"/>
            <w:hideMark/>
          </w:tcPr>
          <w:p w14:paraId="3AC9B15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5 147</w:t>
            </w:r>
          </w:p>
        </w:tc>
        <w:tc>
          <w:tcPr>
            <w:tcW w:w="678" w:type="dxa"/>
            <w:tcBorders>
              <w:top w:val="nil"/>
              <w:left w:val="nil"/>
              <w:bottom w:val="double" w:sz="6" w:space="0" w:color="auto"/>
              <w:right w:val="single" w:sz="4" w:space="0" w:color="auto"/>
            </w:tcBorders>
            <w:shd w:val="clear" w:color="auto" w:fill="auto"/>
            <w:noWrap/>
            <w:vAlign w:val="center"/>
            <w:hideMark/>
          </w:tcPr>
          <w:p w14:paraId="66A46EFA" w14:textId="1E848FE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c>
          <w:tcPr>
            <w:tcW w:w="740" w:type="dxa"/>
            <w:tcBorders>
              <w:top w:val="nil"/>
              <w:left w:val="nil"/>
              <w:bottom w:val="double" w:sz="6" w:space="0" w:color="auto"/>
              <w:right w:val="nil"/>
            </w:tcBorders>
            <w:shd w:val="clear" w:color="auto" w:fill="auto"/>
            <w:noWrap/>
            <w:vAlign w:val="bottom"/>
            <w:hideMark/>
          </w:tcPr>
          <w:p w14:paraId="4D42650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583</w:t>
            </w:r>
          </w:p>
        </w:tc>
        <w:tc>
          <w:tcPr>
            <w:tcW w:w="686" w:type="dxa"/>
            <w:tcBorders>
              <w:top w:val="nil"/>
              <w:left w:val="nil"/>
              <w:bottom w:val="double" w:sz="6" w:space="0" w:color="auto"/>
              <w:right w:val="single" w:sz="4" w:space="0" w:color="auto"/>
            </w:tcBorders>
            <w:shd w:val="clear" w:color="auto" w:fill="auto"/>
            <w:noWrap/>
            <w:vAlign w:val="center"/>
            <w:hideMark/>
          </w:tcPr>
          <w:p w14:paraId="0729BEB1" w14:textId="03C641B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1002" w:type="dxa"/>
            <w:tcBorders>
              <w:top w:val="nil"/>
              <w:left w:val="nil"/>
              <w:bottom w:val="double" w:sz="6" w:space="0" w:color="auto"/>
              <w:right w:val="nil"/>
            </w:tcBorders>
            <w:shd w:val="clear" w:color="auto" w:fill="auto"/>
            <w:noWrap/>
            <w:vAlign w:val="bottom"/>
            <w:hideMark/>
          </w:tcPr>
          <w:p w14:paraId="678552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21 508</w:t>
            </w:r>
          </w:p>
        </w:tc>
        <w:tc>
          <w:tcPr>
            <w:tcW w:w="647" w:type="dxa"/>
            <w:tcBorders>
              <w:top w:val="nil"/>
              <w:left w:val="nil"/>
              <w:bottom w:val="double" w:sz="6" w:space="0" w:color="auto"/>
              <w:right w:val="nil"/>
            </w:tcBorders>
            <w:shd w:val="clear" w:color="auto" w:fill="auto"/>
            <w:noWrap/>
            <w:vAlign w:val="center"/>
            <w:hideMark/>
          </w:tcPr>
          <w:p w14:paraId="00B28707" w14:textId="414411D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+0 </w:t>
            </w:r>
            <w:r w:rsidR="00B07E76">
              <w:rPr>
                <w:rFonts w:eastAsia="Times New Roman"/>
                <w:color w:val="000000" w:themeColor="text1"/>
                <w:sz w:val="20"/>
                <w:szCs w:val="20"/>
                <w:lang w:eastAsia="cs-CZ"/>
              </w:rPr>
              <w:t>%</w:t>
            </w:r>
          </w:p>
        </w:tc>
      </w:tr>
      <w:tr w:rsidR="008430BD" w:rsidRPr="001C3EC8" w14:paraId="7E75A53D" w14:textId="77777777" w:rsidTr="00E077F3">
        <w:trPr>
          <w:trHeight w:val="345"/>
        </w:trPr>
        <w:tc>
          <w:tcPr>
            <w:tcW w:w="1980" w:type="dxa"/>
            <w:tcBorders>
              <w:top w:val="nil"/>
              <w:left w:val="nil"/>
              <w:bottom w:val="double" w:sz="6" w:space="0" w:color="auto"/>
              <w:right w:val="nil"/>
            </w:tcBorders>
            <w:shd w:val="clear" w:color="auto" w:fill="auto"/>
            <w:noWrap/>
            <w:vAlign w:val="bottom"/>
            <w:hideMark/>
          </w:tcPr>
          <w:p w14:paraId="09415493"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95" w:type="dxa"/>
            <w:tcBorders>
              <w:top w:val="nil"/>
              <w:left w:val="nil"/>
              <w:bottom w:val="double" w:sz="6" w:space="0" w:color="auto"/>
              <w:right w:val="nil"/>
            </w:tcBorders>
            <w:shd w:val="clear" w:color="auto" w:fill="auto"/>
            <w:noWrap/>
            <w:vAlign w:val="bottom"/>
            <w:hideMark/>
          </w:tcPr>
          <w:p w14:paraId="2A5648C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26 732</w:t>
            </w:r>
          </w:p>
        </w:tc>
        <w:tc>
          <w:tcPr>
            <w:tcW w:w="678" w:type="dxa"/>
            <w:tcBorders>
              <w:top w:val="nil"/>
              <w:left w:val="nil"/>
              <w:bottom w:val="double" w:sz="6" w:space="0" w:color="auto"/>
              <w:right w:val="nil"/>
            </w:tcBorders>
            <w:shd w:val="clear" w:color="auto" w:fill="auto"/>
            <w:noWrap/>
            <w:vAlign w:val="center"/>
            <w:hideMark/>
          </w:tcPr>
          <w:p w14:paraId="4B327E57" w14:textId="4B6D38D9"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-13 </w:t>
            </w:r>
            <w:r w:rsidR="00B07E76">
              <w:rPr>
                <w:rFonts w:eastAsia="Times New Roman"/>
                <w:b/>
                <w:bCs/>
                <w:color w:val="000000" w:themeColor="text1"/>
                <w:sz w:val="20"/>
                <w:szCs w:val="20"/>
                <w:lang w:eastAsia="cs-CZ"/>
              </w:rPr>
              <w:t>%</w:t>
            </w:r>
          </w:p>
        </w:tc>
        <w:tc>
          <w:tcPr>
            <w:tcW w:w="895" w:type="dxa"/>
            <w:tcBorders>
              <w:top w:val="nil"/>
              <w:left w:val="single" w:sz="4" w:space="0" w:color="auto"/>
              <w:bottom w:val="double" w:sz="6" w:space="0" w:color="auto"/>
              <w:right w:val="nil"/>
            </w:tcBorders>
            <w:shd w:val="clear" w:color="auto" w:fill="auto"/>
            <w:noWrap/>
            <w:vAlign w:val="bottom"/>
            <w:hideMark/>
          </w:tcPr>
          <w:p w14:paraId="6B25A21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27 567</w:t>
            </w:r>
          </w:p>
        </w:tc>
        <w:tc>
          <w:tcPr>
            <w:tcW w:w="678" w:type="dxa"/>
            <w:tcBorders>
              <w:top w:val="nil"/>
              <w:left w:val="nil"/>
              <w:bottom w:val="double" w:sz="6" w:space="0" w:color="auto"/>
              <w:right w:val="single" w:sz="4" w:space="0" w:color="auto"/>
            </w:tcBorders>
            <w:shd w:val="clear" w:color="auto" w:fill="auto"/>
            <w:noWrap/>
            <w:vAlign w:val="center"/>
            <w:hideMark/>
          </w:tcPr>
          <w:p w14:paraId="1DC898C3" w14:textId="577B4F81"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-9 </w:t>
            </w:r>
            <w:r w:rsidR="00B07E76">
              <w:rPr>
                <w:rFonts w:eastAsia="Times New Roman"/>
                <w:b/>
                <w:bCs/>
                <w:color w:val="000000" w:themeColor="text1"/>
                <w:sz w:val="20"/>
                <w:szCs w:val="20"/>
                <w:lang w:eastAsia="cs-CZ"/>
              </w:rPr>
              <w:t>%</w:t>
            </w:r>
          </w:p>
        </w:tc>
        <w:tc>
          <w:tcPr>
            <w:tcW w:w="740" w:type="dxa"/>
            <w:tcBorders>
              <w:top w:val="nil"/>
              <w:left w:val="nil"/>
              <w:bottom w:val="double" w:sz="6" w:space="0" w:color="auto"/>
              <w:right w:val="nil"/>
            </w:tcBorders>
            <w:shd w:val="clear" w:color="auto" w:fill="auto"/>
            <w:noWrap/>
            <w:vAlign w:val="bottom"/>
            <w:hideMark/>
          </w:tcPr>
          <w:p w14:paraId="3399381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2 468</w:t>
            </w:r>
          </w:p>
        </w:tc>
        <w:tc>
          <w:tcPr>
            <w:tcW w:w="686" w:type="dxa"/>
            <w:tcBorders>
              <w:top w:val="nil"/>
              <w:left w:val="nil"/>
              <w:bottom w:val="double" w:sz="6" w:space="0" w:color="auto"/>
              <w:right w:val="single" w:sz="4" w:space="0" w:color="auto"/>
            </w:tcBorders>
            <w:shd w:val="clear" w:color="auto" w:fill="auto"/>
            <w:noWrap/>
            <w:vAlign w:val="center"/>
            <w:hideMark/>
          </w:tcPr>
          <w:p w14:paraId="1809E6F5" w14:textId="670FC537"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-20 </w:t>
            </w:r>
            <w:r w:rsidR="00B07E76">
              <w:rPr>
                <w:rFonts w:eastAsia="Times New Roman"/>
                <w:b/>
                <w:bCs/>
                <w:color w:val="000000" w:themeColor="text1"/>
                <w:sz w:val="20"/>
                <w:szCs w:val="20"/>
                <w:lang w:eastAsia="cs-CZ"/>
              </w:rPr>
              <w:t>%</w:t>
            </w:r>
          </w:p>
        </w:tc>
        <w:tc>
          <w:tcPr>
            <w:tcW w:w="1002" w:type="dxa"/>
            <w:tcBorders>
              <w:top w:val="nil"/>
              <w:left w:val="nil"/>
              <w:bottom w:val="double" w:sz="6" w:space="0" w:color="auto"/>
              <w:right w:val="nil"/>
            </w:tcBorders>
            <w:shd w:val="clear" w:color="auto" w:fill="auto"/>
            <w:noWrap/>
            <w:vAlign w:val="bottom"/>
            <w:hideMark/>
          </w:tcPr>
          <w:p w14:paraId="4EEE109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107 781</w:t>
            </w:r>
          </w:p>
        </w:tc>
        <w:tc>
          <w:tcPr>
            <w:tcW w:w="647" w:type="dxa"/>
            <w:tcBorders>
              <w:top w:val="nil"/>
              <w:left w:val="nil"/>
              <w:bottom w:val="double" w:sz="6" w:space="0" w:color="auto"/>
              <w:right w:val="nil"/>
            </w:tcBorders>
            <w:shd w:val="clear" w:color="auto" w:fill="auto"/>
            <w:noWrap/>
            <w:vAlign w:val="center"/>
            <w:hideMark/>
          </w:tcPr>
          <w:p w14:paraId="1DFFEEB7" w14:textId="21AA2894"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-0 </w:t>
            </w:r>
            <w:r w:rsidR="00B07E76">
              <w:rPr>
                <w:rFonts w:eastAsia="Times New Roman"/>
                <w:b/>
                <w:bCs/>
                <w:color w:val="000000" w:themeColor="text1"/>
                <w:sz w:val="20"/>
                <w:szCs w:val="20"/>
                <w:lang w:eastAsia="cs-CZ"/>
              </w:rPr>
              <w:t>%</w:t>
            </w:r>
          </w:p>
        </w:tc>
      </w:tr>
    </w:tbl>
    <w:p w14:paraId="02510F4C" w14:textId="77777777" w:rsidR="008430BD" w:rsidRPr="001C3EC8" w:rsidRDefault="008430BD" w:rsidP="008430BD">
      <w:pPr>
        <w:rPr>
          <w:color w:val="000000" w:themeColor="text1"/>
        </w:rPr>
      </w:pPr>
    </w:p>
    <w:p w14:paraId="7AC48D14" w14:textId="1A523DBE" w:rsidR="008430BD" w:rsidRPr="001C3EC8" w:rsidRDefault="008430BD" w:rsidP="008430BD">
      <w:pPr>
        <w:pStyle w:val="OdstavecASR"/>
        <w:rPr>
          <w:color w:val="000000" w:themeColor="text1"/>
        </w:rPr>
      </w:pPr>
      <w:r w:rsidRPr="001C3EC8">
        <w:rPr>
          <w:color w:val="000000" w:themeColor="text1"/>
        </w:rPr>
        <w:t xml:space="preserve">Počet napadlých věcí v prvních letech logicky stoupal, protože se jednalo o novou agendu. Změnu trendu v roce 2013 můžeme připsat změnám v ekonomické situaci v ČR, zejména ale tomu, že „zásoba“ osob, které se před rokem 2008 dostaly do úpadkové situace a mohou ji řešit oddlužením, se vyčerpala a nově tedy již jde jen o navrhovatele, kteří skutečně dospěli do úpadku v daném roce. Časová řada počtu nevyřízených věcí před rozhodnutím o úpadku má podobný průběh se zpožděním, což je vzhledem k rychlosti vyřizování insolvenčních návrhů logické. Počet vyřízených věcí roste, protože celé insolvenční řízení trvá několik let. V současnosti se tedy ve vyřízených věcech odráží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Již zde „vyprchal“ efekt rostoucího nápadu do roku 2013. V roce 2018 pak počet nevyřízených věcí začal klesat, </w:t>
      </w:r>
      <w:r w:rsidR="00532306" w:rsidRPr="001C3EC8">
        <w:rPr>
          <w:color w:val="000000" w:themeColor="text1"/>
        </w:rPr>
        <w:t>a</w:t>
      </w:r>
      <w:r w:rsidR="00532306">
        <w:rPr>
          <w:color w:val="000000" w:themeColor="text1"/>
        </w:rPr>
        <w:t> </w:t>
      </w:r>
      <w:r w:rsidRPr="001C3EC8">
        <w:rPr>
          <w:color w:val="000000" w:themeColor="text1"/>
        </w:rPr>
        <w:t xml:space="preserve">to </w:t>
      </w:r>
      <w:r w:rsidR="00532306" w:rsidRPr="001C3EC8">
        <w:rPr>
          <w:color w:val="000000" w:themeColor="text1"/>
        </w:rPr>
        <w:t>u</w:t>
      </w:r>
      <w:r w:rsidR="00532306">
        <w:rPr>
          <w:color w:val="000000" w:themeColor="text1"/>
        </w:rPr>
        <w:t> </w:t>
      </w:r>
      <w:r w:rsidRPr="001C3EC8">
        <w:rPr>
          <w:color w:val="000000" w:themeColor="text1"/>
        </w:rPr>
        <w:t xml:space="preserve">všech soudů s výjimkou MS Praha. Vzhledem k novelám insolvenčního zákona je složitější odhadnout vývoj této proměnné v dalších letech. Novela účinná od 1. 7. 2017 mimo jiné zpřísnila podmínky pro podání insolvenčního návrhu </w:t>
      </w:r>
      <w:r w:rsidR="00532306" w:rsidRPr="001C3EC8">
        <w:rPr>
          <w:color w:val="000000" w:themeColor="text1"/>
        </w:rPr>
        <w:t>u</w:t>
      </w:r>
      <w:r w:rsidR="00532306">
        <w:rPr>
          <w:color w:val="000000" w:themeColor="text1"/>
        </w:rPr>
        <w:t> </w:t>
      </w:r>
      <w:r w:rsidRPr="001C3EC8">
        <w:rPr>
          <w:color w:val="000000" w:themeColor="text1"/>
        </w:rPr>
        <w:t xml:space="preserve">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byl před novelou. Další novela insolvenční zákona je účinná od 1. 6. 2019, jak bylo uvedeno výše. Po účinnosti této novely došlo k velmi prudkému nárůstu v počtu napadlých věcí, </w:t>
      </w:r>
      <w:r w:rsidR="00532306" w:rsidRPr="001C3EC8">
        <w:rPr>
          <w:color w:val="000000" w:themeColor="text1"/>
        </w:rPr>
        <w:t>a</w:t>
      </w:r>
      <w:r w:rsidR="00532306">
        <w:rPr>
          <w:color w:val="000000" w:themeColor="text1"/>
        </w:rPr>
        <w:t> </w:t>
      </w:r>
      <w:r w:rsidRPr="001C3EC8">
        <w:rPr>
          <w:color w:val="000000" w:themeColor="text1"/>
        </w:rPr>
        <w:t xml:space="preserve">to především v prvních měsících. To se pak samozřejmě projevilo </w:t>
      </w:r>
      <w:r w:rsidR="00532306" w:rsidRPr="001C3EC8">
        <w:rPr>
          <w:color w:val="000000" w:themeColor="text1"/>
        </w:rPr>
        <w:t>i</w:t>
      </w:r>
      <w:r w:rsidR="00532306">
        <w:rPr>
          <w:color w:val="000000" w:themeColor="text1"/>
        </w:rPr>
        <w:t> </w:t>
      </w:r>
      <w:r w:rsidRPr="001C3EC8">
        <w:rPr>
          <w:color w:val="000000" w:themeColor="text1"/>
        </w:rPr>
        <w:t>v počtu nevyřízených věcí.</w:t>
      </w:r>
    </w:p>
    <w:p w14:paraId="61653A7E" w14:textId="4F92425B" w:rsidR="008430BD" w:rsidRPr="001C3EC8" w:rsidRDefault="008430BD" w:rsidP="008430BD">
      <w:pPr>
        <w:pStyle w:val="OdstavecASR"/>
        <w:rPr>
          <w:color w:val="000000" w:themeColor="text1"/>
        </w:rPr>
      </w:pPr>
      <w:r w:rsidRPr="001C3EC8">
        <w:rPr>
          <w:color w:val="000000" w:themeColor="text1"/>
        </w:rPr>
        <w:lastRenderedPageBreak/>
        <w:t xml:space="preserve">V roce 2020 došlo k poklesu v nápadu </w:t>
      </w:r>
      <w:r w:rsidR="00532306" w:rsidRPr="001C3EC8">
        <w:rPr>
          <w:color w:val="000000" w:themeColor="text1"/>
        </w:rPr>
        <w:t>o</w:t>
      </w:r>
      <w:r w:rsidR="00532306">
        <w:rPr>
          <w:color w:val="000000" w:themeColor="text1"/>
        </w:rPr>
        <w:t> </w:t>
      </w:r>
      <w:r w:rsidRPr="001C3EC8">
        <w:rPr>
          <w:color w:val="000000" w:themeColor="text1"/>
        </w:rPr>
        <w:t xml:space="preserve">13 %. Nápad klesl </w:t>
      </w:r>
      <w:r w:rsidR="00532306" w:rsidRPr="001C3EC8">
        <w:rPr>
          <w:color w:val="000000" w:themeColor="text1"/>
        </w:rPr>
        <w:t>u</w:t>
      </w:r>
      <w:r w:rsidR="00532306">
        <w:rPr>
          <w:color w:val="000000" w:themeColor="text1"/>
        </w:rPr>
        <w:t> </w:t>
      </w:r>
      <w:r w:rsidRPr="001C3EC8">
        <w:rPr>
          <w:color w:val="000000" w:themeColor="text1"/>
        </w:rPr>
        <w:t xml:space="preserve">všech soudů. </w:t>
      </w:r>
      <w:r w:rsidR="00532306" w:rsidRPr="001C3EC8">
        <w:rPr>
          <w:color w:val="000000" w:themeColor="text1"/>
        </w:rPr>
        <w:t>U</w:t>
      </w:r>
      <w:r w:rsidR="00532306">
        <w:rPr>
          <w:color w:val="000000" w:themeColor="text1"/>
        </w:rPr>
        <w:t> </w:t>
      </w:r>
      <w:r w:rsidRPr="001C3EC8">
        <w:rPr>
          <w:color w:val="000000" w:themeColor="text1"/>
        </w:rPr>
        <w:t xml:space="preserve">insolvenční agendy je obtížné určit zdroj tohoto poklesu. Ztěžují to četné legislativní změny z posledních let, které na nápad rozhodně mají vliv. Je tedy těžké usoudit, zda </w:t>
      </w:r>
      <w:r w:rsidR="00D406F2" w:rsidRPr="001C3EC8">
        <w:rPr>
          <w:color w:val="000000" w:themeColor="text1"/>
        </w:rPr>
        <w:t xml:space="preserve">pandemie </w:t>
      </w:r>
      <w:r w:rsidR="000C3B1E">
        <w:rPr>
          <w:color w:val="000000" w:themeColor="text1"/>
        </w:rPr>
        <w:t>COVID</w:t>
      </w:r>
      <w:r w:rsidR="000C3B1E">
        <w:rPr>
          <w:color w:val="000000" w:themeColor="text1"/>
        </w:rPr>
        <w:noBreakHyphen/>
        <w:t>19</w:t>
      </w:r>
      <w:r w:rsidRPr="001C3EC8">
        <w:rPr>
          <w:color w:val="000000" w:themeColor="text1"/>
        </w:rPr>
        <w:t xml:space="preserve"> měl</w:t>
      </w:r>
      <w:r w:rsidR="00D406F2" w:rsidRPr="001C3EC8">
        <w:rPr>
          <w:color w:val="000000" w:themeColor="text1"/>
        </w:rPr>
        <w:t>a</w:t>
      </w:r>
      <w:r w:rsidRPr="001C3EC8">
        <w:rPr>
          <w:color w:val="000000" w:themeColor="text1"/>
        </w:rPr>
        <w:t xml:space="preserve"> nějaký vliv s</w:t>
      </w:r>
      <w:r w:rsidR="003F55DA" w:rsidRPr="001C3EC8">
        <w:rPr>
          <w:color w:val="000000" w:themeColor="text1"/>
        </w:rPr>
        <w:t>a</w:t>
      </w:r>
      <w:r w:rsidRPr="001C3EC8">
        <w:rPr>
          <w:color w:val="000000" w:themeColor="text1"/>
        </w:rPr>
        <w:t>m</w:t>
      </w:r>
      <w:r w:rsidR="00D406F2" w:rsidRPr="001C3EC8">
        <w:rPr>
          <w:color w:val="000000" w:themeColor="text1"/>
        </w:rPr>
        <w:t>a</w:t>
      </w:r>
      <w:r w:rsidRPr="001C3EC8">
        <w:rPr>
          <w:color w:val="000000" w:themeColor="text1"/>
        </w:rPr>
        <w:t xml:space="preserve"> </w:t>
      </w:r>
      <w:r w:rsidR="00532306" w:rsidRPr="001C3EC8">
        <w:rPr>
          <w:color w:val="000000" w:themeColor="text1"/>
        </w:rPr>
        <w:t>o</w:t>
      </w:r>
      <w:r w:rsidR="00532306">
        <w:rPr>
          <w:color w:val="000000" w:themeColor="text1"/>
        </w:rPr>
        <w:t> </w:t>
      </w:r>
      <w:r w:rsidRPr="001C3EC8">
        <w:rPr>
          <w:color w:val="000000" w:themeColor="text1"/>
        </w:rPr>
        <w:t xml:space="preserve">sobě </w:t>
      </w:r>
      <w:r w:rsidR="00532306" w:rsidRPr="001C3EC8">
        <w:rPr>
          <w:color w:val="000000" w:themeColor="text1"/>
        </w:rPr>
        <w:t>a</w:t>
      </w:r>
      <w:r w:rsidR="00532306">
        <w:rPr>
          <w:color w:val="000000" w:themeColor="text1"/>
        </w:rPr>
        <w:t> </w:t>
      </w:r>
      <w:r w:rsidRPr="001C3EC8">
        <w:rPr>
          <w:color w:val="000000" w:themeColor="text1"/>
        </w:rPr>
        <w:t xml:space="preserve">zda tedy stojí za poklesem nápadu jako </w:t>
      </w:r>
      <w:r w:rsidR="00532306" w:rsidRPr="001C3EC8">
        <w:rPr>
          <w:color w:val="000000" w:themeColor="text1"/>
        </w:rPr>
        <w:t>u</w:t>
      </w:r>
      <w:r w:rsidR="00532306">
        <w:rPr>
          <w:color w:val="000000" w:themeColor="text1"/>
        </w:rPr>
        <w:t> </w:t>
      </w:r>
      <w:r w:rsidRPr="001C3EC8">
        <w:rPr>
          <w:color w:val="000000" w:themeColor="text1"/>
        </w:rPr>
        <w:t>ostatních agend.</w:t>
      </w:r>
    </w:p>
    <w:p w14:paraId="0381D8DB" w14:textId="77777777" w:rsidR="008430BD" w:rsidRPr="001C3EC8" w:rsidRDefault="008430BD" w:rsidP="008430BD">
      <w:pPr>
        <w:pStyle w:val="Nadpis3"/>
        <w:numPr>
          <w:ilvl w:val="2"/>
          <w:numId w:val="1"/>
        </w:numPr>
        <w:rPr>
          <w:color w:val="000000" w:themeColor="text1"/>
        </w:rPr>
      </w:pPr>
      <w:bookmarkStart w:id="667" w:name="_Toc515871275"/>
      <w:bookmarkStart w:id="668" w:name="_Toc75952116"/>
      <w:r w:rsidRPr="001C3EC8">
        <w:rPr>
          <w:color w:val="000000" w:themeColor="text1"/>
        </w:rPr>
        <w:t>Vyřizování věcí v přepočtu na soudce</w:t>
      </w:r>
      <w:bookmarkEnd w:id="667"/>
      <w:bookmarkEnd w:id="668"/>
    </w:p>
    <w:p w14:paraId="2768FE4F" w14:textId="1E54B621" w:rsidR="008430BD" w:rsidRPr="001C3EC8" w:rsidRDefault="008430BD" w:rsidP="008430BD">
      <w:pPr>
        <w:pStyle w:val="OdstavecASR"/>
        <w:rPr>
          <w:color w:val="000000" w:themeColor="text1"/>
        </w:rPr>
      </w:pPr>
      <w:r w:rsidRPr="001C3EC8">
        <w:rPr>
          <w:color w:val="000000" w:themeColor="text1"/>
        </w:rPr>
        <w:t xml:space="preserve">Stejně jako </w:t>
      </w:r>
      <w:r w:rsidR="00532306" w:rsidRPr="001C3EC8">
        <w:rPr>
          <w:color w:val="000000" w:themeColor="text1"/>
        </w:rPr>
        <w:t>u</w:t>
      </w:r>
      <w:r w:rsidR="00532306">
        <w:rPr>
          <w:color w:val="000000" w:themeColor="text1"/>
        </w:rPr>
        <w:t> </w:t>
      </w:r>
      <w:r w:rsidRPr="001C3EC8">
        <w:rPr>
          <w:color w:val="000000" w:themeColor="text1"/>
        </w:rPr>
        <w:t xml:space="preserve">ostatních agend má Ministerstvo spravedlnosti od roku 2019 k dispozici detailnější statistická data o počtu soudců na insolvenčních úsecích soudů. Přepočet na soudce nebude srovnáván s předchozím rokem, protože v tomto roce je počet soudců, kteří vyřizují rejstřík INS </w:t>
      </w:r>
      <w:r w:rsidR="00532306" w:rsidRPr="001C3EC8">
        <w:rPr>
          <w:color w:val="000000" w:themeColor="text1"/>
        </w:rPr>
        <w:t>a</w:t>
      </w:r>
      <w:r w:rsidR="00532306">
        <w:rPr>
          <w:color w:val="000000" w:themeColor="text1"/>
        </w:rPr>
        <w:t> </w:t>
      </w:r>
      <w:r w:rsidRPr="001C3EC8">
        <w:rPr>
          <w:color w:val="000000" w:themeColor="text1"/>
        </w:rPr>
        <w:t xml:space="preserve">počet soudců, kteří vyřizují rejstřík </w:t>
      </w:r>
      <w:proofErr w:type="spellStart"/>
      <w:r w:rsidRPr="001C3EC8">
        <w:rPr>
          <w:color w:val="000000" w:themeColor="text1"/>
        </w:rPr>
        <w:t>ICm</w:t>
      </w:r>
      <w:proofErr w:type="spellEnd"/>
      <w:r w:rsidR="00060216" w:rsidRPr="001C3EC8">
        <w:rPr>
          <w:color w:val="000000" w:themeColor="text1"/>
        </w:rPr>
        <w:t>,</w:t>
      </w:r>
      <w:r w:rsidRPr="001C3EC8">
        <w:rPr>
          <w:color w:val="000000" w:themeColor="text1"/>
        </w:rPr>
        <w:t xml:space="preserve"> oddělen</w:t>
      </w:r>
      <w:r w:rsidR="00060216" w:rsidRPr="001C3EC8">
        <w:rPr>
          <w:color w:val="000000" w:themeColor="text1"/>
        </w:rPr>
        <w:t>;</w:t>
      </w:r>
      <w:r w:rsidRPr="001C3EC8">
        <w:rPr>
          <w:color w:val="000000" w:themeColor="text1"/>
        </w:rPr>
        <w:t xml:space="preserve"> </w:t>
      </w:r>
      <w:r w:rsidR="00060216" w:rsidRPr="001C3EC8">
        <w:rPr>
          <w:color w:val="000000" w:themeColor="text1"/>
        </w:rPr>
        <w:t>v</w:t>
      </w:r>
      <w:r w:rsidR="00FE43FA" w:rsidRPr="001C3EC8">
        <w:rPr>
          <w:color w:val="000000" w:themeColor="text1"/>
        </w:rPr>
        <w:t xml:space="preserve"> roce 2019 </w:t>
      </w:r>
      <w:r w:rsidRPr="001C3EC8">
        <w:rPr>
          <w:color w:val="000000" w:themeColor="text1"/>
        </w:rPr>
        <w:t>tom</w:t>
      </w:r>
      <w:r w:rsidR="00D406F2" w:rsidRPr="001C3EC8">
        <w:rPr>
          <w:color w:val="000000" w:themeColor="text1"/>
        </w:rPr>
        <w:t>u</w:t>
      </w:r>
      <w:r w:rsidRPr="001C3EC8">
        <w:rPr>
          <w:color w:val="000000" w:themeColor="text1"/>
        </w:rPr>
        <w:t xml:space="preserve"> tak nebylo.</w:t>
      </w:r>
    </w:p>
    <w:p w14:paraId="01F0F1BF" w14:textId="2AC3631D" w:rsidR="008430BD" w:rsidRPr="001C3EC8" w:rsidRDefault="008430BD" w:rsidP="008430BD">
      <w:pPr>
        <w:pStyle w:val="Podnadpis"/>
        <w:rPr>
          <w:color w:val="000000" w:themeColor="text1"/>
        </w:rPr>
      </w:pPr>
      <w:bookmarkStart w:id="669" w:name="_Toc11133266"/>
      <w:bookmarkStart w:id="670" w:name="_Toc43931245"/>
      <w:bookmarkStart w:id="671" w:name="_Toc75952378"/>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75</w:t>
      </w:r>
      <w:r w:rsidRPr="001C3EC8">
        <w:rPr>
          <w:noProof/>
          <w:color w:val="000000" w:themeColor="text1"/>
        </w:rPr>
        <w:fldChar w:fldCharType="end"/>
      </w:r>
      <w:r w:rsidRPr="001C3EC8">
        <w:rPr>
          <w:color w:val="000000" w:themeColor="text1"/>
        </w:rPr>
        <w:t xml:space="preserve">: KS – vyřizování insolvenčních věcí </w:t>
      </w:r>
      <w:r w:rsidR="00505E06" w:rsidRPr="001C3EC8">
        <w:rPr>
          <w:color w:val="000000" w:themeColor="text1"/>
        </w:rPr>
        <w:t xml:space="preserve">na skutečný úvazek </w:t>
      </w:r>
      <w:r w:rsidRPr="001C3EC8">
        <w:rPr>
          <w:color w:val="000000" w:themeColor="text1"/>
        </w:rPr>
        <w:t>dle soudů</w:t>
      </w:r>
      <w:bookmarkEnd w:id="669"/>
      <w:bookmarkEnd w:id="670"/>
      <w:bookmarkEnd w:id="671"/>
    </w:p>
    <w:tbl>
      <w:tblPr>
        <w:tblW w:w="9027" w:type="dxa"/>
        <w:tblCellMar>
          <w:left w:w="70" w:type="dxa"/>
          <w:right w:w="70" w:type="dxa"/>
        </w:tblCellMar>
        <w:tblLook w:val="04A0" w:firstRow="1" w:lastRow="0" w:firstColumn="1" w:lastColumn="0" w:noHBand="0" w:noVBand="1"/>
      </w:tblPr>
      <w:tblGrid>
        <w:gridCol w:w="2127"/>
        <w:gridCol w:w="1300"/>
        <w:gridCol w:w="1400"/>
        <w:gridCol w:w="1400"/>
        <w:gridCol w:w="1400"/>
        <w:gridCol w:w="1400"/>
      </w:tblGrid>
      <w:tr w:rsidR="00B72F3D" w:rsidRPr="001C3EC8" w14:paraId="0F7A2FA7" w14:textId="77777777" w:rsidTr="00B4248B">
        <w:trPr>
          <w:trHeight w:val="330"/>
        </w:trPr>
        <w:tc>
          <w:tcPr>
            <w:tcW w:w="2127" w:type="dxa"/>
            <w:vMerge w:val="restart"/>
            <w:tcBorders>
              <w:top w:val="double" w:sz="6" w:space="0" w:color="auto"/>
              <w:left w:val="nil"/>
              <w:bottom w:val="double" w:sz="6" w:space="0" w:color="000000"/>
              <w:right w:val="nil"/>
            </w:tcBorders>
            <w:shd w:val="clear" w:color="auto" w:fill="auto"/>
            <w:noWrap/>
            <w:vAlign w:val="center"/>
            <w:hideMark/>
          </w:tcPr>
          <w:p w14:paraId="0E7DAAC0"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1300" w:type="dxa"/>
            <w:vMerge w:val="restart"/>
            <w:tcBorders>
              <w:top w:val="double" w:sz="6" w:space="0" w:color="auto"/>
              <w:left w:val="nil"/>
              <w:bottom w:val="double" w:sz="6" w:space="0" w:color="000000"/>
              <w:right w:val="nil"/>
            </w:tcBorders>
            <w:shd w:val="clear" w:color="auto" w:fill="auto"/>
            <w:vAlign w:val="center"/>
            <w:hideMark/>
          </w:tcPr>
          <w:p w14:paraId="060C4C17"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1400" w:type="dxa"/>
            <w:tcBorders>
              <w:top w:val="double" w:sz="6" w:space="0" w:color="auto"/>
              <w:left w:val="nil"/>
              <w:bottom w:val="nil"/>
              <w:right w:val="nil"/>
            </w:tcBorders>
            <w:shd w:val="clear" w:color="auto" w:fill="auto"/>
            <w:vAlign w:val="center"/>
            <w:hideMark/>
          </w:tcPr>
          <w:p w14:paraId="20CFB4A5" w14:textId="77777777" w:rsidR="00B72F3D" w:rsidRPr="001C3EC8" w:rsidRDefault="00B72F3D" w:rsidP="00B72F3D">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 </w:t>
            </w:r>
          </w:p>
        </w:tc>
        <w:tc>
          <w:tcPr>
            <w:tcW w:w="1400" w:type="dxa"/>
            <w:tcBorders>
              <w:top w:val="double" w:sz="6" w:space="0" w:color="auto"/>
              <w:left w:val="nil"/>
              <w:bottom w:val="nil"/>
              <w:right w:val="nil"/>
            </w:tcBorders>
            <w:shd w:val="clear" w:color="auto" w:fill="auto"/>
            <w:vAlign w:val="center"/>
            <w:hideMark/>
          </w:tcPr>
          <w:p w14:paraId="5B51F0D0" w14:textId="77777777" w:rsidR="00B72F3D" w:rsidRPr="001C3EC8" w:rsidRDefault="00B72F3D" w:rsidP="00B72F3D">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 </w:t>
            </w:r>
          </w:p>
        </w:tc>
        <w:tc>
          <w:tcPr>
            <w:tcW w:w="1400" w:type="dxa"/>
            <w:tcBorders>
              <w:top w:val="double" w:sz="6" w:space="0" w:color="auto"/>
              <w:left w:val="nil"/>
              <w:bottom w:val="nil"/>
              <w:right w:val="nil"/>
            </w:tcBorders>
            <w:shd w:val="clear" w:color="auto" w:fill="auto"/>
            <w:vAlign w:val="center"/>
            <w:hideMark/>
          </w:tcPr>
          <w:p w14:paraId="7190315A" w14:textId="77777777" w:rsidR="00B72F3D" w:rsidRPr="001C3EC8" w:rsidRDefault="00B72F3D" w:rsidP="00B72F3D">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 </w:t>
            </w:r>
          </w:p>
        </w:tc>
        <w:tc>
          <w:tcPr>
            <w:tcW w:w="1400" w:type="dxa"/>
            <w:tcBorders>
              <w:top w:val="double" w:sz="6" w:space="0" w:color="auto"/>
              <w:left w:val="nil"/>
              <w:bottom w:val="nil"/>
              <w:right w:val="nil"/>
            </w:tcBorders>
            <w:shd w:val="clear" w:color="auto" w:fill="auto"/>
            <w:vAlign w:val="center"/>
            <w:hideMark/>
          </w:tcPr>
          <w:p w14:paraId="43C24913" w14:textId="77777777" w:rsidR="00B72F3D" w:rsidRPr="001C3EC8" w:rsidRDefault="00B72F3D" w:rsidP="00B72F3D">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 </w:t>
            </w:r>
          </w:p>
        </w:tc>
      </w:tr>
      <w:tr w:rsidR="00B72F3D" w:rsidRPr="001C3EC8" w14:paraId="788D6E4B" w14:textId="77777777" w:rsidTr="00B4248B">
        <w:trPr>
          <w:trHeight w:val="960"/>
        </w:trPr>
        <w:tc>
          <w:tcPr>
            <w:tcW w:w="2127" w:type="dxa"/>
            <w:vMerge/>
            <w:tcBorders>
              <w:top w:val="double" w:sz="6" w:space="0" w:color="auto"/>
              <w:left w:val="nil"/>
              <w:bottom w:val="double" w:sz="6" w:space="0" w:color="000000"/>
              <w:right w:val="nil"/>
            </w:tcBorders>
            <w:vAlign w:val="center"/>
            <w:hideMark/>
          </w:tcPr>
          <w:p w14:paraId="5D82D3A9" w14:textId="77777777" w:rsidR="00B72F3D" w:rsidRPr="001C3EC8" w:rsidRDefault="00B72F3D" w:rsidP="00B72F3D">
            <w:pPr>
              <w:spacing w:line="240" w:lineRule="auto"/>
              <w:jc w:val="left"/>
              <w:rPr>
                <w:rFonts w:eastAsia="Times New Roman"/>
                <w:b/>
                <w:bCs/>
                <w:color w:val="000000" w:themeColor="text1"/>
                <w:szCs w:val="24"/>
                <w:lang w:eastAsia="cs-CZ"/>
              </w:rPr>
            </w:pPr>
          </w:p>
        </w:tc>
        <w:tc>
          <w:tcPr>
            <w:tcW w:w="1300" w:type="dxa"/>
            <w:vMerge/>
            <w:tcBorders>
              <w:top w:val="double" w:sz="6" w:space="0" w:color="auto"/>
              <w:left w:val="nil"/>
              <w:bottom w:val="double" w:sz="6" w:space="0" w:color="000000"/>
              <w:right w:val="nil"/>
            </w:tcBorders>
            <w:vAlign w:val="center"/>
            <w:hideMark/>
          </w:tcPr>
          <w:p w14:paraId="7EFEEADC" w14:textId="77777777" w:rsidR="00B72F3D" w:rsidRPr="001C3EC8" w:rsidRDefault="00B72F3D" w:rsidP="00B72F3D">
            <w:pPr>
              <w:spacing w:line="240" w:lineRule="auto"/>
              <w:jc w:val="left"/>
              <w:rPr>
                <w:rFonts w:eastAsia="Times New Roman"/>
                <w:b/>
                <w:bCs/>
                <w:color w:val="000000" w:themeColor="text1"/>
                <w:szCs w:val="24"/>
                <w:lang w:eastAsia="cs-CZ"/>
              </w:rPr>
            </w:pPr>
          </w:p>
        </w:tc>
        <w:tc>
          <w:tcPr>
            <w:tcW w:w="1400" w:type="dxa"/>
            <w:tcBorders>
              <w:top w:val="nil"/>
              <w:left w:val="nil"/>
              <w:bottom w:val="double" w:sz="6" w:space="0" w:color="auto"/>
              <w:right w:val="nil"/>
            </w:tcBorders>
            <w:shd w:val="clear" w:color="auto" w:fill="auto"/>
            <w:vAlign w:val="center"/>
            <w:hideMark/>
          </w:tcPr>
          <w:p w14:paraId="1484EC6A"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400" w:type="dxa"/>
            <w:tcBorders>
              <w:top w:val="nil"/>
              <w:left w:val="nil"/>
              <w:bottom w:val="double" w:sz="6" w:space="0" w:color="auto"/>
              <w:right w:val="nil"/>
            </w:tcBorders>
            <w:shd w:val="clear" w:color="auto" w:fill="auto"/>
            <w:vAlign w:val="center"/>
            <w:hideMark/>
          </w:tcPr>
          <w:p w14:paraId="4A6E66F7"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400" w:type="dxa"/>
            <w:tcBorders>
              <w:top w:val="nil"/>
              <w:left w:val="nil"/>
              <w:bottom w:val="double" w:sz="6" w:space="0" w:color="auto"/>
              <w:right w:val="nil"/>
            </w:tcBorders>
            <w:shd w:val="clear" w:color="auto" w:fill="auto"/>
            <w:vAlign w:val="center"/>
            <w:hideMark/>
          </w:tcPr>
          <w:p w14:paraId="0870DE03" w14:textId="6F8A2F05"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Nevyřízeno před </w:t>
            </w:r>
            <w:proofErr w:type="spellStart"/>
            <w:r w:rsidRPr="001C3EC8">
              <w:rPr>
                <w:rFonts w:eastAsia="Times New Roman"/>
                <w:b/>
                <w:bCs/>
                <w:color w:val="000000" w:themeColor="text1"/>
                <w:szCs w:val="24"/>
                <w:lang w:eastAsia="cs-CZ"/>
              </w:rPr>
              <w:t>rozh</w:t>
            </w:r>
            <w:proofErr w:type="spellEnd"/>
            <w:r w:rsidRPr="001C3EC8">
              <w:rPr>
                <w:rFonts w:eastAsia="Times New Roman"/>
                <w:b/>
                <w:bCs/>
                <w:color w:val="000000" w:themeColor="text1"/>
                <w:szCs w:val="24"/>
                <w:lang w:eastAsia="cs-CZ"/>
              </w:rPr>
              <w:t xml:space="preserve">. </w:t>
            </w:r>
            <w:r w:rsidR="00532306" w:rsidRPr="001C3EC8">
              <w:rPr>
                <w:rFonts w:eastAsia="Times New Roman"/>
                <w:b/>
                <w:bCs/>
                <w:color w:val="000000" w:themeColor="text1"/>
                <w:szCs w:val="24"/>
                <w:lang w:eastAsia="cs-CZ"/>
              </w:rPr>
              <w:t>o</w:t>
            </w:r>
            <w:r w:rsidR="00532306">
              <w:rPr>
                <w:rFonts w:eastAsia="Times New Roman"/>
                <w:b/>
                <w:bCs/>
                <w:color w:val="000000" w:themeColor="text1"/>
                <w:szCs w:val="24"/>
                <w:lang w:eastAsia="cs-CZ"/>
              </w:rPr>
              <w:t> </w:t>
            </w:r>
            <w:r w:rsidRPr="001C3EC8">
              <w:rPr>
                <w:rFonts w:eastAsia="Times New Roman"/>
                <w:b/>
                <w:bCs/>
                <w:color w:val="000000" w:themeColor="text1"/>
                <w:szCs w:val="24"/>
                <w:lang w:eastAsia="cs-CZ"/>
              </w:rPr>
              <w:t>úpadku</w:t>
            </w:r>
          </w:p>
        </w:tc>
        <w:tc>
          <w:tcPr>
            <w:tcW w:w="1400" w:type="dxa"/>
            <w:tcBorders>
              <w:top w:val="nil"/>
              <w:left w:val="nil"/>
              <w:bottom w:val="double" w:sz="6" w:space="0" w:color="auto"/>
              <w:right w:val="nil"/>
            </w:tcBorders>
            <w:shd w:val="clear" w:color="auto" w:fill="auto"/>
            <w:vAlign w:val="center"/>
            <w:hideMark/>
          </w:tcPr>
          <w:p w14:paraId="6D01C91E"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Nevyřízeno po </w:t>
            </w:r>
            <w:proofErr w:type="spellStart"/>
            <w:r w:rsidRPr="001C3EC8">
              <w:rPr>
                <w:rFonts w:eastAsia="Times New Roman"/>
                <w:b/>
                <w:bCs/>
                <w:color w:val="000000" w:themeColor="text1"/>
                <w:szCs w:val="24"/>
                <w:lang w:eastAsia="cs-CZ"/>
              </w:rPr>
              <w:t>rozh</w:t>
            </w:r>
            <w:proofErr w:type="spellEnd"/>
            <w:r w:rsidRPr="001C3EC8">
              <w:rPr>
                <w:rFonts w:eastAsia="Times New Roman"/>
                <w:b/>
                <w:bCs/>
                <w:color w:val="000000" w:themeColor="text1"/>
                <w:szCs w:val="24"/>
                <w:lang w:eastAsia="cs-CZ"/>
              </w:rPr>
              <w:t>. o úpadku</w:t>
            </w:r>
          </w:p>
        </w:tc>
      </w:tr>
      <w:tr w:rsidR="00B72F3D" w:rsidRPr="001C3EC8" w14:paraId="15E4BBD4" w14:textId="77777777" w:rsidTr="00B4248B">
        <w:trPr>
          <w:trHeight w:val="330"/>
        </w:trPr>
        <w:tc>
          <w:tcPr>
            <w:tcW w:w="2127" w:type="dxa"/>
            <w:tcBorders>
              <w:top w:val="single" w:sz="4" w:space="0" w:color="auto"/>
              <w:left w:val="nil"/>
              <w:bottom w:val="single" w:sz="4" w:space="0" w:color="auto"/>
              <w:right w:val="nil"/>
            </w:tcBorders>
            <w:shd w:val="clear" w:color="auto" w:fill="auto"/>
            <w:noWrap/>
            <w:vAlign w:val="bottom"/>
            <w:hideMark/>
          </w:tcPr>
          <w:p w14:paraId="64CD30C0"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300" w:type="dxa"/>
            <w:tcBorders>
              <w:top w:val="single" w:sz="4" w:space="0" w:color="auto"/>
              <w:left w:val="nil"/>
              <w:bottom w:val="single" w:sz="4" w:space="0" w:color="auto"/>
              <w:right w:val="nil"/>
            </w:tcBorders>
            <w:shd w:val="clear" w:color="auto" w:fill="auto"/>
            <w:vAlign w:val="bottom"/>
            <w:hideMark/>
          </w:tcPr>
          <w:p w14:paraId="2ED4192E" w14:textId="524A0F4C"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14,85</w:t>
            </w:r>
          </w:p>
        </w:tc>
        <w:tc>
          <w:tcPr>
            <w:tcW w:w="1400" w:type="dxa"/>
            <w:tcBorders>
              <w:top w:val="single" w:sz="4" w:space="0" w:color="auto"/>
              <w:left w:val="nil"/>
              <w:bottom w:val="single" w:sz="4" w:space="0" w:color="auto"/>
              <w:right w:val="nil"/>
            </w:tcBorders>
            <w:shd w:val="clear" w:color="auto" w:fill="auto"/>
            <w:vAlign w:val="bottom"/>
            <w:hideMark/>
          </w:tcPr>
          <w:p w14:paraId="19D6D4FA" w14:textId="068C1972"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190,30</w:t>
            </w:r>
          </w:p>
        </w:tc>
        <w:tc>
          <w:tcPr>
            <w:tcW w:w="1400" w:type="dxa"/>
            <w:tcBorders>
              <w:top w:val="single" w:sz="4" w:space="0" w:color="auto"/>
              <w:left w:val="nil"/>
              <w:bottom w:val="single" w:sz="4" w:space="0" w:color="auto"/>
              <w:right w:val="nil"/>
            </w:tcBorders>
            <w:shd w:val="clear" w:color="auto" w:fill="auto"/>
            <w:vAlign w:val="bottom"/>
            <w:hideMark/>
          </w:tcPr>
          <w:p w14:paraId="61B53770" w14:textId="18311C0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152,26</w:t>
            </w:r>
          </w:p>
        </w:tc>
        <w:tc>
          <w:tcPr>
            <w:tcW w:w="1400" w:type="dxa"/>
            <w:tcBorders>
              <w:top w:val="single" w:sz="4" w:space="0" w:color="auto"/>
              <w:left w:val="nil"/>
              <w:bottom w:val="single" w:sz="4" w:space="0" w:color="auto"/>
              <w:right w:val="nil"/>
            </w:tcBorders>
            <w:shd w:val="clear" w:color="auto" w:fill="auto"/>
            <w:vAlign w:val="bottom"/>
            <w:hideMark/>
          </w:tcPr>
          <w:p w14:paraId="001C9B82" w14:textId="7F312DC5"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31,45</w:t>
            </w:r>
          </w:p>
        </w:tc>
        <w:tc>
          <w:tcPr>
            <w:tcW w:w="1400" w:type="dxa"/>
            <w:tcBorders>
              <w:top w:val="single" w:sz="4" w:space="0" w:color="auto"/>
              <w:left w:val="nil"/>
              <w:bottom w:val="single" w:sz="4" w:space="0" w:color="auto"/>
              <w:right w:val="nil"/>
            </w:tcBorders>
            <w:shd w:val="clear" w:color="auto" w:fill="auto"/>
            <w:vAlign w:val="bottom"/>
            <w:hideMark/>
          </w:tcPr>
          <w:p w14:paraId="64867934" w14:textId="05EB577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585,66</w:t>
            </w:r>
          </w:p>
        </w:tc>
      </w:tr>
      <w:tr w:rsidR="00B72F3D" w:rsidRPr="001C3EC8" w14:paraId="2E9222AA" w14:textId="77777777" w:rsidTr="00B4248B">
        <w:trPr>
          <w:trHeight w:val="315"/>
        </w:trPr>
        <w:tc>
          <w:tcPr>
            <w:tcW w:w="2127" w:type="dxa"/>
            <w:tcBorders>
              <w:top w:val="nil"/>
              <w:left w:val="nil"/>
              <w:bottom w:val="single" w:sz="4" w:space="0" w:color="auto"/>
              <w:right w:val="nil"/>
            </w:tcBorders>
            <w:shd w:val="clear" w:color="auto" w:fill="auto"/>
            <w:noWrap/>
            <w:vAlign w:val="bottom"/>
            <w:hideMark/>
          </w:tcPr>
          <w:p w14:paraId="03066027"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300" w:type="dxa"/>
            <w:tcBorders>
              <w:top w:val="nil"/>
              <w:left w:val="nil"/>
              <w:bottom w:val="single" w:sz="4" w:space="0" w:color="auto"/>
              <w:right w:val="nil"/>
            </w:tcBorders>
            <w:shd w:val="clear" w:color="auto" w:fill="auto"/>
            <w:vAlign w:val="bottom"/>
            <w:hideMark/>
          </w:tcPr>
          <w:p w14:paraId="26A36B1F" w14:textId="28329E62"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12,3</w:t>
            </w:r>
          </w:p>
        </w:tc>
        <w:tc>
          <w:tcPr>
            <w:tcW w:w="1400" w:type="dxa"/>
            <w:tcBorders>
              <w:top w:val="nil"/>
              <w:left w:val="nil"/>
              <w:bottom w:val="single" w:sz="4" w:space="0" w:color="auto"/>
              <w:right w:val="nil"/>
            </w:tcBorders>
            <w:shd w:val="clear" w:color="auto" w:fill="auto"/>
            <w:vAlign w:val="bottom"/>
            <w:hideMark/>
          </w:tcPr>
          <w:p w14:paraId="66514B85" w14:textId="5629E9A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263,90</w:t>
            </w:r>
          </w:p>
        </w:tc>
        <w:tc>
          <w:tcPr>
            <w:tcW w:w="1400" w:type="dxa"/>
            <w:tcBorders>
              <w:top w:val="nil"/>
              <w:left w:val="nil"/>
              <w:bottom w:val="single" w:sz="4" w:space="0" w:color="auto"/>
              <w:right w:val="nil"/>
            </w:tcBorders>
            <w:shd w:val="clear" w:color="auto" w:fill="auto"/>
            <w:vAlign w:val="bottom"/>
            <w:hideMark/>
          </w:tcPr>
          <w:p w14:paraId="57CB1431" w14:textId="04D08C42"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279,84</w:t>
            </w:r>
          </w:p>
        </w:tc>
        <w:tc>
          <w:tcPr>
            <w:tcW w:w="1400" w:type="dxa"/>
            <w:tcBorders>
              <w:top w:val="nil"/>
              <w:left w:val="nil"/>
              <w:bottom w:val="single" w:sz="4" w:space="0" w:color="auto"/>
              <w:right w:val="nil"/>
            </w:tcBorders>
            <w:shd w:val="clear" w:color="auto" w:fill="auto"/>
            <w:vAlign w:val="bottom"/>
            <w:hideMark/>
          </w:tcPr>
          <w:p w14:paraId="24D284B4" w14:textId="7F55A0A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21,46</w:t>
            </w:r>
          </w:p>
        </w:tc>
        <w:tc>
          <w:tcPr>
            <w:tcW w:w="1400" w:type="dxa"/>
            <w:tcBorders>
              <w:top w:val="nil"/>
              <w:left w:val="nil"/>
              <w:bottom w:val="single" w:sz="4" w:space="0" w:color="auto"/>
              <w:right w:val="nil"/>
            </w:tcBorders>
            <w:shd w:val="clear" w:color="auto" w:fill="auto"/>
            <w:vAlign w:val="bottom"/>
            <w:hideMark/>
          </w:tcPr>
          <w:p w14:paraId="3B39AC42" w14:textId="0AB903B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976,67</w:t>
            </w:r>
          </w:p>
        </w:tc>
      </w:tr>
      <w:tr w:rsidR="00B72F3D" w:rsidRPr="001C3EC8" w14:paraId="04ED6B69" w14:textId="77777777" w:rsidTr="00B4248B">
        <w:trPr>
          <w:trHeight w:val="315"/>
        </w:trPr>
        <w:tc>
          <w:tcPr>
            <w:tcW w:w="2127" w:type="dxa"/>
            <w:tcBorders>
              <w:top w:val="nil"/>
              <w:left w:val="nil"/>
              <w:bottom w:val="single" w:sz="4" w:space="0" w:color="auto"/>
              <w:right w:val="nil"/>
            </w:tcBorders>
            <w:shd w:val="clear" w:color="auto" w:fill="auto"/>
            <w:noWrap/>
            <w:vAlign w:val="bottom"/>
            <w:hideMark/>
          </w:tcPr>
          <w:p w14:paraId="3748A08F" w14:textId="597B449B"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300" w:type="dxa"/>
            <w:tcBorders>
              <w:top w:val="nil"/>
              <w:left w:val="nil"/>
              <w:bottom w:val="single" w:sz="4" w:space="0" w:color="auto"/>
              <w:right w:val="nil"/>
            </w:tcBorders>
            <w:shd w:val="clear" w:color="auto" w:fill="auto"/>
            <w:vAlign w:val="bottom"/>
            <w:hideMark/>
          </w:tcPr>
          <w:p w14:paraId="78446EC1" w14:textId="7777777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1400" w:type="dxa"/>
            <w:tcBorders>
              <w:top w:val="nil"/>
              <w:left w:val="nil"/>
              <w:bottom w:val="single" w:sz="4" w:space="0" w:color="auto"/>
              <w:right w:val="nil"/>
            </w:tcBorders>
            <w:shd w:val="clear" w:color="auto" w:fill="auto"/>
            <w:vAlign w:val="bottom"/>
            <w:hideMark/>
          </w:tcPr>
          <w:p w14:paraId="7459D606" w14:textId="5110EC4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278,33</w:t>
            </w:r>
          </w:p>
        </w:tc>
        <w:tc>
          <w:tcPr>
            <w:tcW w:w="1400" w:type="dxa"/>
            <w:tcBorders>
              <w:top w:val="nil"/>
              <w:left w:val="nil"/>
              <w:bottom w:val="single" w:sz="4" w:space="0" w:color="auto"/>
              <w:right w:val="nil"/>
            </w:tcBorders>
            <w:shd w:val="clear" w:color="auto" w:fill="auto"/>
            <w:vAlign w:val="bottom"/>
            <w:hideMark/>
          </w:tcPr>
          <w:p w14:paraId="3574A462" w14:textId="0325F32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321,17</w:t>
            </w:r>
          </w:p>
        </w:tc>
        <w:tc>
          <w:tcPr>
            <w:tcW w:w="1400" w:type="dxa"/>
            <w:tcBorders>
              <w:top w:val="nil"/>
              <w:left w:val="nil"/>
              <w:bottom w:val="single" w:sz="4" w:space="0" w:color="auto"/>
              <w:right w:val="nil"/>
            </w:tcBorders>
            <w:shd w:val="clear" w:color="auto" w:fill="auto"/>
            <w:vAlign w:val="bottom"/>
            <w:hideMark/>
          </w:tcPr>
          <w:p w14:paraId="56D31559" w14:textId="5A4696B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4,67</w:t>
            </w:r>
          </w:p>
        </w:tc>
        <w:tc>
          <w:tcPr>
            <w:tcW w:w="1400" w:type="dxa"/>
            <w:tcBorders>
              <w:top w:val="nil"/>
              <w:left w:val="nil"/>
              <w:bottom w:val="single" w:sz="4" w:space="0" w:color="auto"/>
              <w:right w:val="nil"/>
            </w:tcBorders>
            <w:shd w:val="clear" w:color="auto" w:fill="auto"/>
            <w:vAlign w:val="bottom"/>
            <w:hideMark/>
          </w:tcPr>
          <w:p w14:paraId="7AE6D7B0" w14:textId="7ADAADA6"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209,67</w:t>
            </w:r>
          </w:p>
        </w:tc>
      </w:tr>
      <w:tr w:rsidR="00B72F3D" w:rsidRPr="001C3EC8" w14:paraId="48A449A9" w14:textId="77777777" w:rsidTr="00B4248B">
        <w:trPr>
          <w:trHeight w:val="315"/>
        </w:trPr>
        <w:tc>
          <w:tcPr>
            <w:tcW w:w="2127" w:type="dxa"/>
            <w:tcBorders>
              <w:top w:val="nil"/>
              <w:left w:val="nil"/>
              <w:bottom w:val="single" w:sz="4" w:space="0" w:color="auto"/>
              <w:right w:val="nil"/>
            </w:tcBorders>
            <w:shd w:val="clear" w:color="auto" w:fill="auto"/>
            <w:noWrap/>
            <w:vAlign w:val="bottom"/>
            <w:hideMark/>
          </w:tcPr>
          <w:p w14:paraId="233E40FC"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300" w:type="dxa"/>
            <w:tcBorders>
              <w:top w:val="nil"/>
              <w:left w:val="nil"/>
              <w:bottom w:val="single" w:sz="4" w:space="0" w:color="auto"/>
              <w:right w:val="nil"/>
            </w:tcBorders>
            <w:shd w:val="clear" w:color="auto" w:fill="auto"/>
            <w:vAlign w:val="bottom"/>
            <w:hideMark/>
          </w:tcPr>
          <w:p w14:paraId="264FD2F9" w14:textId="7D4D02A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4,65</w:t>
            </w:r>
          </w:p>
        </w:tc>
        <w:tc>
          <w:tcPr>
            <w:tcW w:w="1400" w:type="dxa"/>
            <w:tcBorders>
              <w:top w:val="nil"/>
              <w:left w:val="nil"/>
              <w:bottom w:val="single" w:sz="4" w:space="0" w:color="auto"/>
              <w:right w:val="nil"/>
            </w:tcBorders>
            <w:shd w:val="clear" w:color="auto" w:fill="auto"/>
            <w:vAlign w:val="bottom"/>
            <w:hideMark/>
          </w:tcPr>
          <w:p w14:paraId="5F5D629D" w14:textId="2C3C075E"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504,52</w:t>
            </w:r>
          </w:p>
        </w:tc>
        <w:tc>
          <w:tcPr>
            <w:tcW w:w="1400" w:type="dxa"/>
            <w:tcBorders>
              <w:top w:val="nil"/>
              <w:left w:val="nil"/>
              <w:bottom w:val="single" w:sz="4" w:space="0" w:color="auto"/>
              <w:right w:val="nil"/>
            </w:tcBorders>
            <w:shd w:val="clear" w:color="auto" w:fill="auto"/>
            <w:vAlign w:val="bottom"/>
            <w:hideMark/>
          </w:tcPr>
          <w:p w14:paraId="1C9CF7CE" w14:textId="379FBAA5"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571,40</w:t>
            </w:r>
          </w:p>
        </w:tc>
        <w:tc>
          <w:tcPr>
            <w:tcW w:w="1400" w:type="dxa"/>
            <w:tcBorders>
              <w:top w:val="nil"/>
              <w:left w:val="nil"/>
              <w:bottom w:val="single" w:sz="4" w:space="0" w:color="auto"/>
              <w:right w:val="nil"/>
            </w:tcBorders>
            <w:shd w:val="clear" w:color="auto" w:fill="auto"/>
            <w:vAlign w:val="bottom"/>
            <w:hideMark/>
          </w:tcPr>
          <w:p w14:paraId="4CDB5A59" w14:textId="696FA60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64,95</w:t>
            </w:r>
          </w:p>
        </w:tc>
        <w:tc>
          <w:tcPr>
            <w:tcW w:w="1400" w:type="dxa"/>
            <w:tcBorders>
              <w:top w:val="nil"/>
              <w:left w:val="nil"/>
              <w:bottom w:val="single" w:sz="4" w:space="0" w:color="auto"/>
              <w:right w:val="nil"/>
            </w:tcBorders>
            <w:shd w:val="clear" w:color="auto" w:fill="auto"/>
            <w:vAlign w:val="bottom"/>
            <w:hideMark/>
          </w:tcPr>
          <w:p w14:paraId="1625F13C" w14:textId="3244C306"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210,97</w:t>
            </w:r>
          </w:p>
        </w:tc>
      </w:tr>
      <w:tr w:rsidR="00B72F3D" w:rsidRPr="001C3EC8" w14:paraId="68F54F33" w14:textId="77777777" w:rsidTr="00B4248B">
        <w:trPr>
          <w:trHeight w:val="315"/>
        </w:trPr>
        <w:tc>
          <w:tcPr>
            <w:tcW w:w="2127" w:type="dxa"/>
            <w:tcBorders>
              <w:top w:val="nil"/>
              <w:left w:val="nil"/>
              <w:bottom w:val="single" w:sz="4" w:space="0" w:color="auto"/>
              <w:right w:val="nil"/>
            </w:tcBorders>
            <w:shd w:val="clear" w:color="auto" w:fill="auto"/>
            <w:noWrap/>
            <w:vAlign w:val="bottom"/>
            <w:hideMark/>
          </w:tcPr>
          <w:p w14:paraId="61AAC171" w14:textId="3030FDCC"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300" w:type="dxa"/>
            <w:tcBorders>
              <w:top w:val="nil"/>
              <w:left w:val="nil"/>
              <w:bottom w:val="single" w:sz="4" w:space="0" w:color="auto"/>
              <w:right w:val="nil"/>
            </w:tcBorders>
            <w:shd w:val="clear" w:color="auto" w:fill="auto"/>
            <w:vAlign w:val="bottom"/>
            <w:hideMark/>
          </w:tcPr>
          <w:p w14:paraId="6ECBFF37" w14:textId="303B3E66"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16,5</w:t>
            </w:r>
          </w:p>
        </w:tc>
        <w:tc>
          <w:tcPr>
            <w:tcW w:w="1400" w:type="dxa"/>
            <w:tcBorders>
              <w:top w:val="nil"/>
              <w:left w:val="nil"/>
              <w:bottom w:val="single" w:sz="4" w:space="0" w:color="auto"/>
              <w:right w:val="nil"/>
            </w:tcBorders>
            <w:shd w:val="clear" w:color="auto" w:fill="auto"/>
            <w:vAlign w:val="bottom"/>
            <w:hideMark/>
          </w:tcPr>
          <w:p w14:paraId="230AC1CA" w14:textId="7D027EC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258,61</w:t>
            </w:r>
          </w:p>
        </w:tc>
        <w:tc>
          <w:tcPr>
            <w:tcW w:w="1400" w:type="dxa"/>
            <w:tcBorders>
              <w:top w:val="nil"/>
              <w:left w:val="nil"/>
              <w:bottom w:val="single" w:sz="4" w:space="0" w:color="auto"/>
              <w:right w:val="nil"/>
            </w:tcBorders>
            <w:shd w:val="clear" w:color="auto" w:fill="auto"/>
            <w:vAlign w:val="bottom"/>
            <w:hideMark/>
          </w:tcPr>
          <w:p w14:paraId="6EB92FEE" w14:textId="522330EC"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271,94</w:t>
            </w:r>
          </w:p>
        </w:tc>
        <w:tc>
          <w:tcPr>
            <w:tcW w:w="1400" w:type="dxa"/>
            <w:tcBorders>
              <w:top w:val="nil"/>
              <w:left w:val="nil"/>
              <w:bottom w:val="single" w:sz="4" w:space="0" w:color="auto"/>
              <w:right w:val="nil"/>
            </w:tcBorders>
            <w:shd w:val="clear" w:color="auto" w:fill="auto"/>
            <w:vAlign w:val="bottom"/>
            <w:hideMark/>
          </w:tcPr>
          <w:p w14:paraId="5170BD96" w14:textId="6B99A74E"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18,06</w:t>
            </w:r>
          </w:p>
        </w:tc>
        <w:tc>
          <w:tcPr>
            <w:tcW w:w="1400" w:type="dxa"/>
            <w:tcBorders>
              <w:top w:val="nil"/>
              <w:left w:val="nil"/>
              <w:bottom w:val="single" w:sz="4" w:space="0" w:color="auto"/>
              <w:right w:val="nil"/>
            </w:tcBorders>
            <w:shd w:val="clear" w:color="auto" w:fill="auto"/>
            <w:vAlign w:val="bottom"/>
            <w:hideMark/>
          </w:tcPr>
          <w:p w14:paraId="6D2614B5" w14:textId="12FA91A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123,52</w:t>
            </w:r>
          </w:p>
        </w:tc>
      </w:tr>
      <w:tr w:rsidR="00B72F3D" w:rsidRPr="001C3EC8" w14:paraId="28E9B051" w14:textId="77777777" w:rsidTr="00B4248B">
        <w:trPr>
          <w:trHeight w:val="315"/>
        </w:trPr>
        <w:tc>
          <w:tcPr>
            <w:tcW w:w="2127" w:type="dxa"/>
            <w:tcBorders>
              <w:top w:val="nil"/>
              <w:left w:val="nil"/>
              <w:bottom w:val="single" w:sz="4" w:space="0" w:color="auto"/>
              <w:right w:val="nil"/>
            </w:tcBorders>
            <w:shd w:val="clear" w:color="auto" w:fill="auto"/>
            <w:noWrap/>
            <w:vAlign w:val="bottom"/>
            <w:hideMark/>
          </w:tcPr>
          <w:p w14:paraId="25EC43A7" w14:textId="052C8EF0"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300" w:type="dxa"/>
            <w:tcBorders>
              <w:top w:val="nil"/>
              <w:left w:val="nil"/>
              <w:bottom w:val="single" w:sz="4" w:space="0" w:color="auto"/>
              <w:right w:val="nil"/>
            </w:tcBorders>
            <w:shd w:val="clear" w:color="auto" w:fill="auto"/>
            <w:vAlign w:val="bottom"/>
            <w:hideMark/>
          </w:tcPr>
          <w:p w14:paraId="73EC1543" w14:textId="1DDCE49B"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8,4</w:t>
            </w:r>
          </w:p>
        </w:tc>
        <w:tc>
          <w:tcPr>
            <w:tcW w:w="1400" w:type="dxa"/>
            <w:tcBorders>
              <w:top w:val="nil"/>
              <w:left w:val="nil"/>
              <w:bottom w:val="single" w:sz="4" w:space="0" w:color="auto"/>
              <w:right w:val="nil"/>
            </w:tcBorders>
            <w:shd w:val="clear" w:color="auto" w:fill="auto"/>
            <w:vAlign w:val="bottom"/>
            <w:hideMark/>
          </w:tcPr>
          <w:p w14:paraId="42F8A300" w14:textId="72329AB5"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321,19</w:t>
            </w:r>
          </w:p>
        </w:tc>
        <w:tc>
          <w:tcPr>
            <w:tcW w:w="1400" w:type="dxa"/>
            <w:tcBorders>
              <w:top w:val="nil"/>
              <w:left w:val="nil"/>
              <w:bottom w:val="single" w:sz="4" w:space="0" w:color="auto"/>
              <w:right w:val="nil"/>
            </w:tcBorders>
            <w:shd w:val="clear" w:color="auto" w:fill="auto"/>
            <w:vAlign w:val="bottom"/>
            <w:hideMark/>
          </w:tcPr>
          <w:p w14:paraId="579213FC" w14:textId="55873B4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411,79</w:t>
            </w:r>
          </w:p>
        </w:tc>
        <w:tc>
          <w:tcPr>
            <w:tcW w:w="1400" w:type="dxa"/>
            <w:tcBorders>
              <w:top w:val="nil"/>
              <w:left w:val="nil"/>
              <w:bottom w:val="single" w:sz="4" w:space="0" w:color="auto"/>
              <w:right w:val="nil"/>
            </w:tcBorders>
            <w:shd w:val="clear" w:color="auto" w:fill="auto"/>
            <w:vAlign w:val="bottom"/>
            <w:hideMark/>
          </w:tcPr>
          <w:p w14:paraId="1A159459" w14:textId="2162D262"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7,02</w:t>
            </w:r>
          </w:p>
        </w:tc>
        <w:tc>
          <w:tcPr>
            <w:tcW w:w="1400" w:type="dxa"/>
            <w:tcBorders>
              <w:top w:val="nil"/>
              <w:left w:val="nil"/>
              <w:bottom w:val="single" w:sz="4" w:space="0" w:color="auto"/>
              <w:right w:val="nil"/>
            </w:tcBorders>
            <w:shd w:val="clear" w:color="auto" w:fill="auto"/>
            <w:vAlign w:val="bottom"/>
            <w:hideMark/>
          </w:tcPr>
          <w:p w14:paraId="48E8E017" w14:textId="31B175CD"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525,83</w:t>
            </w:r>
          </w:p>
        </w:tc>
      </w:tr>
      <w:tr w:rsidR="00B72F3D" w:rsidRPr="001C3EC8" w14:paraId="0C9CE248" w14:textId="77777777" w:rsidTr="00B4248B">
        <w:trPr>
          <w:trHeight w:val="315"/>
        </w:trPr>
        <w:tc>
          <w:tcPr>
            <w:tcW w:w="2127" w:type="dxa"/>
            <w:tcBorders>
              <w:top w:val="nil"/>
              <w:left w:val="nil"/>
              <w:bottom w:val="single" w:sz="4" w:space="0" w:color="auto"/>
              <w:right w:val="nil"/>
            </w:tcBorders>
            <w:shd w:val="clear" w:color="auto" w:fill="auto"/>
            <w:noWrap/>
            <w:vAlign w:val="bottom"/>
            <w:hideMark/>
          </w:tcPr>
          <w:p w14:paraId="281DE4BA"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300" w:type="dxa"/>
            <w:tcBorders>
              <w:top w:val="nil"/>
              <w:left w:val="nil"/>
              <w:bottom w:val="single" w:sz="4" w:space="0" w:color="auto"/>
              <w:right w:val="nil"/>
            </w:tcBorders>
            <w:shd w:val="clear" w:color="auto" w:fill="auto"/>
            <w:vAlign w:val="bottom"/>
            <w:hideMark/>
          </w:tcPr>
          <w:p w14:paraId="1DDC6A1F" w14:textId="6888B0E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18,5</w:t>
            </w:r>
          </w:p>
        </w:tc>
        <w:tc>
          <w:tcPr>
            <w:tcW w:w="1400" w:type="dxa"/>
            <w:tcBorders>
              <w:top w:val="nil"/>
              <w:left w:val="nil"/>
              <w:bottom w:val="single" w:sz="4" w:space="0" w:color="auto"/>
              <w:right w:val="nil"/>
            </w:tcBorders>
            <w:shd w:val="clear" w:color="auto" w:fill="auto"/>
            <w:vAlign w:val="bottom"/>
            <w:hideMark/>
          </w:tcPr>
          <w:p w14:paraId="2BDFE3BB" w14:textId="340C22F6"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246,22</w:t>
            </w:r>
          </w:p>
        </w:tc>
        <w:tc>
          <w:tcPr>
            <w:tcW w:w="1400" w:type="dxa"/>
            <w:tcBorders>
              <w:top w:val="nil"/>
              <w:left w:val="nil"/>
              <w:bottom w:val="single" w:sz="4" w:space="0" w:color="auto"/>
              <w:right w:val="nil"/>
            </w:tcBorders>
            <w:shd w:val="clear" w:color="auto" w:fill="auto"/>
            <w:vAlign w:val="bottom"/>
            <w:hideMark/>
          </w:tcPr>
          <w:p w14:paraId="473046D0" w14:textId="0CEF1B7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226,32</w:t>
            </w:r>
          </w:p>
        </w:tc>
        <w:tc>
          <w:tcPr>
            <w:tcW w:w="1400" w:type="dxa"/>
            <w:tcBorders>
              <w:top w:val="nil"/>
              <w:left w:val="nil"/>
              <w:bottom w:val="single" w:sz="4" w:space="0" w:color="auto"/>
              <w:right w:val="nil"/>
            </w:tcBorders>
            <w:shd w:val="clear" w:color="auto" w:fill="auto"/>
            <w:vAlign w:val="bottom"/>
            <w:hideMark/>
          </w:tcPr>
          <w:p w14:paraId="22197726" w14:textId="2C04179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25,24</w:t>
            </w:r>
          </w:p>
        </w:tc>
        <w:tc>
          <w:tcPr>
            <w:tcW w:w="1400" w:type="dxa"/>
            <w:tcBorders>
              <w:top w:val="nil"/>
              <w:left w:val="nil"/>
              <w:bottom w:val="single" w:sz="4" w:space="0" w:color="auto"/>
              <w:right w:val="nil"/>
            </w:tcBorders>
            <w:shd w:val="clear" w:color="auto" w:fill="auto"/>
            <w:vAlign w:val="bottom"/>
            <w:hideMark/>
          </w:tcPr>
          <w:p w14:paraId="45FCC1A0" w14:textId="77358C65"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901,03</w:t>
            </w:r>
          </w:p>
        </w:tc>
      </w:tr>
      <w:tr w:rsidR="00B72F3D" w:rsidRPr="001C3EC8" w14:paraId="6A4C9D1B" w14:textId="77777777" w:rsidTr="00B4248B">
        <w:trPr>
          <w:trHeight w:val="330"/>
        </w:trPr>
        <w:tc>
          <w:tcPr>
            <w:tcW w:w="2127" w:type="dxa"/>
            <w:tcBorders>
              <w:top w:val="nil"/>
              <w:left w:val="nil"/>
              <w:bottom w:val="double" w:sz="6" w:space="0" w:color="auto"/>
              <w:right w:val="nil"/>
            </w:tcBorders>
            <w:shd w:val="clear" w:color="auto" w:fill="auto"/>
            <w:noWrap/>
            <w:vAlign w:val="bottom"/>
            <w:hideMark/>
          </w:tcPr>
          <w:p w14:paraId="79A19EBF"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300" w:type="dxa"/>
            <w:tcBorders>
              <w:top w:val="nil"/>
              <w:left w:val="nil"/>
              <w:bottom w:val="double" w:sz="6" w:space="0" w:color="auto"/>
              <w:right w:val="nil"/>
            </w:tcBorders>
            <w:shd w:val="clear" w:color="auto" w:fill="auto"/>
            <w:vAlign w:val="bottom"/>
            <w:hideMark/>
          </w:tcPr>
          <w:p w14:paraId="4854073D" w14:textId="7777777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w:t>
            </w:r>
          </w:p>
        </w:tc>
        <w:tc>
          <w:tcPr>
            <w:tcW w:w="1400" w:type="dxa"/>
            <w:tcBorders>
              <w:top w:val="nil"/>
              <w:left w:val="nil"/>
              <w:bottom w:val="nil"/>
              <w:right w:val="nil"/>
            </w:tcBorders>
            <w:shd w:val="clear" w:color="auto" w:fill="auto"/>
            <w:vAlign w:val="bottom"/>
            <w:hideMark/>
          </w:tcPr>
          <w:p w14:paraId="5AA680C1" w14:textId="35EBD399"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366,00</w:t>
            </w:r>
          </w:p>
        </w:tc>
        <w:tc>
          <w:tcPr>
            <w:tcW w:w="1400" w:type="dxa"/>
            <w:tcBorders>
              <w:top w:val="nil"/>
              <w:left w:val="nil"/>
              <w:bottom w:val="nil"/>
              <w:right w:val="nil"/>
            </w:tcBorders>
            <w:shd w:val="clear" w:color="auto" w:fill="auto"/>
            <w:vAlign w:val="bottom"/>
            <w:hideMark/>
          </w:tcPr>
          <w:p w14:paraId="40A664E6" w14:textId="24091D3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367,64</w:t>
            </w:r>
          </w:p>
        </w:tc>
        <w:tc>
          <w:tcPr>
            <w:tcW w:w="1400" w:type="dxa"/>
            <w:tcBorders>
              <w:top w:val="nil"/>
              <w:left w:val="nil"/>
              <w:bottom w:val="nil"/>
              <w:right w:val="nil"/>
            </w:tcBorders>
            <w:shd w:val="clear" w:color="auto" w:fill="auto"/>
            <w:vAlign w:val="bottom"/>
            <w:hideMark/>
          </w:tcPr>
          <w:p w14:paraId="4A799DE7" w14:textId="658169C6"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41,64</w:t>
            </w:r>
          </w:p>
        </w:tc>
        <w:tc>
          <w:tcPr>
            <w:tcW w:w="1400" w:type="dxa"/>
            <w:tcBorders>
              <w:top w:val="nil"/>
              <w:left w:val="nil"/>
              <w:bottom w:val="nil"/>
              <w:right w:val="nil"/>
            </w:tcBorders>
            <w:shd w:val="clear" w:color="auto" w:fill="auto"/>
            <w:vAlign w:val="bottom"/>
            <w:hideMark/>
          </w:tcPr>
          <w:p w14:paraId="36AB724C" w14:textId="000108AD"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536,29</w:t>
            </w:r>
          </w:p>
        </w:tc>
      </w:tr>
      <w:tr w:rsidR="00B72F3D" w:rsidRPr="001C3EC8" w14:paraId="56399957" w14:textId="77777777" w:rsidTr="00B4248B">
        <w:trPr>
          <w:trHeight w:val="345"/>
        </w:trPr>
        <w:tc>
          <w:tcPr>
            <w:tcW w:w="2127" w:type="dxa"/>
            <w:tcBorders>
              <w:top w:val="nil"/>
              <w:left w:val="nil"/>
              <w:bottom w:val="double" w:sz="6" w:space="0" w:color="auto"/>
              <w:right w:val="nil"/>
            </w:tcBorders>
            <w:shd w:val="clear" w:color="auto" w:fill="auto"/>
            <w:noWrap/>
            <w:vAlign w:val="bottom"/>
            <w:hideMark/>
          </w:tcPr>
          <w:p w14:paraId="18340A4D" w14:textId="77777777" w:rsidR="00B72F3D" w:rsidRPr="001C3EC8" w:rsidRDefault="00B72F3D" w:rsidP="00B72F3D">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300" w:type="dxa"/>
            <w:tcBorders>
              <w:top w:val="nil"/>
              <w:left w:val="nil"/>
              <w:bottom w:val="double" w:sz="6" w:space="0" w:color="auto"/>
              <w:right w:val="nil"/>
            </w:tcBorders>
            <w:shd w:val="clear" w:color="auto" w:fill="auto"/>
            <w:vAlign w:val="bottom"/>
            <w:hideMark/>
          </w:tcPr>
          <w:p w14:paraId="1F7BD842" w14:textId="00C1770A"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95,2</w:t>
            </w:r>
          </w:p>
        </w:tc>
        <w:tc>
          <w:tcPr>
            <w:tcW w:w="1400" w:type="dxa"/>
            <w:tcBorders>
              <w:top w:val="double" w:sz="6" w:space="0" w:color="auto"/>
              <w:left w:val="nil"/>
              <w:bottom w:val="double" w:sz="6" w:space="0" w:color="auto"/>
              <w:right w:val="nil"/>
            </w:tcBorders>
            <w:shd w:val="clear" w:color="auto" w:fill="auto"/>
            <w:vAlign w:val="bottom"/>
            <w:hideMark/>
          </w:tcPr>
          <w:p w14:paraId="6D241CDD" w14:textId="3D933C1E"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280,80</w:t>
            </w:r>
          </w:p>
        </w:tc>
        <w:tc>
          <w:tcPr>
            <w:tcW w:w="1400" w:type="dxa"/>
            <w:tcBorders>
              <w:top w:val="double" w:sz="6" w:space="0" w:color="auto"/>
              <w:left w:val="nil"/>
              <w:bottom w:val="double" w:sz="6" w:space="0" w:color="auto"/>
              <w:right w:val="nil"/>
            </w:tcBorders>
            <w:shd w:val="clear" w:color="auto" w:fill="auto"/>
            <w:vAlign w:val="bottom"/>
            <w:hideMark/>
          </w:tcPr>
          <w:p w14:paraId="1D742FAA" w14:textId="52037886"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289,57</w:t>
            </w:r>
          </w:p>
        </w:tc>
        <w:tc>
          <w:tcPr>
            <w:tcW w:w="1400" w:type="dxa"/>
            <w:tcBorders>
              <w:top w:val="double" w:sz="6" w:space="0" w:color="auto"/>
              <w:left w:val="nil"/>
              <w:bottom w:val="double" w:sz="6" w:space="0" w:color="auto"/>
              <w:right w:val="nil"/>
            </w:tcBorders>
            <w:shd w:val="clear" w:color="auto" w:fill="auto"/>
            <w:vAlign w:val="bottom"/>
            <w:hideMark/>
          </w:tcPr>
          <w:p w14:paraId="0D555D76" w14:textId="57EA14E6"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25,92</w:t>
            </w:r>
          </w:p>
        </w:tc>
        <w:tc>
          <w:tcPr>
            <w:tcW w:w="1400" w:type="dxa"/>
            <w:tcBorders>
              <w:top w:val="double" w:sz="6" w:space="0" w:color="auto"/>
              <w:left w:val="nil"/>
              <w:bottom w:val="double" w:sz="6" w:space="0" w:color="auto"/>
              <w:right w:val="nil"/>
            </w:tcBorders>
            <w:shd w:val="clear" w:color="auto" w:fill="auto"/>
            <w:vAlign w:val="bottom"/>
            <w:hideMark/>
          </w:tcPr>
          <w:p w14:paraId="1EEF1D09" w14:textId="42B68819"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132,15</w:t>
            </w:r>
          </w:p>
        </w:tc>
      </w:tr>
    </w:tbl>
    <w:p w14:paraId="4B3DB583" w14:textId="77777777" w:rsidR="008430BD" w:rsidRPr="001C3EC8" w:rsidRDefault="008430BD" w:rsidP="008430BD">
      <w:pPr>
        <w:rPr>
          <w:color w:val="000000" w:themeColor="text1"/>
        </w:rPr>
      </w:pPr>
    </w:p>
    <w:p w14:paraId="0C803848" w14:textId="77777777" w:rsidR="00B07E76" w:rsidRDefault="008430BD" w:rsidP="008430BD">
      <w:pPr>
        <w:pStyle w:val="OdstavecASR"/>
        <w:rPr>
          <w:color w:val="000000" w:themeColor="text1"/>
        </w:rPr>
      </w:pPr>
      <w:r w:rsidRPr="001C3EC8">
        <w:rPr>
          <w:color w:val="000000" w:themeColor="text1"/>
        </w:rPr>
        <w:t xml:space="preserve">Přepočteme-li na soudce počet příchozích věcí a počet vyřízených věcí, výrazně nižší </w:t>
      </w:r>
      <w:proofErr w:type="gramStart"/>
      <w:r w:rsidRPr="001C3EC8">
        <w:rPr>
          <w:color w:val="000000" w:themeColor="text1"/>
        </w:rPr>
        <w:t>hodnoty</w:t>
      </w:r>
      <w:proofErr w:type="gramEnd"/>
      <w:r w:rsidRPr="001C3EC8">
        <w:rPr>
          <w:color w:val="000000" w:themeColor="text1"/>
        </w:rPr>
        <w:t xml:space="preserve"> než ostatní soudy vykazuje MS Praha. Je to dáno tím, že tento soud má na insolvenčním úseku relativně více soudců, protože jeho insolvenční agenda je výrazně složitější než u ostatních soudů. Je za to zodpovědný především větší podíl úpadků řešených konkursem. Naopak, nejvyšší hodnoty vykazuje </w:t>
      </w:r>
      <w:r w:rsidR="00060216" w:rsidRPr="001C3EC8">
        <w:rPr>
          <w:color w:val="000000" w:themeColor="text1"/>
        </w:rPr>
        <w:t xml:space="preserve">KS </w:t>
      </w:r>
      <w:r w:rsidRPr="001C3EC8">
        <w:rPr>
          <w:color w:val="000000" w:themeColor="text1"/>
        </w:rPr>
        <w:t>Plzeň. Zde je třeba připustit, že kromě náročnosti agend</w:t>
      </w:r>
      <w:r w:rsidR="00FE43FA" w:rsidRPr="001C3EC8">
        <w:rPr>
          <w:color w:val="000000" w:themeColor="text1"/>
        </w:rPr>
        <w:t>y</w:t>
      </w:r>
      <w:r w:rsidRPr="001C3EC8">
        <w:rPr>
          <w:color w:val="000000" w:themeColor="text1"/>
        </w:rPr>
        <w:t xml:space="preserve"> zde zřejmě hraje roli způsob vykazování dat.</w:t>
      </w:r>
    </w:p>
    <w:p w14:paraId="75377A05" w14:textId="74D56CC6" w:rsidR="008430BD" w:rsidRPr="001C3EC8" w:rsidRDefault="008430BD" w:rsidP="008430BD">
      <w:pPr>
        <w:pStyle w:val="OdstavecASR"/>
        <w:rPr>
          <w:color w:val="000000" w:themeColor="text1"/>
        </w:rPr>
      </w:pPr>
      <w:r w:rsidRPr="001C3EC8">
        <w:rPr>
          <w:color w:val="000000" w:themeColor="text1"/>
        </w:rPr>
        <w:t xml:space="preserve">Počty nevyřízených věcí na soudce před rozhodnutím o úpadku jsou nízké a opět ukazují, že v ČR není soud, který by měl výraznější problémy s vyřizováním insolvenčních návrhů. Po výše diskutované novele nicméně došlo ke značnému nárůstu, je tedy třeba počkat na další data, která </w:t>
      </w:r>
      <w:proofErr w:type="gramStart"/>
      <w:r w:rsidRPr="001C3EC8">
        <w:rPr>
          <w:color w:val="000000" w:themeColor="text1"/>
        </w:rPr>
        <w:t>ukáží</w:t>
      </w:r>
      <w:proofErr w:type="gramEnd"/>
      <w:r w:rsidRPr="001C3EC8">
        <w:rPr>
          <w:color w:val="000000" w:themeColor="text1"/>
        </w:rPr>
        <w:t xml:space="preserve">, zda </w:t>
      </w:r>
      <w:r w:rsidR="00532306" w:rsidRPr="001C3EC8">
        <w:rPr>
          <w:color w:val="000000" w:themeColor="text1"/>
        </w:rPr>
        <w:t>a</w:t>
      </w:r>
      <w:r w:rsidR="00532306">
        <w:rPr>
          <w:color w:val="000000" w:themeColor="text1"/>
        </w:rPr>
        <w:t> </w:t>
      </w:r>
      <w:r w:rsidRPr="001C3EC8">
        <w:rPr>
          <w:color w:val="000000" w:themeColor="text1"/>
        </w:rPr>
        <w:t xml:space="preserve">jak se </w:t>
      </w:r>
      <w:r w:rsidR="00532306" w:rsidRPr="001C3EC8">
        <w:rPr>
          <w:color w:val="000000" w:themeColor="text1"/>
        </w:rPr>
        <w:t>s</w:t>
      </w:r>
      <w:r w:rsidR="00532306">
        <w:rPr>
          <w:color w:val="000000" w:themeColor="text1"/>
        </w:rPr>
        <w:t> </w:t>
      </w:r>
      <w:r w:rsidR="00060216" w:rsidRPr="001C3EC8">
        <w:rPr>
          <w:color w:val="000000" w:themeColor="text1"/>
        </w:rPr>
        <w:t>ním</w:t>
      </w:r>
      <w:r w:rsidRPr="001C3EC8">
        <w:rPr>
          <w:color w:val="000000" w:themeColor="text1"/>
        </w:rPr>
        <w:t xml:space="preserve"> soudy vyrovnají.</w:t>
      </w:r>
    </w:p>
    <w:p w14:paraId="6C50F791" w14:textId="77777777" w:rsidR="008430BD" w:rsidRPr="001C3EC8" w:rsidRDefault="008430BD" w:rsidP="008430BD">
      <w:pPr>
        <w:pStyle w:val="OdstavecASR"/>
        <w:rPr>
          <w:color w:val="000000" w:themeColor="text1"/>
        </w:rPr>
      </w:pPr>
      <w:r w:rsidRPr="001C3EC8">
        <w:rPr>
          <w:color w:val="000000" w:themeColor="text1"/>
        </w:rPr>
        <w:t>Uvádíme také přepočet na soudce u věcí nevyřízených po rozhodnutí o úpadku. Tento ukazatel vypovídá jak o socioekonomické situaci v krajích, tak i o zatíženosti soudů.</w:t>
      </w:r>
    </w:p>
    <w:p w14:paraId="79366949" w14:textId="77777777" w:rsidR="008430BD" w:rsidRPr="001C3EC8" w:rsidRDefault="008430BD" w:rsidP="008430BD">
      <w:pPr>
        <w:pStyle w:val="OdstavecASR"/>
        <w:rPr>
          <w:color w:val="000000" w:themeColor="text1"/>
        </w:rPr>
      </w:pPr>
      <w:r w:rsidRPr="001C3EC8">
        <w:rPr>
          <w:color w:val="000000" w:themeColor="text1"/>
        </w:rPr>
        <w:t>DT není u této agendy uveden, jeho použití u této agendy se jeví jako nevhodné, neboť se jedná o vícefázové řízení.</w:t>
      </w:r>
    </w:p>
    <w:p w14:paraId="37722036" w14:textId="77777777" w:rsidR="008430BD" w:rsidRPr="001C3EC8" w:rsidRDefault="008430BD" w:rsidP="008430BD">
      <w:pPr>
        <w:pStyle w:val="Nadpis3"/>
        <w:pageBreakBefore/>
        <w:numPr>
          <w:ilvl w:val="2"/>
          <w:numId w:val="1"/>
        </w:numPr>
        <w:rPr>
          <w:color w:val="000000" w:themeColor="text1"/>
        </w:rPr>
      </w:pPr>
      <w:bookmarkStart w:id="672" w:name="_Toc515871276"/>
      <w:bookmarkStart w:id="673" w:name="_Toc75952117"/>
      <w:r w:rsidRPr="001C3EC8">
        <w:rPr>
          <w:color w:val="000000" w:themeColor="text1"/>
        </w:rPr>
        <w:lastRenderedPageBreak/>
        <w:t>Další statistiky</w:t>
      </w:r>
      <w:bookmarkEnd w:id="672"/>
      <w:bookmarkEnd w:id="673"/>
    </w:p>
    <w:p w14:paraId="304A99D9" w14:textId="77777777" w:rsidR="008430BD" w:rsidRPr="001C3EC8" w:rsidRDefault="008430BD" w:rsidP="008430BD">
      <w:pPr>
        <w:pStyle w:val="OdstavecASR"/>
        <w:rPr>
          <w:color w:val="000000" w:themeColor="text1"/>
        </w:rPr>
      </w:pPr>
      <w:r w:rsidRPr="001C3EC8">
        <w:rPr>
          <w:color w:val="000000" w:themeColor="text1"/>
        </w:rPr>
        <w:t>Zajímavým a velmi důležitým statistickým údajem je složení agendy z hlediska způsobu řešení úpadku. V následující tabulce uvádíme podíl počtu věcí dosud v řízení podle jednotlivých způsobů řešení úpadku a podle krajských soudů ke konci roku 2020.</w:t>
      </w:r>
    </w:p>
    <w:p w14:paraId="38FCF8B1" w14:textId="367662C1" w:rsidR="008430BD" w:rsidRPr="001C3EC8" w:rsidRDefault="008430BD" w:rsidP="008430BD">
      <w:pPr>
        <w:pStyle w:val="Podnadpis"/>
        <w:rPr>
          <w:color w:val="000000" w:themeColor="text1"/>
        </w:rPr>
      </w:pPr>
      <w:bookmarkStart w:id="674" w:name="_Toc43931246"/>
      <w:bookmarkStart w:id="675" w:name="_Toc75952379"/>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76</w:t>
      </w:r>
      <w:r w:rsidRPr="001C3EC8">
        <w:rPr>
          <w:noProof/>
          <w:color w:val="000000" w:themeColor="text1"/>
        </w:rPr>
        <w:fldChar w:fldCharType="end"/>
      </w:r>
      <w:r w:rsidRPr="001C3EC8">
        <w:rPr>
          <w:color w:val="000000" w:themeColor="text1"/>
        </w:rPr>
        <w:t>: KS – podíl jednotlivých způsobů řešení úpadku</w:t>
      </w:r>
      <w:bookmarkEnd w:id="674"/>
      <w:bookmarkEnd w:id="675"/>
    </w:p>
    <w:tbl>
      <w:tblPr>
        <w:tblW w:w="7520" w:type="dxa"/>
        <w:tblCellMar>
          <w:left w:w="70" w:type="dxa"/>
          <w:right w:w="70" w:type="dxa"/>
        </w:tblCellMar>
        <w:tblLook w:val="04A0" w:firstRow="1" w:lastRow="0" w:firstColumn="1" w:lastColumn="0" w:noHBand="0" w:noVBand="1"/>
      </w:tblPr>
      <w:tblGrid>
        <w:gridCol w:w="2480"/>
        <w:gridCol w:w="1578"/>
        <w:gridCol w:w="1771"/>
        <w:gridCol w:w="1691"/>
      </w:tblGrid>
      <w:tr w:rsidR="008430BD" w:rsidRPr="001C3EC8" w14:paraId="55395B8B"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5BDD767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5A17919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Způsob řešení úpadku</w:t>
            </w:r>
          </w:p>
        </w:tc>
      </w:tr>
      <w:tr w:rsidR="008430BD" w:rsidRPr="001C3EC8" w14:paraId="1DD5480E"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1479CFD8"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578" w:type="dxa"/>
            <w:tcBorders>
              <w:top w:val="nil"/>
              <w:left w:val="nil"/>
              <w:bottom w:val="double" w:sz="6" w:space="0" w:color="auto"/>
              <w:right w:val="nil"/>
            </w:tcBorders>
            <w:shd w:val="clear" w:color="auto" w:fill="auto"/>
            <w:noWrap/>
            <w:vAlign w:val="center"/>
            <w:hideMark/>
          </w:tcPr>
          <w:p w14:paraId="20275DF9" w14:textId="01A2D07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Konkur</w:t>
            </w:r>
            <w:r w:rsidR="00060216" w:rsidRPr="001C3EC8">
              <w:rPr>
                <w:rFonts w:eastAsia="Times New Roman"/>
                <w:b/>
                <w:bCs/>
                <w:color w:val="000000" w:themeColor="text1"/>
                <w:szCs w:val="24"/>
                <w:lang w:eastAsia="cs-CZ"/>
              </w:rPr>
              <w:t>s</w:t>
            </w:r>
            <w:r w:rsidRPr="001C3EC8">
              <w:rPr>
                <w:rFonts w:eastAsia="Times New Roman"/>
                <w:b/>
                <w:bCs/>
                <w:color w:val="000000" w:themeColor="text1"/>
                <w:szCs w:val="24"/>
                <w:lang w:eastAsia="cs-CZ"/>
              </w:rPr>
              <w:t>em</w:t>
            </w:r>
          </w:p>
        </w:tc>
        <w:tc>
          <w:tcPr>
            <w:tcW w:w="1771" w:type="dxa"/>
            <w:tcBorders>
              <w:top w:val="nil"/>
              <w:left w:val="nil"/>
              <w:bottom w:val="double" w:sz="6" w:space="0" w:color="auto"/>
              <w:right w:val="nil"/>
            </w:tcBorders>
            <w:shd w:val="clear" w:color="auto" w:fill="auto"/>
            <w:noWrap/>
            <w:vAlign w:val="center"/>
            <w:hideMark/>
          </w:tcPr>
          <w:p w14:paraId="214CDE6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14:paraId="1CFC805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Oddlužením</w:t>
            </w:r>
          </w:p>
        </w:tc>
      </w:tr>
      <w:tr w:rsidR="008430BD" w:rsidRPr="001C3EC8" w14:paraId="583F213E"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A39F38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14:paraId="3C3FCBC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14,77</w:t>
            </w:r>
          </w:p>
        </w:tc>
        <w:tc>
          <w:tcPr>
            <w:tcW w:w="1771" w:type="dxa"/>
            <w:tcBorders>
              <w:top w:val="single" w:sz="4" w:space="0" w:color="auto"/>
              <w:left w:val="nil"/>
              <w:bottom w:val="single" w:sz="4" w:space="0" w:color="auto"/>
              <w:right w:val="nil"/>
            </w:tcBorders>
            <w:shd w:val="clear" w:color="auto" w:fill="auto"/>
            <w:noWrap/>
            <w:vAlign w:val="bottom"/>
            <w:hideMark/>
          </w:tcPr>
          <w:p w14:paraId="767A177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0,12</w:t>
            </w:r>
          </w:p>
        </w:tc>
        <w:tc>
          <w:tcPr>
            <w:tcW w:w="1691" w:type="dxa"/>
            <w:tcBorders>
              <w:top w:val="single" w:sz="4" w:space="0" w:color="auto"/>
              <w:left w:val="nil"/>
              <w:bottom w:val="single" w:sz="4" w:space="0" w:color="auto"/>
              <w:right w:val="nil"/>
            </w:tcBorders>
            <w:shd w:val="clear" w:color="auto" w:fill="auto"/>
            <w:noWrap/>
            <w:vAlign w:val="bottom"/>
            <w:hideMark/>
          </w:tcPr>
          <w:p w14:paraId="44E31F9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85,11</w:t>
            </w:r>
          </w:p>
        </w:tc>
      </w:tr>
      <w:tr w:rsidR="008430BD" w:rsidRPr="001C3EC8" w14:paraId="7E97962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8EB355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14:paraId="426B3B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4,50</w:t>
            </w:r>
          </w:p>
        </w:tc>
        <w:tc>
          <w:tcPr>
            <w:tcW w:w="1771" w:type="dxa"/>
            <w:tcBorders>
              <w:top w:val="nil"/>
              <w:left w:val="nil"/>
              <w:bottom w:val="single" w:sz="4" w:space="0" w:color="auto"/>
              <w:right w:val="nil"/>
            </w:tcBorders>
            <w:shd w:val="clear" w:color="auto" w:fill="auto"/>
            <w:noWrap/>
            <w:vAlign w:val="bottom"/>
            <w:hideMark/>
          </w:tcPr>
          <w:p w14:paraId="26E6D8B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0,03</w:t>
            </w:r>
          </w:p>
        </w:tc>
        <w:tc>
          <w:tcPr>
            <w:tcW w:w="1691" w:type="dxa"/>
            <w:tcBorders>
              <w:top w:val="nil"/>
              <w:left w:val="nil"/>
              <w:bottom w:val="single" w:sz="4" w:space="0" w:color="auto"/>
              <w:right w:val="nil"/>
            </w:tcBorders>
            <w:shd w:val="clear" w:color="auto" w:fill="auto"/>
            <w:noWrap/>
            <w:vAlign w:val="bottom"/>
            <w:hideMark/>
          </w:tcPr>
          <w:p w14:paraId="0114308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95,47</w:t>
            </w:r>
          </w:p>
        </w:tc>
      </w:tr>
      <w:tr w:rsidR="008430BD" w:rsidRPr="001C3EC8" w14:paraId="33EEA97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867EC2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14:paraId="65DA4F2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4,11</w:t>
            </w:r>
          </w:p>
        </w:tc>
        <w:tc>
          <w:tcPr>
            <w:tcW w:w="1771" w:type="dxa"/>
            <w:tcBorders>
              <w:top w:val="nil"/>
              <w:left w:val="nil"/>
              <w:bottom w:val="single" w:sz="4" w:space="0" w:color="auto"/>
              <w:right w:val="nil"/>
            </w:tcBorders>
            <w:shd w:val="clear" w:color="auto" w:fill="auto"/>
            <w:noWrap/>
            <w:vAlign w:val="bottom"/>
            <w:hideMark/>
          </w:tcPr>
          <w:p w14:paraId="031C837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0,01</w:t>
            </w:r>
          </w:p>
        </w:tc>
        <w:tc>
          <w:tcPr>
            <w:tcW w:w="1691" w:type="dxa"/>
            <w:tcBorders>
              <w:top w:val="nil"/>
              <w:left w:val="nil"/>
              <w:bottom w:val="single" w:sz="4" w:space="0" w:color="auto"/>
              <w:right w:val="nil"/>
            </w:tcBorders>
            <w:shd w:val="clear" w:color="auto" w:fill="auto"/>
            <w:noWrap/>
            <w:vAlign w:val="bottom"/>
            <w:hideMark/>
          </w:tcPr>
          <w:p w14:paraId="77EC00F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95,88</w:t>
            </w:r>
          </w:p>
        </w:tc>
      </w:tr>
      <w:tr w:rsidR="008430BD" w:rsidRPr="001C3EC8" w14:paraId="4AF86F1D"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65E792E4"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14:paraId="7FFB272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4,02</w:t>
            </w:r>
          </w:p>
        </w:tc>
        <w:tc>
          <w:tcPr>
            <w:tcW w:w="1771" w:type="dxa"/>
            <w:tcBorders>
              <w:top w:val="nil"/>
              <w:left w:val="nil"/>
              <w:bottom w:val="single" w:sz="4" w:space="0" w:color="auto"/>
              <w:right w:val="nil"/>
            </w:tcBorders>
            <w:shd w:val="clear" w:color="auto" w:fill="auto"/>
            <w:noWrap/>
            <w:vAlign w:val="bottom"/>
            <w:hideMark/>
          </w:tcPr>
          <w:p w14:paraId="611A7D8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504D92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95,96</w:t>
            </w:r>
          </w:p>
        </w:tc>
      </w:tr>
      <w:tr w:rsidR="008430BD" w:rsidRPr="001C3EC8" w14:paraId="27808E0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37CB98D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14:paraId="18B3E3E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2,68</w:t>
            </w:r>
          </w:p>
        </w:tc>
        <w:tc>
          <w:tcPr>
            <w:tcW w:w="1771" w:type="dxa"/>
            <w:tcBorders>
              <w:top w:val="nil"/>
              <w:left w:val="nil"/>
              <w:bottom w:val="single" w:sz="4" w:space="0" w:color="auto"/>
              <w:right w:val="nil"/>
            </w:tcBorders>
            <w:shd w:val="clear" w:color="auto" w:fill="auto"/>
            <w:noWrap/>
            <w:vAlign w:val="bottom"/>
            <w:hideMark/>
          </w:tcPr>
          <w:p w14:paraId="483BB0D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0,01</w:t>
            </w:r>
          </w:p>
        </w:tc>
        <w:tc>
          <w:tcPr>
            <w:tcW w:w="1691" w:type="dxa"/>
            <w:tcBorders>
              <w:top w:val="nil"/>
              <w:left w:val="nil"/>
              <w:bottom w:val="single" w:sz="4" w:space="0" w:color="auto"/>
              <w:right w:val="nil"/>
            </w:tcBorders>
            <w:shd w:val="clear" w:color="auto" w:fill="auto"/>
            <w:noWrap/>
            <w:vAlign w:val="bottom"/>
            <w:hideMark/>
          </w:tcPr>
          <w:p w14:paraId="34FB4B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97,31</w:t>
            </w:r>
          </w:p>
        </w:tc>
      </w:tr>
      <w:tr w:rsidR="008430BD" w:rsidRPr="001C3EC8" w14:paraId="520B2028"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9D4E28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14:paraId="470436C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3,88</w:t>
            </w:r>
          </w:p>
        </w:tc>
        <w:tc>
          <w:tcPr>
            <w:tcW w:w="1771" w:type="dxa"/>
            <w:tcBorders>
              <w:top w:val="nil"/>
              <w:left w:val="nil"/>
              <w:bottom w:val="single" w:sz="4" w:space="0" w:color="auto"/>
              <w:right w:val="nil"/>
            </w:tcBorders>
            <w:shd w:val="clear" w:color="auto" w:fill="auto"/>
            <w:noWrap/>
            <w:vAlign w:val="bottom"/>
            <w:hideMark/>
          </w:tcPr>
          <w:p w14:paraId="07B65E4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0,03</w:t>
            </w:r>
          </w:p>
        </w:tc>
        <w:tc>
          <w:tcPr>
            <w:tcW w:w="1691" w:type="dxa"/>
            <w:tcBorders>
              <w:top w:val="nil"/>
              <w:left w:val="nil"/>
              <w:bottom w:val="single" w:sz="4" w:space="0" w:color="auto"/>
              <w:right w:val="nil"/>
            </w:tcBorders>
            <w:shd w:val="clear" w:color="auto" w:fill="auto"/>
            <w:noWrap/>
            <w:vAlign w:val="bottom"/>
            <w:hideMark/>
          </w:tcPr>
          <w:p w14:paraId="7A4C09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96,09</w:t>
            </w:r>
          </w:p>
        </w:tc>
      </w:tr>
      <w:tr w:rsidR="008430BD" w:rsidRPr="001C3EC8" w14:paraId="2C7F2340"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0FDD84F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14:paraId="4042907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6,42</w:t>
            </w:r>
          </w:p>
        </w:tc>
        <w:tc>
          <w:tcPr>
            <w:tcW w:w="1771" w:type="dxa"/>
            <w:tcBorders>
              <w:top w:val="nil"/>
              <w:left w:val="nil"/>
              <w:bottom w:val="single" w:sz="4" w:space="0" w:color="auto"/>
              <w:right w:val="nil"/>
            </w:tcBorders>
            <w:shd w:val="clear" w:color="auto" w:fill="auto"/>
            <w:noWrap/>
            <w:vAlign w:val="bottom"/>
            <w:hideMark/>
          </w:tcPr>
          <w:p w14:paraId="54ACB01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7FEC6F8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93,57</w:t>
            </w:r>
          </w:p>
        </w:tc>
      </w:tr>
      <w:tr w:rsidR="008430BD" w:rsidRPr="001C3EC8" w14:paraId="15EE8A4E"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2478115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14:paraId="2D3CF35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3,29</w:t>
            </w:r>
          </w:p>
        </w:tc>
        <w:tc>
          <w:tcPr>
            <w:tcW w:w="1771" w:type="dxa"/>
            <w:tcBorders>
              <w:top w:val="nil"/>
              <w:left w:val="nil"/>
              <w:bottom w:val="double" w:sz="6" w:space="0" w:color="auto"/>
              <w:right w:val="nil"/>
            </w:tcBorders>
            <w:shd w:val="clear" w:color="auto" w:fill="auto"/>
            <w:noWrap/>
            <w:vAlign w:val="bottom"/>
            <w:hideMark/>
          </w:tcPr>
          <w:p w14:paraId="1650432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0,04</w:t>
            </w:r>
          </w:p>
        </w:tc>
        <w:tc>
          <w:tcPr>
            <w:tcW w:w="1691" w:type="dxa"/>
            <w:tcBorders>
              <w:top w:val="nil"/>
              <w:left w:val="nil"/>
              <w:bottom w:val="double" w:sz="6" w:space="0" w:color="auto"/>
              <w:right w:val="nil"/>
            </w:tcBorders>
            <w:shd w:val="clear" w:color="auto" w:fill="auto"/>
            <w:noWrap/>
            <w:vAlign w:val="bottom"/>
            <w:hideMark/>
          </w:tcPr>
          <w:p w14:paraId="202DBE6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96,67</w:t>
            </w:r>
          </w:p>
        </w:tc>
      </w:tr>
      <w:tr w:rsidR="008430BD" w:rsidRPr="001C3EC8" w14:paraId="17182946"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7B3C82BD"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14:paraId="5B70738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4,92</w:t>
            </w:r>
          </w:p>
        </w:tc>
        <w:tc>
          <w:tcPr>
            <w:tcW w:w="1771" w:type="dxa"/>
            <w:tcBorders>
              <w:top w:val="nil"/>
              <w:left w:val="nil"/>
              <w:bottom w:val="double" w:sz="6" w:space="0" w:color="auto"/>
              <w:right w:val="nil"/>
            </w:tcBorders>
            <w:shd w:val="clear" w:color="auto" w:fill="auto"/>
            <w:noWrap/>
            <w:vAlign w:val="bottom"/>
            <w:hideMark/>
          </w:tcPr>
          <w:p w14:paraId="040D37C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0,03</w:t>
            </w:r>
          </w:p>
        </w:tc>
        <w:tc>
          <w:tcPr>
            <w:tcW w:w="1691" w:type="dxa"/>
            <w:tcBorders>
              <w:top w:val="nil"/>
              <w:left w:val="nil"/>
              <w:bottom w:val="double" w:sz="6" w:space="0" w:color="auto"/>
              <w:right w:val="nil"/>
            </w:tcBorders>
            <w:shd w:val="clear" w:color="auto" w:fill="auto"/>
            <w:noWrap/>
            <w:vAlign w:val="bottom"/>
            <w:hideMark/>
          </w:tcPr>
          <w:p w14:paraId="0A20603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95,05</w:t>
            </w:r>
          </w:p>
        </w:tc>
      </w:tr>
    </w:tbl>
    <w:p w14:paraId="14F42F9C" w14:textId="77777777" w:rsidR="008430BD" w:rsidRPr="001C3EC8" w:rsidRDefault="008430BD" w:rsidP="008430BD">
      <w:pPr>
        <w:spacing w:line="240" w:lineRule="auto"/>
        <w:jc w:val="left"/>
        <w:rPr>
          <w:color w:val="000000" w:themeColor="text1"/>
          <w:highlight w:val="yellow"/>
        </w:rPr>
      </w:pPr>
    </w:p>
    <w:p w14:paraId="76D32A97" w14:textId="43D264B7" w:rsidR="008430BD" w:rsidRPr="001C3EC8" w:rsidRDefault="008430BD" w:rsidP="008430BD">
      <w:pPr>
        <w:pStyle w:val="OdstavecASR"/>
        <w:rPr>
          <w:color w:val="000000" w:themeColor="text1"/>
        </w:rPr>
      </w:pPr>
      <w:r w:rsidRPr="001C3EC8">
        <w:rPr>
          <w:color w:val="000000" w:themeColor="text1"/>
        </w:rPr>
        <w:t xml:space="preserve">Naprosté minimum věcí se řeší reorganizací </w:t>
      </w:r>
      <w:r w:rsidR="00532306" w:rsidRPr="001C3EC8">
        <w:rPr>
          <w:color w:val="000000" w:themeColor="text1"/>
        </w:rPr>
        <w:t>a</w:t>
      </w:r>
      <w:r w:rsidR="00532306">
        <w:rPr>
          <w:color w:val="000000" w:themeColor="text1"/>
        </w:rPr>
        <w:t> </w:t>
      </w:r>
      <w:r w:rsidRPr="001C3EC8">
        <w:rPr>
          <w:color w:val="000000" w:themeColor="text1"/>
        </w:rPr>
        <w:t>pouze necelých 5 % věcí se řeší konkursem (ve většině případů se jedná o řešení úpadku právnických osob). Oproti loňskému roku podíl věcí řešených konkursem opět klesl</w:t>
      </w:r>
      <w:r w:rsidR="00060216" w:rsidRPr="001C3EC8">
        <w:rPr>
          <w:color w:val="000000" w:themeColor="text1"/>
        </w:rPr>
        <w:t>,</w:t>
      </w:r>
      <w:r w:rsidRPr="001C3EC8">
        <w:rPr>
          <w:color w:val="000000" w:themeColor="text1"/>
        </w:rPr>
        <w:t xml:space="preserve"> </w:t>
      </w:r>
      <w:r w:rsidR="00532306" w:rsidRPr="001C3EC8">
        <w:rPr>
          <w:color w:val="000000" w:themeColor="text1"/>
        </w:rPr>
        <w:t>a</w:t>
      </w:r>
      <w:r w:rsidR="00532306">
        <w:rPr>
          <w:color w:val="000000" w:themeColor="text1"/>
        </w:rPr>
        <w:t> </w:t>
      </w:r>
      <w:r w:rsidRPr="001C3EC8">
        <w:rPr>
          <w:color w:val="000000" w:themeColor="text1"/>
        </w:rPr>
        <w:t xml:space="preserve">to asi </w:t>
      </w:r>
      <w:r w:rsidR="00532306" w:rsidRPr="001C3EC8">
        <w:rPr>
          <w:color w:val="000000" w:themeColor="text1"/>
        </w:rPr>
        <w:t>o</w:t>
      </w:r>
      <w:r w:rsidR="00532306">
        <w:rPr>
          <w:color w:val="000000" w:themeColor="text1"/>
        </w:rPr>
        <w:t> </w:t>
      </w:r>
      <w:proofErr w:type="gramStart"/>
      <w:r w:rsidRPr="001C3EC8">
        <w:rPr>
          <w:color w:val="000000" w:themeColor="text1"/>
        </w:rPr>
        <w:t>0,</w:t>
      </w:r>
      <w:r w:rsidR="00532306" w:rsidRPr="001C3EC8">
        <w:rPr>
          <w:color w:val="000000" w:themeColor="text1"/>
        </w:rPr>
        <w:t>9</w:t>
      </w:r>
      <w:r w:rsidR="00532306">
        <w:rPr>
          <w:color w:val="000000" w:themeColor="text1"/>
        </w:rPr>
        <w:t> </w:t>
      </w:r>
      <w:r w:rsidRPr="001C3EC8">
        <w:rPr>
          <w:color w:val="000000" w:themeColor="text1"/>
        </w:rPr>
        <w:t>procentního</w:t>
      </w:r>
      <w:proofErr w:type="gramEnd"/>
      <w:r w:rsidRPr="001C3EC8">
        <w:rPr>
          <w:color w:val="000000" w:themeColor="text1"/>
        </w:rPr>
        <w:t xml:space="preserve"> bodu. V roce 2019 to byl pokles asi o </w:t>
      </w:r>
      <w:proofErr w:type="gramStart"/>
      <w:r w:rsidRPr="001C3EC8">
        <w:rPr>
          <w:color w:val="000000" w:themeColor="text1"/>
        </w:rPr>
        <w:t>1,</w:t>
      </w:r>
      <w:r w:rsidR="00532306" w:rsidRPr="001C3EC8">
        <w:rPr>
          <w:color w:val="000000" w:themeColor="text1"/>
        </w:rPr>
        <w:t>4</w:t>
      </w:r>
      <w:r w:rsidR="00532306">
        <w:rPr>
          <w:color w:val="000000" w:themeColor="text1"/>
        </w:rPr>
        <w:t> </w:t>
      </w:r>
      <w:r w:rsidRPr="001C3EC8">
        <w:rPr>
          <w:color w:val="000000" w:themeColor="text1"/>
        </w:rPr>
        <w:t>procentního</w:t>
      </w:r>
      <w:proofErr w:type="gramEnd"/>
      <w:r w:rsidRPr="001C3EC8">
        <w:rPr>
          <w:color w:val="000000" w:themeColor="text1"/>
        </w:rPr>
        <w:t xml:space="preserve"> bodu. </w:t>
      </w:r>
      <w:r w:rsidR="00532306" w:rsidRPr="001C3EC8">
        <w:rPr>
          <w:color w:val="000000" w:themeColor="text1"/>
        </w:rPr>
        <w:t>O</w:t>
      </w:r>
      <w:r w:rsidR="00532306">
        <w:rPr>
          <w:color w:val="000000" w:themeColor="text1"/>
        </w:rPr>
        <w:t> </w:t>
      </w:r>
      <w:r w:rsidRPr="001C3EC8">
        <w:rPr>
          <w:color w:val="000000" w:themeColor="text1"/>
        </w:rPr>
        <w:t xml:space="preserve">rok dříve to bylo </w:t>
      </w:r>
      <w:proofErr w:type="gramStart"/>
      <w:r w:rsidRPr="001C3EC8">
        <w:rPr>
          <w:color w:val="000000" w:themeColor="text1"/>
        </w:rPr>
        <w:t>1,6 procentního</w:t>
      </w:r>
      <w:proofErr w:type="gramEnd"/>
      <w:r w:rsidRPr="001C3EC8">
        <w:rPr>
          <w:color w:val="000000" w:themeColor="text1"/>
        </w:rPr>
        <w:t xml:space="preserve"> bodu </w:t>
      </w:r>
      <w:r w:rsidR="00532306" w:rsidRPr="001C3EC8">
        <w:rPr>
          <w:color w:val="000000" w:themeColor="text1"/>
        </w:rPr>
        <w:t>a</w:t>
      </w:r>
      <w:r w:rsidR="00532306">
        <w:rPr>
          <w:color w:val="000000" w:themeColor="text1"/>
        </w:rPr>
        <w:t> </w:t>
      </w:r>
      <w:r w:rsidRPr="001C3EC8">
        <w:rPr>
          <w:color w:val="000000" w:themeColor="text1"/>
        </w:rPr>
        <w:t xml:space="preserve">rozdíl mezi rokem 2016 </w:t>
      </w:r>
      <w:r w:rsidR="00532306" w:rsidRPr="001C3EC8">
        <w:rPr>
          <w:color w:val="000000" w:themeColor="text1"/>
        </w:rPr>
        <w:t>a</w:t>
      </w:r>
      <w:r w:rsidR="00532306">
        <w:rPr>
          <w:color w:val="000000" w:themeColor="text1"/>
        </w:rPr>
        <w:t> </w:t>
      </w:r>
      <w:r w:rsidRPr="001C3EC8">
        <w:rPr>
          <w:color w:val="000000" w:themeColor="text1"/>
        </w:rPr>
        <w:t>2017 byl 1,</w:t>
      </w:r>
      <w:r w:rsidR="00532306" w:rsidRPr="001C3EC8">
        <w:rPr>
          <w:color w:val="000000" w:themeColor="text1"/>
        </w:rPr>
        <w:t>5</w:t>
      </w:r>
      <w:r w:rsidR="00532306">
        <w:rPr>
          <w:color w:val="000000" w:themeColor="text1"/>
        </w:rPr>
        <w:t> </w:t>
      </w:r>
      <w:r w:rsidRPr="001C3EC8">
        <w:rPr>
          <w:color w:val="000000" w:themeColor="text1"/>
        </w:rPr>
        <w:t>procentního bodu. Velmi zajímavé jsou rozdíly mezi jednotlivými soudy. Největší podíl úpadků řešených konkursem má suverénně Praha (asi třikrát více než je celorepublikový průměr), nejmenší naopak KS Ústí nad Labem a KS Ostrava. To je dáno zejména tím, že v Praze sídlí velké množství společností a koncentrují se zde tedy podnikatelské úpadky</w:t>
      </w:r>
      <w:r w:rsidR="00060216" w:rsidRPr="001C3EC8">
        <w:rPr>
          <w:color w:val="000000" w:themeColor="text1"/>
        </w:rPr>
        <w:t>,</w:t>
      </w:r>
      <w:r w:rsidRPr="001C3EC8">
        <w:rPr>
          <w:color w:val="000000" w:themeColor="text1"/>
        </w:rPr>
        <w:t xml:space="preserve"> a zároveň je zde naopak oproti ekonomicky slabším regionům relativně menší množství spotřebitelů ohrožených insolvencí.</w:t>
      </w:r>
    </w:p>
    <w:p w14:paraId="1E15E888"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49865EAE" w14:textId="77777777" w:rsidR="008430BD" w:rsidRPr="001C3EC8" w:rsidRDefault="008430BD" w:rsidP="008430BD">
      <w:pPr>
        <w:pStyle w:val="Nadpis2"/>
        <w:numPr>
          <w:ilvl w:val="1"/>
          <w:numId w:val="1"/>
        </w:numPr>
        <w:spacing w:before="120"/>
      </w:pPr>
      <w:bookmarkStart w:id="676" w:name="_Toc75952118"/>
      <w:r w:rsidRPr="001C3EC8">
        <w:lastRenderedPageBreak/>
        <w:t>Incidenční spory</w:t>
      </w:r>
      <w:bookmarkEnd w:id="676"/>
    </w:p>
    <w:p w14:paraId="42EB18AB" w14:textId="6B7FF0B3" w:rsidR="008430BD" w:rsidRPr="001C3EC8" w:rsidRDefault="008430BD" w:rsidP="008430BD">
      <w:pPr>
        <w:rPr>
          <w:color w:val="000000" w:themeColor="text1"/>
        </w:rPr>
      </w:pPr>
      <w:r w:rsidRPr="001C3EC8">
        <w:rPr>
          <w:color w:val="000000" w:themeColor="text1"/>
        </w:rPr>
        <w:t xml:space="preserve">Od roku 2019 </w:t>
      </w:r>
      <w:r w:rsidR="00FE43FA" w:rsidRPr="001C3EC8">
        <w:rPr>
          <w:color w:val="000000" w:themeColor="text1"/>
        </w:rPr>
        <w:t xml:space="preserve">jsou </w:t>
      </w:r>
      <w:r w:rsidRPr="001C3EC8">
        <w:rPr>
          <w:color w:val="000000" w:themeColor="text1"/>
        </w:rPr>
        <w:t xml:space="preserve">ve výroční statistické zprávě rovněž diskutovány tzv. incidenční spory. Jedná se </w:t>
      </w:r>
      <w:r w:rsidR="00532306" w:rsidRPr="001C3EC8">
        <w:rPr>
          <w:color w:val="000000" w:themeColor="text1"/>
        </w:rPr>
        <w:t>o</w:t>
      </w:r>
      <w:r w:rsidR="00532306">
        <w:rPr>
          <w:color w:val="000000" w:themeColor="text1"/>
        </w:rPr>
        <w:t> </w:t>
      </w:r>
      <w:r w:rsidRPr="001C3EC8">
        <w:rPr>
          <w:color w:val="000000" w:themeColor="text1"/>
        </w:rPr>
        <w:t xml:space="preserve">spory vyvolané insolvenčním řízením </w:t>
      </w:r>
      <w:r w:rsidR="00532306" w:rsidRPr="001C3EC8">
        <w:rPr>
          <w:color w:val="000000" w:themeColor="text1"/>
        </w:rPr>
        <w:t>a</w:t>
      </w:r>
      <w:r w:rsidR="00532306">
        <w:rPr>
          <w:color w:val="000000" w:themeColor="text1"/>
        </w:rPr>
        <w:t> </w:t>
      </w:r>
      <w:r w:rsidRPr="001C3EC8">
        <w:rPr>
          <w:color w:val="000000" w:themeColor="text1"/>
        </w:rPr>
        <w:t xml:space="preserve">projednávané v jeho rámci. Incidenční spory jsou definovány </w:t>
      </w:r>
      <w:r w:rsidR="00532306" w:rsidRPr="001C3EC8">
        <w:rPr>
          <w:color w:val="000000" w:themeColor="text1"/>
        </w:rPr>
        <w:t>v</w:t>
      </w:r>
      <w:r w:rsidR="00532306">
        <w:rPr>
          <w:color w:val="000000" w:themeColor="text1"/>
        </w:rPr>
        <w:t> </w:t>
      </w:r>
      <w:r w:rsidRPr="001C3EC8">
        <w:rPr>
          <w:color w:val="000000" w:themeColor="text1"/>
        </w:rPr>
        <w:t>insolvenčním zákoně (zákon č.</w:t>
      </w:r>
      <w:r w:rsidR="00532306">
        <w:rPr>
          <w:color w:val="000000" w:themeColor="text1"/>
        </w:rPr>
        <w:t> </w:t>
      </w:r>
      <w:r w:rsidRPr="001C3EC8">
        <w:rPr>
          <w:color w:val="000000" w:themeColor="text1"/>
        </w:rPr>
        <w:t>182/2006</w:t>
      </w:r>
      <w:r w:rsidR="00532306">
        <w:rPr>
          <w:color w:val="000000" w:themeColor="text1"/>
        </w:rPr>
        <w:t> </w:t>
      </w:r>
      <w:r w:rsidRPr="001C3EC8">
        <w:rPr>
          <w:color w:val="000000" w:themeColor="text1"/>
        </w:rPr>
        <w:t xml:space="preserve">Sb.) </w:t>
      </w:r>
      <w:r w:rsidR="00532306" w:rsidRPr="001C3EC8">
        <w:rPr>
          <w:color w:val="000000" w:themeColor="text1"/>
        </w:rPr>
        <w:t>a</w:t>
      </w:r>
      <w:r w:rsidR="00532306">
        <w:rPr>
          <w:color w:val="000000" w:themeColor="text1"/>
        </w:rPr>
        <w:t> </w:t>
      </w:r>
      <w:r w:rsidRPr="001C3EC8">
        <w:rPr>
          <w:color w:val="000000" w:themeColor="text1"/>
        </w:rPr>
        <w:t>jsou jimi například:</w:t>
      </w:r>
    </w:p>
    <w:p w14:paraId="501E41B2" w14:textId="02442A83" w:rsidR="008430BD" w:rsidRPr="001C3EC8" w:rsidRDefault="008430BD" w:rsidP="008430BD">
      <w:pPr>
        <w:pStyle w:val="Odstavecseseznamem"/>
        <w:numPr>
          <w:ilvl w:val="0"/>
          <w:numId w:val="19"/>
        </w:numPr>
        <w:rPr>
          <w:color w:val="000000" w:themeColor="text1"/>
        </w:rPr>
      </w:pPr>
      <w:r w:rsidRPr="001C3EC8">
        <w:rPr>
          <w:color w:val="000000" w:themeColor="text1"/>
        </w:rPr>
        <w:t xml:space="preserve">spory </w:t>
      </w:r>
      <w:r w:rsidR="00021FDD" w:rsidRPr="001C3EC8">
        <w:rPr>
          <w:color w:val="000000" w:themeColor="text1"/>
        </w:rPr>
        <w:t>o</w:t>
      </w:r>
      <w:r w:rsidR="00021FDD">
        <w:rPr>
          <w:color w:val="000000" w:themeColor="text1"/>
        </w:rPr>
        <w:t> </w:t>
      </w:r>
      <w:r w:rsidRPr="001C3EC8">
        <w:rPr>
          <w:color w:val="000000" w:themeColor="text1"/>
        </w:rPr>
        <w:t>pravost, výši nebo pořadí přihlášených pohledávek,</w:t>
      </w:r>
    </w:p>
    <w:p w14:paraId="33CB20E2" w14:textId="156ED5B2" w:rsidR="008430BD" w:rsidRPr="001C3EC8" w:rsidRDefault="008430BD" w:rsidP="008430BD">
      <w:pPr>
        <w:pStyle w:val="Odstavecseseznamem"/>
        <w:numPr>
          <w:ilvl w:val="0"/>
          <w:numId w:val="19"/>
        </w:numPr>
        <w:rPr>
          <w:color w:val="000000" w:themeColor="text1"/>
        </w:rPr>
      </w:pPr>
      <w:r w:rsidRPr="001C3EC8">
        <w:rPr>
          <w:color w:val="000000" w:themeColor="text1"/>
        </w:rPr>
        <w:t xml:space="preserve">spory </w:t>
      </w:r>
      <w:r w:rsidR="00021FDD" w:rsidRPr="001C3EC8">
        <w:rPr>
          <w:color w:val="000000" w:themeColor="text1"/>
        </w:rPr>
        <w:t>o</w:t>
      </w:r>
      <w:r w:rsidR="00021FDD">
        <w:rPr>
          <w:color w:val="000000" w:themeColor="text1"/>
        </w:rPr>
        <w:t> </w:t>
      </w:r>
      <w:r w:rsidRPr="001C3EC8">
        <w:rPr>
          <w:color w:val="000000" w:themeColor="text1"/>
        </w:rPr>
        <w:t xml:space="preserve">vypořádání společného jmění dlužníka </w:t>
      </w:r>
      <w:r w:rsidR="00021FDD" w:rsidRPr="001C3EC8">
        <w:rPr>
          <w:color w:val="000000" w:themeColor="text1"/>
        </w:rPr>
        <w:t>a</w:t>
      </w:r>
      <w:r w:rsidR="00021FDD">
        <w:rPr>
          <w:color w:val="000000" w:themeColor="text1"/>
        </w:rPr>
        <w:t> </w:t>
      </w:r>
      <w:r w:rsidRPr="001C3EC8">
        <w:rPr>
          <w:color w:val="000000" w:themeColor="text1"/>
        </w:rPr>
        <w:t>jeho manžela,</w:t>
      </w:r>
    </w:p>
    <w:p w14:paraId="12B94211" w14:textId="00BB5037" w:rsidR="008430BD" w:rsidRPr="001C3EC8" w:rsidRDefault="008430BD" w:rsidP="008430BD">
      <w:pPr>
        <w:pStyle w:val="Odstavecseseznamem"/>
        <w:numPr>
          <w:ilvl w:val="0"/>
          <w:numId w:val="19"/>
        </w:numPr>
        <w:rPr>
          <w:color w:val="000000" w:themeColor="text1"/>
        </w:rPr>
      </w:pPr>
      <w:r w:rsidRPr="001C3EC8">
        <w:rPr>
          <w:color w:val="000000" w:themeColor="text1"/>
        </w:rPr>
        <w:t xml:space="preserve">spory </w:t>
      </w:r>
      <w:r w:rsidR="00021FDD" w:rsidRPr="001C3EC8">
        <w:rPr>
          <w:color w:val="000000" w:themeColor="text1"/>
        </w:rPr>
        <w:t>o</w:t>
      </w:r>
      <w:r w:rsidR="00021FDD">
        <w:rPr>
          <w:color w:val="000000" w:themeColor="text1"/>
        </w:rPr>
        <w:t> </w:t>
      </w:r>
      <w:r w:rsidRPr="001C3EC8">
        <w:rPr>
          <w:color w:val="000000" w:themeColor="text1"/>
        </w:rPr>
        <w:t>platnost smluv, kterými došlo ke zpeněžení majetkové podstaty prodejem mimo dražbu.</w:t>
      </w:r>
    </w:p>
    <w:p w14:paraId="68282FFC" w14:textId="627DEAFD" w:rsidR="008430BD" w:rsidRPr="001C3EC8" w:rsidRDefault="008430BD" w:rsidP="008430BD">
      <w:pPr>
        <w:rPr>
          <w:color w:val="000000" w:themeColor="text1"/>
        </w:rPr>
      </w:pPr>
      <w:r w:rsidRPr="001C3EC8">
        <w:rPr>
          <w:color w:val="000000" w:themeColor="text1"/>
        </w:rPr>
        <w:t xml:space="preserve">Laicky lze říct, že se tyto spory nacházejí na pomezí insolvenčních </w:t>
      </w:r>
      <w:r w:rsidR="00021FDD" w:rsidRPr="001C3EC8">
        <w:rPr>
          <w:color w:val="000000" w:themeColor="text1"/>
        </w:rPr>
        <w:t>a</w:t>
      </w:r>
      <w:r w:rsidR="00021FDD">
        <w:rPr>
          <w:color w:val="000000" w:themeColor="text1"/>
        </w:rPr>
        <w:t> </w:t>
      </w:r>
      <w:r w:rsidRPr="001C3EC8">
        <w:rPr>
          <w:color w:val="000000" w:themeColor="text1"/>
        </w:rPr>
        <w:t xml:space="preserve">obchodních sporů </w:t>
      </w:r>
      <w:r w:rsidR="00021FDD" w:rsidRPr="001C3EC8">
        <w:rPr>
          <w:color w:val="000000" w:themeColor="text1"/>
        </w:rPr>
        <w:t>a</w:t>
      </w:r>
      <w:r w:rsidR="00021FDD">
        <w:rPr>
          <w:color w:val="000000" w:themeColor="text1"/>
        </w:rPr>
        <w:t> </w:t>
      </w:r>
      <w:r w:rsidRPr="001C3EC8">
        <w:rPr>
          <w:color w:val="000000" w:themeColor="text1"/>
        </w:rPr>
        <w:t xml:space="preserve">jsou rozhodovány insolvenčními odděleními na obchodních úsecích soudů. Vedeny jsou od roku 2010 v rejstříku </w:t>
      </w:r>
      <w:proofErr w:type="spellStart"/>
      <w:r w:rsidRPr="001C3EC8">
        <w:rPr>
          <w:color w:val="000000" w:themeColor="text1"/>
        </w:rPr>
        <w:t>ICm</w:t>
      </w:r>
      <w:proofErr w:type="spellEnd"/>
      <w:r w:rsidRPr="001C3EC8">
        <w:rPr>
          <w:color w:val="000000" w:themeColor="text1"/>
        </w:rPr>
        <w:t>; v dalším průběhu let nedošlo k žádným výrazným změnám ve vedení statistik. Dříve byly zapisovány do rejstříku Cm.</w:t>
      </w:r>
    </w:p>
    <w:p w14:paraId="68C5BE05" w14:textId="77777777" w:rsidR="008430BD" w:rsidRPr="001C3EC8" w:rsidRDefault="008430BD" w:rsidP="008430BD">
      <w:pPr>
        <w:pStyle w:val="Nadpis3"/>
        <w:numPr>
          <w:ilvl w:val="2"/>
          <w:numId w:val="1"/>
        </w:numPr>
        <w:rPr>
          <w:color w:val="000000" w:themeColor="text1"/>
        </w:rPr>
      </w:pPr>
      <w:bookmarkStart w:id="677" w:name="_Toc75952119"/>
      <w:r w:rsidRPr="001C3EC8">
        <w:rPr>
          <w:color w:val="000000" w:themeColor="text1"/>
        </w:rPr>
        <w:t>Délka řízení</w:t>
      </w:r>
      <w:bookmarkEnd w:id="677"/>
    </w:p>
    <w:p w14:paraId="33A0DE1B" w14:textId="67ACBC53" w:rsidR="00B07E76" w:rsidRDefault="008430BD" w:rsidP="008430BD">
      <w:pPr>
        <w:rPr>
          <w:color w:val="000000" w:themeColor="text1"/>
        </w:rPr>
      </w:pPr>
      <w:r w:rsidRPr="001C3EC8">
        <w:rPr>
          <w:color w:val="000000" w:themeColor="text1"/>
        </w:rPr>
        <w:t xml:space="preserve">Uvádíme délky řízení v kalendářních dnech ode dne nápadu do dne konečného vyřízení soudem </w:t>
      </w:r>
      <w:r w:rsidR="000C3B1E">
        <w:rPr>
          <w:color w:val="000000" w:themeColor="text1"/>
        </w:rPr>
        <w:t>I. stupně</w:t>
      </w:r>
      <w:r w:rsidRPr="001C3EC8">
        <w:rPr>
          <w:color w:val="000000" w:themeColor="text1"/>
        </w:rPr>
        <w:t xml:space="preserve"> zjištěné ze statistických listů. Délky řízení sledujeme až od roku 2011, protože, jak už jsme uvedli v úvodu této kapitoly, první rok nové věci do rejstříku </w:t>
      </w:r>
      <w:proofErr w:type="spellStart"/>
      <w:r w:rsidRPr="001C3EC8">
        <w:rPr>
          <w:color w:val="000000" w:themeColor="text1"/>
        </w:rPr>
        <w:t>ICm</w:t>
      </w:r>
      <w:proofErr w:type="spellEnd"/>
      <w:r w:rsidRPr="001C3EC8">
        <w:rPr>
          <w:color w:val="000000" w:themeColor="text1"/>
        </w:rPr>
        <w:t xml:space="preserve"> na soudy přicházely a pravomocně vyřízené věci buď nejsou žádné, nebo jich je velmi málo.</w:t>
      </w:r>
    </w:p>
    <w:p w14:paraId="7B3169B4" w14:textId="2DFBE585" w:rsidR="008430BD" w:rsidRPr="001C3EC8" w:rsidRDefault="008430BD" w:rsidP="008430BD">
      <w:pPr>
        <w:pStyle w:val="Podnadpis"/>
        <w:rPr>
          <w:color w:val="000000" w:themeColor="text1"/>
          <w:highlight w:val="yellow"/>
        </w:rPr>
      </w:pPr>
      <w:bookmarkStart w:id="678" w:name="_Toc7595225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78</w:t>
      </w:r>
      <w:r w:rsidRPr="001C3EC8">
        <w:rPr>
          <w:noProof/>
          <w:color w:val="000000" w:themeColor="text1"/>
        </w:rPr>
        <w:fldChar w:fldCharType="end"/>
      </w:r>
      <w:r w:rsidRPr="001C3EC8">
        <w:rPr>
          <w:color w:val="000000" w:themeColor="text1"/>
        </w:rPr>
        <w:t>: KS – délka incidenčních sporů řízení v letech 2011–2020</w:t>
      </w:r>
      <w:bookmarkEnd w:id="678"/>
    </w:p>
    <w:p w14:paraId="31B10A70"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741B4A97" wp14:editId="56097139">
            <wp:extent cx="5114925" cy="3743325"/>
            <wp:effectExtent l="0" t="0" r="0"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FEA41D4" w14:textId="05F63416" w:rsidR="008430BD" w:rsidRPr="001C3EC8" w:rsidRDefault="008430BD" w:rsidP="008430BD">
      <w:pPr>
        <w:pStyle w:val="OdstavecASR"/>
        <w:rPr>
          <w:color w:val="000000" w:themeColor="text1"/>
        </w:rPr>
      </w:pPr>
      <w:r w:rsidRPr="001C3EC8">
        <w:rPr>
          <w:color w:val="000000" w:themeColor="text1"/>
        </w:rPr>
        <w:t xml:space="preserve">Graf ukazuje, že délka řízení velmi prudce rostla v letech 2011 až 2015. To je logické, neboť šlo o nový rejstřík pro zápis incidenčních sporů </w:t>
      </w:r>
      <w:r w:rsidR="00021FDD" w:rsidRPr="001C3EC8">
        <w:rPr>
          <w:color w:val="000000" w:themeColor="text1"/>
        </w:rPr>
        <w:t>a</w:t>
      </w:r>
      <w:r w:rsidR="00021FDD">
        <w:rPr>
          <w:color w:val="000000" w:themeColor="text1"/>
        </w:rPr>
        <w:t> </w:t>
      </w:r>
      <w:r w:rsidRPr="001C3EC8">
        <w:rPr>
          <w:color w:val="000000" w:themeColor="text1"/>
        </w:rPr>
        <w:t xml:space="preserve">do statistik se nejdříve dostaly především věci vyřízené rychleji, než je v dané agendě běžné. V letech 2015 až 2017 se délka řízení stabilizovala, nicméně v roce 2018 došlo k nárůstu </w:t>
      </w:r>
      <w:r w:rsidR="00021FDD" w:rsidRPr="001C3EC8">
        <w:rPr>
          <w:color w:val="000000" w:themeColor="text1"/>
        </w:rPr>
        <w:t>a</w:t>
      </w:r>
      <w:r w:rsidR="00021FDD">
        <w:rPr>
          <w:color w:val="000000" w:themeColor="text1"/>
        </w:rPr>
        <w:t> </w:t>
      </w:r>
      <w:r w:rsidRPr="001C3EC8">
        <w:rPr>
          <w:color w:val="000000" w:themeColor="text1"/>
        </w:rPr>
        <w:t xml:space="preserve">v roce 2019 opět k poklesu. V roce 2020 opět délky řízení klesaly. Zdá se, že tedy v roce 2018 nastal zlom (změna trendu). Je zajímavé, že medián klesl prudce, </w:t>
      </w:r>
      <w:r w:rsidRPr="001C3EC8">
        <w:rPr>
          <w:color w:val="000000" w:themeColor="text1"/>
        </w:rPr>
        <w:lastRenderedPageBreak/>
        <w:t xml:space="preserve">zatímco průměr </w:t>
      </w:r>
      <w:r w:rsidR="00021FDD" w:rsidRPr="001C3EC8">
        <w:rPr>
          <w:color w:val="000000" w:themeColor="text1"/>
        </w:rPr>
        <w:t>a</w:t>
      </w:r>
      <w:r w:rsidR="00021FDD">
        <w:rPr>
          <w:color w:val="000000" w:themeColor="text1"/>
        </w:rPr>
        <w:t> </w:t>
      </w:r>
      <w:r w:rsidRPr="001C3EC8">
        <w:rPr>
          <w:color w:val="000000" w:themeColor="text1"/>
        </w:rPr>
        <w:t>percentil</w:t>
      </w:r>
      <w:r w:rsidR="00021FDD">
        <w:rPr>
          <w:color w:val="000000" w:themeColor="text1"/>
        </w:rPr>
        <w:t> </w:t>
      </w:r>
      <w:r w:rsidRPr="001C3EC8">
        <w:rPr>
          <w:color w:val="000000" w:themeColor="text1"/>
        </w:rPr>
        <w:t>90 stagnoval</w:t>
      </w:r>
      <w:r w:rsidR="00FE43FA" w:rsidRPr="001C3EC8">
        <w:rPr>
          <w:color w:val="000000" w:themeColor="text1"/>
        </w:rPr>
        <w:t>y</w:t>
      </w:r>
      <w:r w:rsidR="00D406F2" w:rsidRPr="001C3EC8">
        <w:rPr>
          <w:color w:val="000000" w:themeColor="text1"/>
        </w:rPr>
        <w:t>.</w:t>
      </w:r>
      <w:r w:rsidRPr="001C3EC8">
        <w:rPr>
          <w:color w:val="000000" w:themeColor="text1"/>
        </w:rPr>
        <w:t xml:space="preserve"> To naznačuje, že </w:t>
      </w:r>
      <w:r w:rsidR="002F68E3" w:rsidRPr="001C3EC8">
        <w:rPr>
          <w:color w:val="000000" w:themeColor="text1"/>
        </w:rPr>
        <w:t>zatímco</w:t>
      </w:r>
      <w:r w:rsidRPr="001C3EC8">
        <w:rPr>
          <w:color w:val="000000" w:themeColor="text1"/>
        </w:rPr>
        <w:t xml:space="preserve"> běžné věci se vyřizoval</w:t>
      </w:r>
      <w:r w:rsidR="00FE43FA" w:rsidRPr="001C3EC8">
        <w:rPr>
          <w:color w:val="000000" w:themeColor="text1"/>
        </w:rPr>
        <w:t>y</w:t>
      </w:r>
      <w:r w:rsidRPr="001C3EC8">
        <w:rPr>
          <w:color w:val="000000" w:themeColor="text1"/>
        </w:rPr>
        <w:t xml:space="preserve"> </w:t>
      </w:r>
      <w:r w:rsidR="002F68E3" w:rsidRPr="001C3EC8">
        <w:rPr>
          <w:color w:val="000000" w:themeColor="text1"/>
        </w:rPr>
        <w:t>plynule, dlouho trvající věci zůstaly nerozhodnuté</w:t>
      </w:r>
      <w:r w:rsidRPr="001C3EC8">
        <w:rPr>
          <w:color w:val="000000" w:themeColor="text1"/>
        </w:rPr>
        <w:t>. Pomyslné „nůžky“ se tedy rozevírají.</w:t>
      </w:r>
    </w:p>
    <w:p w14:paraId="08EC4560" w14:textId="29872EC2" w:rsidR="008430BD" w:rsidRPr="001C3EC8" w:rsidRDefault="008430BD" w:rsidP="008430BD">
      <w:pPr>
        <w:pStyle w:val="OdstavecASR"/>
        <w:rPr>
          <w:color w:val="000000" w:themeColor="text1"/>
        </w:rPr>
      </w:pPr>
      <w:r w:rsidRPr="001C3EC8">
        <w:rPr>
          <w:color w:val="000000" w:themeColor="text1"/>
        </w:rPr>
        <w:t xml:space="preserve"> Je třeba se podívat na data z dalších části (vyřizování věcí,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aby bylo možné </w:t>
      </w:r>
      <w:r w:rsidR="002F68E3" w:rsidRPr="001C3EC8">
        <w:rPr>
          <w:color w:val="000000" w:themeColor="text1"/>
        </w:rPr>
        <w:t xml:space="preserve">vyvodit </w:t>
      </w:r>
      <w:r w:rsidRPr="001C3EC8">
        <w:rPr>
          <w:color w:val="000000" w:themeColor="text1"/>
        </w:rPr>
        <w:t xml:space="preserve">závěry </w:t>
      </w:r>
      <w:r w:rsidR="00021FDD" w:rsidRPr="001C3EC8">
        <w:rPr>
          <w:color w:val="000000" w:themeColor="text1"/>
        </w:rPr>
        <w:t>o</w:t>
      </w:r>
      <w:r w:rsidR="00021FDD">
        <w:rPr>
          <w:color w:val="000000" w:themeColor="text1"/>
        </w:rPr>
        <w:t> </w:t>
      </w:r>
      <w:r w:rsidRPr="001C3EC8">
        <w:rPr>
          <w:color w:val="000000" w:themeColor="text1"/>
        </w:rPr>
        <w:t xml:space="preserve">trendech vyřizování v této agendě. Již z absolutních hodnot délek řízení je ale </w:t>
      </w:r>
      <w:r w:rsidR="002F68E3" w:rsidRPr="001C3EC8">
        <w:rPr>
          <w:color w:val="000000" w:themeColor="text1"/>
        </w:rPr>
        <w:t>patrné</w:t>
      </w:r>
      <w:r w:rsidRPr="001C3EC8">
        <w:rPr>
          <w:color w:val="000000" w:themeColor="text1"/>
        </w:rPr>
        <w:t xml:space="preserve">, že se jedná </w:t>
      </w:r>
      <w:r w:rsidR="00021FDD" w:rsidRPr="001C3EC8">
        <w:rPr>
          <w:color w:val="000000" w:themeColor="text1"/>
        </w:rPr>
        <w:t>o</w:t>
      </w:r>
      <w:r w:rsidR="00021FDD">
        <w:rPr>
          <w:color w:val="000000" w:themeColor="text1"/>
        </w:rPr>
        <w:t> </w:t>
      </w:r>
      <w:r w:rsidR="002F68E3" w:rsidRPr="001C3EC8">
        <w:rPr>
          <w:color w:val="000000" w:themeColor="text1"/>
        </w:rPr>
        <w:t xml:space="preserve">agendu </w:t>
      </w:r>
      <w:r w:rsidRPr="001C3EC8">
        <w:rPr>
          <w:color w:val="000000" w:themeColor="text1"/>
        </w:rPr>
        <w:t xml:space="preserve">nelehkou </w:t>
      </w:r>
      <w:r w:rsidR="00021FDD" w:rsidRPr="001C3EC8">
        <w:rPr>
          <w:color w:val="000000" w:themeColor="text1"/>
        </w:rPr>
        <w:t>a</w:t>
      </w:r>
      <w:r w:rsidR="00021FDD">
        <w:rPr>
          <w:color w:val="000000" w:themeColor="text1"/>
        </w:rPr>
        <w:t> </w:t>
      </w:r>
      <w:r w:rsidRPr="001C3EC8">
        <w:rPr>
          <w:color w:val="000000" w:themeColor="text1"/>
        </w:rPr>
        <w:t>dlouho trvající.</w:t>
      </w:r>
    </w:p>
    <w:p w14:paraId="6B2E21F4" w14:textId="02B8DE6B" w:rsidR="008430BD" w:rsidRPr="001C3EC8" w:rsidRDefault="008430BD" w:rsidP="008430BD">
      <w:pPr>
        <w:pStyle w:val="Podnadpis"/>
        <w:rPr>
          <w:color w:val="000000" w:themeColor="text1"/>
        </w:rPr>
      </w:pPr>
      <w:bookmarkStart w:id="679" w:name="_Toc43931247"/>
      <w:bookmarkStart w:id="680" w:name="_Toc75952380"/>
      <w:r w:rsidRPr="001C3EC8">
        <w:rPr>
          <w:color w:val="000000" w:themeColor="text1"/>
        </w:rPr>
        <w:t xml:space="preserve">Tabulka </w:t>
      </w:r>
      <w:r w:rsidRPr="001C3EC8">
        <w:rPr>
          <w:noProof/>
          <w:color w:val="000000" w:themeColor="text1"/>
        </w:rPr>
        <w:fldChar w:fldCharType="begin"/>
      </w:r>
      <w:r w:rsidRPr="001C3EC8">
        <w:rPr>
          <w:noProof/>
          <w:color w:val="000000" w:themeColor="text1"/>
        </w:rPr>
        <w:instrText xml:space="preserve"> SEQ Tabulka \* ARABIC </w:instrText>
      </w:r>
      <w:r w:rsidRPr="001C3EC8">
        <w:rPr>
          <w:noProof/>
          <w:color w:val="000000" w:themeColor="text1"/>
        </w:rPr>
        <w:fldChar w:fldCharType="separate"/>
      </w:r>
      <w:r w:rsidR="009C575D">
        <w:rPr>
          <w:noProof/>
          <w:color w:val="000000" w:themeColor="text1"/>
        </w:rPr>
        <w:t>77</w:t>
      </w:r>
      <w:r w:rsidRPr="001C3EC8">
        <w:rPr>
          <w:noProof/>
          <w:color w:val="000000" w:themeColor="text1"/>
        </w:rPr>
        <w:fldChar w:fldCharType="end"/>
      </w:r>
      <w:r w:rsidRPr="001C3EC8">
        <w:rPr>
          <w:color w:val="000000" w:themeColor="text1"/>
        </w:rPr>
        <w:t>: KS – délky incidenčních sporů dle soudů</w:t>
      </w:r>
      <w:bookmarkEnd w:id="679"/>
      <w:bookmarkEnd w:id="680"/>
    </w:p>
    <w:tbl>
      <w:tblPr>
        <w:tblW w:w="8960" w:type="dxa"/>
        <w:tblCellMar>
          <w:left w:w="70" w:type="dxa"/>
          <w:right w:w="70" w:type="dxa"/>
        </w:tblCellMar>
        <w:tblLook w:val="04A0" w:firstRow="1" w:lastRow="0" w:firstColumn="1" w:lastColumn="0" w:noHBand="0" w:noVBand="1"/>
      </w:tblPr>
      <w:tblGrid>
        <w:gridCol w:w="2480"/>
        <w:gridCol w:w="802"/>
        <w:gridCol w:w="1233"/>
        <w:gridCol w:w="802"/>
        <w:gridCol w:w="1233"/>
        <w:gridCol w:w="1177"/>
        <w:gridCol w:w="1233"/>
      </w:tblGrid>
      <w:tr w:rsidR="008430BD" w:rsidRPr="001C3EC8" w14:paraId="368F8180" w14:textId="77777777" w:rsidTr="00E077F3">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3D982AD" w14:textId="1470ED2E"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6480" w:type="dxa"/>
            <w:gridSpan w:val="6"/>
            <w:tcBorders>
              <w:top w:val="double" w:sz="6" w:space="0" w:color="auto"/>
              <w:left w:val="nil"/>
              <w:bottom w:val="nil"/>
              <w:right w:val="nil"/>
            </w:tcBorders>
            <w:shd w:val="clear" w:color="auto" w:fill="auto"/>
            <w:noWrap/>
            <w:vAlign w:val="center"/>
            <w:hideMark/>
          </w:tcPr>
          <w:p w14:paraId="2A771C9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Délka řízení</w:t>
            </w:r>
          </w:p>
        </w:tc>
      </w:tr>
      <w:tr w:rsidR="008430BD" w:rsidRPr="001C3EC8" w14:paraId="779852E3" w14:textId="77777777" w:rsidTr="00E077F3">
        <w:trPr>
          <w:trHeight w:val="330"/>
        </w:trPr>
        <w:tc>
          <w:tcPr>
            <w:tcW w:w="2480" w:type="dxa"/>
            <w:vMerge/>
            <w:tcBorders>
              <w:top w:val="double" w:sz="6" w:space="0" w:color="auto"/>
              <w:left w:val="nil"/>
              <w:bottom w:val="double" w:sz="6" w:space="0" w:color="000000"/>
              <w:right w:val="nil"/>
            </w:tcBorders>
            <w:vAlign w:val="center"/>
            <w:hideMark/>
          </w:tcPr>
          <w:p w14:paraId="3A67E664"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2035" w:type="dxa"/>
            <w:gridSpan w:val="2"/>
            <w:tcBorders>
              <w:top w:val="nil"/>
              <w:left w:val="nil"/>
              <w:bottom w:val="double" w:sz="6" w:space="0" w:color="auto"/>
              <w:right w:val="nil"/>
            </w:tcBorders>
            <w:shd w:val="clear" w:color="auto" w:fill="auto"/>
            <w:noWrap/>
            <w:vAlign w:val="center"/>
            <w:hideMark/>
          </w:tcPr>
          <w:p w14:paraId="3EFE4A7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Průměr</w:t>
            </w:r>
          </w:p>
        </w:tc>
        <w:tc>
          <w:tcPr>
            <w:tcW w:w="203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C7BA3A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Medián</w:t>
            </w:r>
          </w:p>
        </w:tc>
        <w:tc>
          <w:tcPr>
            <w:tcW w:w="2410" w:type="dxa"/>
            <w:gridSpan w:val="2"/>
            <w:tcBorders>
              <w:top w:val="nil"/>
              <w:left w:val="nil"/>
              <w:bottom w:val="double" w:sz="6" w:space="0" w:color="auto"/>
              <w:right w:val="nil"/>
            </w:tcBorders>
            <w:shd w:val="clear" w:color="auto" w:fill="auto"/>
            <w:noWrap/>
            <w:vAlign w:val="center"/>
            <w:hideMark/>
          </w:tcPr>
          <w:p w14:paraId="6E42112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Percentil 90</w:t>
            </w:r>
          </w:p>
        </w:tc>
      </w:tr>
      <w:tr w:rsidR="008430BD" w:rsidRPr="001C3EC8" w14:paraId="369887D2" w14:textId="77777777" w:rsidTr="00E077F3">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9B0D35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02" w:type="dxa"/>
            <w:tcBorders>
              <w:top w:val="single" w:sz="4" w:space="0" w:color="auto"/>
              <w:left w:val="nil"/>
              <w:bottom w:val="single" w:sz="4" w:space="0" w:color="auto"/>
              <w:right w:val="nil"/>
            </w:tcBorders>
            <w:shd w:val="clear" w:color="auto" w:fill="auto"/>
            <w:noWrap/>
            <w:vAlign w:val="bottom"/>
            <w:hideMark/>
          </w:tcPr>
          <w:p w14:paraId="7FA77FD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676</w:t>
            </w:r>
          </w:p>
        </w:tc>
        <w:tc>
          <w:tcPr>
            <w:tcW w:w="1233" w:type="dxa"/>
            <w:tcBorders>
              <w:top w:val="single" w:sz="4" w:space="0" w:color="auto"/>
              <w:left w:val="nil"/>
              <w:bottom w:val="single" w:sz="4" w:space="0" w:color="auto"/>
              <w:right w:val="nil"/>
            </w:tcBorders>
            <w:shd w:val="clear" w:color="auto" w:fill="auto"/>
            <w:noWrap/>
            <w:vAlign w:val="center"/>
            <w:hideMark/>
          </w:tcPr>
          <w:p w14:paraId="57E0953A" w14:textId="0DCFD89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5DC9B36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550</w:t>
            </w:r>
          </w:p>
        </w:tc>
        <w:tc>
          <w:tcPr>
            <w:tcW w:w="1233" w:type="dxa"/>
            <w:tcBorders>
              <w:top w:val="nil"/>
              <w:left w:val="nil"/>
              <w:bottom w:val="single" w:sz="4" w:space="0" w:color="auto"/>
              <w:right w:val="single" w:sz="4" w:space="0" w:color="auto"/>
            </w:tcBorders>
            <w:shd w:val="clear" w:color="auto" w:fill="auto"/>
            <w:noWrap/>
            <w:vAlign w:val="center"/>
            <w:hideMark/>
          </w:tcPr>
          <w:p w14:paraId="1DF44E63" w14:textId="298B197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+12 </w:t>
            </w:r>
            <w:r w:rsidR="00B07E76">
              <w:rPr>
                <w:rFonts w:eastAsia="Times New Roman"/>
                <w:color w:val="000000" w:themeColor="text1"/>
                <w:sz w:val="20"/>
                <w:szCs w:val="20"/>
                <w:lang w:eastAsia="cs-CZ"/>
              </w:rPr>
              <w:t>%</w:t>
            </w:r>
          </w:p>
        </w:tc>
        <w:tc>
          <w:tcPr>
            <w:tcW w:w="1177" w:type="dxa"/>
            <w:tcBorders>
              <w:top w:val="single" w:sz="4" w:space="0" w:color="auto"/>
              <w:left w:val="nil"/>
              <w:bottom w:val="single" w:sz="4" w:space="0" w:color="auto"/>
              <w:right w:val="nil"/>
            </w:tcBorders>
            <w:shd w:val="clear" w:color="auto" w:fill="auto"/>
            <w:noWrap/>
            <w:vAlign w:val="bottom"/>
            <w:hideMark/>
          </w:tcPr>
          <w:p w14:paraId="406FE8E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1 351</w:t>
            </w:r>
          </w:p>
        </w:tc>
        <w:tc>
          <w:tcPr>
            <w:tcW w:w="1233" w:type="dxa"/>
            <w:tcBorders>
              <w:top w:val="single" w:sz="4" w:space="0" w:color="auto"/>
              <w:left w:val="nil"/>
              <w:bottom w:val="single" w:sz="4" w:space="0" w:color="auto"/>
              <w:right w:val="nil"/>
            </w:tcBorders>
            <w:shd w:val="clear" w:color="auto" w:fill="auto"/>
            <w:noWrap/>
            <w:vAlign w:val="center"/>
            <w:hideMark/>
          </w:tcPr>
          <w:p w14:paraId="2045F36E" w14:textId="0FC5BBC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r>
      <w:tr w:rsidR="008430BD" w:rsidRPr="001C3EC8" w14:paraId="38FEE1D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49F5A5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02" w:type="dxa"/>
            <w:tcBorders>
              <w:top w:val="nil"/>
              <w:left w:val="nil"/>
              <w:bottom w:val="single" w:sz="4" w:space="0" w:color="auto"/>
              <w:right w:val="nil"/>
            </w:tcBorders>
            <w:shd w:val="clear" w:color="auto" w:fill="auto"/>
            <w:noWrap/>
            <w:vAlign w:val="bottom"/>
            <w:hideMark/>
          </w:tcPr>
          <w:p w14:paraId="405A317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412</w:t>
            </w:r>
          </w:p>
        </w:tc>
        <w:tc>
          <w:tcPr>
            <w:tcW w:w="1233" w:type="dxa"/>
            <w:tcBorders>
              <w:top w:val="nil"/>
              <w:left w:val="nil"/>
              <w:bottom w:val="single" w:sz="4" w:space="0" w:color="auto"/>
              <w:right w:val="nil"/>
            </w:tcBorders>
            <w:shd w:val="clear" w:color="auto" w:fill="auto"/>
            <w:noWrap/>
            <w:vAlign w:val="center"/>
            <w:hideMark/>
          </w:tcPr>
          <w:p w14:paraId="5F27BAD4" w14:textId="21E4ABC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12373DB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204</w:t>
            </w:r>
          </w:p>
        </w:tc>
        <w:tc>
          <w:tcPr>
            <w:tcW w:w="1233" w:type="dxa"/>
            <w:tcBorders>
              <w:top w:val="nil"/>
              <w:left w:val="nil"/>
              <w:bottom w:val="single" w:sz="4" w:space="0" w:color="auto"/>
              <w:right w:val="single" w:sz="4" w:space="0" w:color="auto"/>
            </w:tcBorders>
            <w:shd w:val="clear" w:color="auto" w:fill="auto"/>
            <w:noWrap/>
            <w:vAlign w:val="center"/>
            <w:hideMark/>
          </w:tcPr>
          <w:p w14:paraId="6C487CFC" w14:textId="2D34DB0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1177" w:type="dxa"/>
            <w:tcBorders>
              <w:top w:val="nil"/>
              <w:left w:val="nil"/>
              <w:bottom w:val="single" w:sz="4" w:space="0" w:color="auto"/>
              <w:right w:val="nil"/>
            </w:tcBorders>
            <w:shd w:val="clear" w:color="auto" w:fill="auto"/>
            <w:noWrap/>
            <w:vAlign w:val="bottom"/>
            <w:hideMark/>
          </w:tcPr>
          <w:p w14:paraId="33EFBD0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1 072</w:t>
            </w:r>
          </w:p>
        </w:tc>
        <w:tc>
          <w:tcPr>
            <w:tcW w:w="1233" w:type="dxa"/>
            <w:tcBorders>
              <w:top w:val="nil"/>
              <w:left w:val="nil"/>
              <w:bottom w:val="single" w:sz="4" w:space="0" w:color="auto"/>
              <w:right w:val="nil"/>
            </w:tcBorders>
            <w:shd w:val="clear" w:color="auto" w:fill="auto"/>
            <w:noWrap/>
            <w:vAlign w:val="center"/>
            <w:hideMark/>
          </w:tcPr>
          <w:p w14:paraId="0F332AD5" w14:textId="7C945AC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-18 </w:t>
            </w:r>
            <w:r w:rsidR="00B07E76">
              <w:rPr>
                <w:rFonts w:eastAsia="Times New Roman"/>
                <w:color w:val="000000" w:themeColor="text1"/>
                <w:sz w:val="20"/>
                <w:szCs w:val="20"/>
                <w:lang w:eastAsia="cs-CZ"/>
              </w:rPr>
              <w:t>%</w:t>
            </w:r>
          </w:p>
        </w:tc>
      </w:tr>
      <w:tr w:rsidR="008430BD" w:rsidRPr="001C3EC8" w14:paraId="41EF6145"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252A618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02" w:type="dxa"/>
            <w:tcBorders>
              <w:top w:val="nil"/>
              <w:left w:val="nil"/>
              <w:bottom w:val="single" w:sz="4" w:space="0" w:color="auto"/>
              <w:right w:val="nil"/>
            </w:tcBorders>
            <w:shd w:val="clear" w:color="auto" w:fill="auto"/>
            <w:noWrap/>
            <w:vAlign w:val="bottom"/>
            <w:hideMark/>
          </w:tcPr>
          <w:p w14:paraId="65ED286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252</w:t>
            </w:r>
          </w:p>
        </w:tc>
        <w:tc>
          <w:tcPr>
            <w:tcW w:w="1233" w:type="dxa"/>
            <w:tcBorders>
              <w:top w:val="nil"/>
              <w:left w:val="nil"/>
              <w:bottom w:val="single" w:sz="4" w:space="0" w:color="auto"/>
              <w:right w:val="nil"/>
            </w:tcBorders>
            <w:shd w:val="clear" w:color="auto" w:fill="auto"/>
            <w:noWrap/>
            <w:vAlign w:val="center"/>
            <w:hideMark/>
          </w:tcPr>
          <w:p w14:paraId="5633CA83" w14:textId="5011E18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-33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1BECEE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141</w:t>
            </w:r>
          </w:p>
        </w:tc>
        <w:tc>
          <w:tcPr>
            <w:tcW w:w="1233" w:type="dxa"/>
            <w:tcBorders>
              <w:top w:val="nil"/>
              <w:left w:val="nil"/>
              <w:bottom w:val="single" w:sz="4" w:space="0" w:color="auto"/>
              <w:right w:val="single" w:sz="4" w:space="0" w:color="auto"/>
            </w:tcBorders>
            <w:shd w:val="clear" w:color="auto" w:fill="auto"/>
            <w:noWrap/>
            <w:vAlign w:val="center"/>
            <w:hideMark/>
          </w:tcPr>
          <w:p w14:paraId="6B7E5988" w14:textId="636DD52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c>
          <w:tcPr>
            <w:tcW w:w="1177" w:type="dxa"/>
            <w:tcBorders>
              <w:top w:val="nil"/>
              <w:left w:val="nil"/>
              <w:bottom w:val="single" w:sz="4" w:space="0" w:color="auto"/>
              <w:right w:val="nil"/>
            </w:tcBorders>
            <w:shd w:val="clear" w:color="auto" w:fill="auto"/>
            <w:noWrap/>
            <w:vAlign w:val="bottom"/>
            <w:hideMark/>
          </w:tcPr>
          <w:p w14:paraId="693DAFA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663</w:t>
            </w:r>
          </w:p>
        </w:tc>
        <w:tc>
          <w:tcPr>
            <w:tcW w:w="1233" w:type="dxa"/>
            <w:tcBorders>
              <w:top w:val="nil"/>
              <w:left w:val="nil"/>
              <w:bottom w:val="single" w:sz="4" w:space="0" w:color="auto"/>
              <w:right w:val="nil"/>
            </w:tcBorders>
            <w:shd w:val="clear" w:color="auto" w:fill="auto"/>
            <w:noWrap/>
            <w:vAlign w:val="center"/>
            <w:hideMark/>
          </w:tcPr>
          <w:p w14:paraId="7E87FC84" w14:textId="476E002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r>
      <w:tr w:rsidR="008430BD" w:rsidRPr="001C3EC8" w14:paraId="2C18E20C"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7735DB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02" w:type="dxa"/>
            <w:tcBorders>
              <w:top w:val="nil"/>
              <w:left w:val="nil"/>
              <w:bottom w:val="single" w:sz="4" w:space="0" w:color="auto"/>
              <w:right w:val="nil"/>
            </w:tcBorders>
            <w:shd w:val="clear" w:color="auto" w:fill="auto"/>
            <w:noWrap/>
            <w:vAlign w:val="bottom"/>
            <w:hideMark/>
          </w:tcPr>
          <w:p w14:paraId="3FDF4A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270</w:t>
            </w:r>
          </w:p>
        </w:tc>
        <w:tc>
          <w:tcPr>
            <w:tcW w:w="1233" w:type="dxa"/>
            <w:tcBorders>
              <w:top w:val="nil"/>
              <w:left w:val="nil"/>
              <w:bottom w:val="single" w:sz="4" w:space="0" w:color="auto"/>
              <w:right w:val="nil"/>
            </w:tcBorders>
            <w:shd w:val="clear" w:color="auto" w:fill="auto"/>
            <w:noWrap/>
            <w:vAlign w:val="center"/>
            <w:hideMark/>
          </w:tcPr>
          <w:p w14:paraId="7448C7A5" w14:textId="1AEB50A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271FF55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135</w:t>
            </w:r>
          </w:p>
        </w:tc>
        <w:tc>
          <w:tcPr>
            <w:tcW w:w="1233" w:type="dxa"/>
            <w:tcBorders>
              <w:top w:val="nil"/>
              <w:left w:val="nil"/>
              <w:bottom w:val="single" w:sz="4" w:space="0" w:color="auto"/>
              <w:right w:val="single" w:sz="4" w:space="0" w:color="auto"/>
            </w:tcBorders>
            <w:shd w:val="clear" w:color="auto" w:fill="auto"/>
            <w:noWrap/>
            <w:vAlign w:val="center"/>
            <w:hideMark/>
          </w:tcPr>
          <w:p w14:paraId="1013A967" w14:textId="38D9EC3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+8 </w:t>
            </w:r>
            <w:r w:rsidR="00B07E76">
              <w:rPr>
                <w:rFonts w:eastAsia="Times New Roman"/>
                <w:color w:val="000000" w:themeColor="text1"/>
                <w:sz w:val="20"/>
                <w:szCs w:val="20"/>
                <w:lang w:eastAsia="cs-CZ"/>
              </w:rPr>
              <w:t>%</w:t>
            </w:r>
          </w:p>
        </w:tc>
        <w:tc>
          <w:tcPr>
            <w:tcW w:w="1177" w:type="dxa"/>
            <w:tcBorders>
              <w:top w:val="nil"/>
              <w:left w:val="nil"/>
              <w:bottom w:val="single" w:sz="4" w:space="0" w:color="auto"/>
              <w:right w:val="nil"/>
            </w:tcBorders>
            <w:shd w:val="clear" w:color="auto" w:fill="auto"/>
            <w:noWrap/>
            <w:vAlign w:val="bottom"/>
            <w:hideMark/>
          </w:tcPr>
          <w:p w14:paraId="5D56A0F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783</w:t>
            </w:r>
          </w:p>
        </w:tc>
        <w:tc>
          <w:tcPr>
            <w:tcW w:w="1233" w:type="dxa"/>
            <w:tcBorders>
              <w:top w:val="nil"/>
              <w:left w:val="nil"/>
              <w:bottom w:val="single" w:sz="4" w:space="0" w:color="auto"/>
              <w:right w:val="nil"/>
            </w:tcBorders>
            <w:shd w:val="clear" w:color="auto" w:fill="auto"/>
            <w:noWrap/>
            <w:vAlign w:val="center"/>
            <w:hideMark/>
          </w:tcPr>
          <w:p w14:paraId="5F6B228A" w14:textId="3985877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+55 </w:t>
            </w:r>
            <w:r w:rsidR="00B07E76">
              <w:rPr>
                <w:rFonts w:eastAsia="Times New Roman"/>
                <w:color w:val="000000" w:themeColor="text1"/>
                <w:sz w:val="20"/>
                <w:szCs w:val="20"/>
                <w:lang w:eastAsia="cs-CZ"/>
              </w:rPr>
              <w:t>%</w:t>
            </w:r>
          </w:p>
        </w:tc>
      </w:tr>
      <w:tr w:rsidR="008430BD" w:rsidRPr="001C3EC8" w14:paraId="7748DFE4"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51A4BF0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02" w:type="dxa"/>
            <w:tcBorders>
              <w:top w:val="nil"/>
              <w:left w:val="nil"/>
              <w:bottom w:val="single" w:sz="4" w:space="0" w:color="auto"/>
              <w:right w:val="nil"/>
            </w:tcBorders>
            <w:shd w:val="clear" w:color="auto" w:fill="auto"/>
            <w:noWrap/>
            <w:vAlign w:val="bottom"/>
            <w:hideMark/>
          </w:tcPr>
          <w:p w14:paraId="3840384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354</w:t>
            </w:r>
          </w:p>
        </w:tc>
        <w:tc>
          <w:tcPr>
            <w:tcW w:w="1233" w:type="dxa"/>
            <w:tcBorders>
              <w:top w:val="nil"/>
              <w:left w:val="nil"/>
              <w:bottom w:val="single" w:sz="4" w:space="0" w:color="auto"/>
              <w:right w:val="nil"/>
            </w:tcBorders>
            <w:shd w:val="clear" w:color="auto" w:fill="auto"/>
            <w:noWrap/>
            <w:vAlign w:val="center"/>
            <w:hideMark/>
          </w:tcPr>
          <w:p w14:paraId="12BB7DAB" w14:textId="1C07763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3DD0D15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195</w:t>
            </w:r>
          </w:p>
        </w:tc>
        <w:tc>
          <w:tcPr>
            <w:tcW w:w="1233" w:type="dxa"/>
            <w:tcBorders>
              <w:top w:val="nil"/>
              <w:left w:val="nil"/>
              <w:bottom w:val="single" w:sz="4" w:space="0" w:color="auto"/>
              <w:right w:val="single" w:sz="4" w:space="0" w:color="auto"/>
            </w:tcBorders>
            <w:shd w:val="clear" w:color="auto" w:fill="auto"/>
            <w:noWrap/>
            <w:vAlign w:val="center"/>
            <w:hideMark/>
          </w:tcPr>
          <w:p w14:paraId="0EFC476F" w14:textId="49C517F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c>
          <w:tcPr>
            <w:tcW w:w="1177" w:type="dxa"/>
            <w:tcBorders>
              <w:top w:val="nil"/>
              <w:left w:val="nil"/>
              <w:bottom w:val="single" w:sz="4" w:space="0" w:color="auto"/>
              <w:right w:val="nil"/>
            </w:tcBorders>
            <w:shd w:val="clear" w:color="auto" w:fill="auto"/>
            <w:noWrap/>
            <w:vAlign w:val="bottom"/>
            <w:hideMark/>
          </w:tcPr>
          <w:p w14:paraId="7F4D29B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970</w:t>
            </w:r>
          </w:p>
        </w:tc>
        <w:tc>
          <w:tcPr>
            <w:tcW w:w="1233" w:type="dxa"/>
            <w:tcBorders>
              <w:top w:val="nil"/>
              <w:left w:val="nil"/>
              <w:bottom w:val="single" w:sz="4" w:space="0" w:color="auto"/>
              <w:right w:val="nil"/>
            </w:tcBorders>
            <w:shd w:val="clear" w:color="auto" w:fill="auto"/>
            <w:noWrap/>
            <w:vAlign w:val="center"/>
            <w:hideMark/>
          </w:tcPr>
          <w:p w14:paraId="4E463AC1" w14:textId="7A4964E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1F5BA6F3"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41C22F9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02" w:type="dxa"/>
            <w:tcBorders>
              <w:top w:val="nil"/>
              <w:left w:val="nil"/>
              <w:bottom w:val="single" w:sz="4" w:space="0" w:color="auto"/>
              <w:right w:val="nil"/>
            </w:tcBorders>
            <w:shd w:val="clear" w:color="auto" w:fill="auto"/>
            <w:noWrap/>
            <w:vAlign w:val="bottom"/>
            <w:hideMark/>
          </w:tcPr>
          <w:p w14:paraId="51A917D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405</w:t>
            </w:r>
          </w:p>
        </w:tc>
        <w:tc>
          <w:tcPr>
            <w:tcW w:w="1233" w:type="dxa"/>
            <w:tcBorders>
              <w:top w:val="nil"/>
              <w:left w:val="nil"/>
              <w:bottom w:val="single" w:sz="4" w:space="0" w:color="auto"/>
              <w:right w:val="nil"/>
            </w:tcBorders>
            <w:shd w:val="clear" w:color="auto" w:fill="auto"/>
            <w:noWrap/>
            <w:vAlign w:val="center"/>
            <w:hideMark/>
          </w:tcPr>
          <w:p w14:paraId="5F0548DC" w14:textId="45297FB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-13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68C8F60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175</w:t>
            </w:r>
          </w:p>
        </w:tc>
        <w:tc>
          <w:tcPr>
            <w:tcW w:w="1233" w:type="dxa"/>
            <w:tcBorders>
              <w:top w:val="nil"/>
              <w:left w:val="nil"/>
              <w:bottom w:val="single" w:sz="4" w:space="0" w:color="auto"/>
              <w:right w:val="single" w:sz="4" w:space="0" w:color="auto"/>
            </w:tcBorders>
            <w:shd w:val="clear" w:color="auto" w:fill="auto"/>
            <w:noWrap/>
            <w:vAlign w:val="center"/>
            <w:hideMark/>
          </w:tcPr>
          <w:p w14:paraId="0092C5FB" w14:textId="34F2029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-35 </w:t>
            </w:r>
            <w:r w:rsidR="00B07E76">
              <w:rPr>
                <w:rFonts w:eastAsia="Times New Roman"/>
                <w:color w:val="000000" w:themeColor="text1"/>
                <w:sz w:val="20"/>
                <w:szCs w:val="20"/>
                <w:lang w:eastAsia="cs-CZ"/>
              </w:rPr>
              <w:t>%</w:t>
            </w:r>
          </w:p>
        </w:tc>
        <w:tc>
          <w:tcPr>
            <w:tcW w:w="1177" w:type="dxa"/>
            <w:tcBorders>
              <w:top w:val="nil"/>
              <w:left w:val="nil"/>
              <w:bottom w:val="single" w:sz="4" w:space="0" w:color="auto"/>
              <w:right w:val="nil"/>
            </w:tcBorders>
            <w:shd w:val="clear" w:color="auto" w:fill="auto"/>
            <w:noWrap/>
            <w:vAlign w:val="bottom"/>
            <w:hideMark/>
          </w:tcPr>
          <w:p w14:paraId="19C1EF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1 220</w:t>
            </w:r>
          </w:p>
        </w:tc>
        <w:tc>
          <w:tcPr>
            <w:tcW w:w="1233" w:type="dxa"/>
            <w:tcBorders>
              <w:top w:val="nil"/>
              <w:left w:val="nil"/>
              <w:bottom w:val="single" w:sz="4" w:space="0" w:color="auto"/>
              <w:right w:val="nil"/>
            </w:tcBorders>
            <w:shd w:val="clear" w:color="auto" w:fill="auto"/>
            <w:noWrap/>
            <w:vAlign w:val="center"/>
            <w:hideMark/>
          </w:tcPr>
          <w:p w14:paraId="400BCA46" w14:textId="151243D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-10 </w:t>
            </w:r>
            <w:r w:rsidR="00B07E76">
              <w:rPr>
                <w:rFonts w:eastAsia="Times New Roman"/>
                <w:color w:val="000000" w:themeColor="text1"/>
                <w:sz w:val="20"/>
                <w:szCs w:val="20"/>
                <w:lang w:eastAsia="cs-CZ"/>
              </w:rPr>
              <w:t>%</w:t>
            </w:r>
          </w:p>
        </w:tc>
      </w:tr>
      <w:tr w:rsidR="008430BD" w:rsidRPr="001C3EC8" w14:paraId="7D198C72" w14:textId="77777777" w:rsidTr="00E077F3">
        <w:trPr>
          <w:trHeight w:val="315"/>
        </w:trPr>
        <w:tc>
          <w:tcPr>
            <w:tcW w:w="2480" w:type="dxa"/>
            <w:tcBorders>
              <w:top w:val="nil"/>
              <w:left w:val="nil"/>
              <w:bottom w:val="single" w:sz="4" w:space="0" w:color="auto"/>
              <w:right w:val="nil"/>
            </w:tcBorders>
            <w:shd w:val="clear" w:color="auto" w:fill="auto"/>
            <w:noWrap/>
            <w:vAlign w:val="bottom"/>
            <w:hideMark/>
          </w:tcPr>
          <w:p w14:paraId="1A208D6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02" w:type="dxa"/>
            <w:tcBorders>
              <w:top w:val="nil"/>
              <w:left w:val="nil"/>
              <w:bottom w:val="single" w:sz="4" w:space="0" w:color="auto"/>
              <w:right w:val="nil"/>
            </w:tcBorders>
            <w:shd w:val="clear" w:color="auto" w:fill="auto"/>
            <w:noWrap/>
            <w:vAlign w:val="bottom"/>
            <w:hideMark/>
          </w:tcPr>
          <w:p w14:paraId="6DDD42B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734</w:t>
            </w:r>
          </w:p>
        </w:tc>
        <w:tc>
          <w:tcPr>
            <w:tcW w:w="1233" w:type="dxa"/>
            <w:tcBorders>
              <w:top w:val="nil"/>
              <w:left w:val="nil"/>
              <w:bottom w:val="single" w:sz="4" w:space="0" w:color="auto"/>
              <w:right w:val="nil"/>
            </w:tcBorders>
            <w:shd w:val="clear" w:color="auto" w:fill="auto"/>
            <w:noWrap/>
            <w:vAlign w:val="center"/>
            <w:hideMark/>
          </w:tcPr>
          <w:p w14:paraId="5C555D51" w14:textId="50AA589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802" w:type="dxa"/>
            <w:tcBorders>
              <w:top w:val="nil"/>
              <w:left w:val="single" w:sz="4" w:space="0" w:color="auto"/>
              <w:bottom w:val="single" w:sz="4" w:space="0" w:color="auto"/>
              <w:right w:val="nil"/>
            </w:tcBorders>
            <w:shd w:val="clear" w:color="auto" w:fill="auto"/>
            <w:noWrap/>
            <w:vAlign w:val="bottom"/>
            <w:hideMark/>
          </w:tcPr>
          <w:p w14:paraId="51E9C99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703</w:t>
            </w:r>
          </w:p>
        </w:tc>
        <w:tc>
          <w:tcPr>
            <w:tcW w:w="1233" w:type="dxa"/>
            <w:tcBorders>
              <w:top w:val="nil"/>
              <w:left w:val="nil"/>
              <w:bottom w:val="single" w:sz="4" w:space="0" w:color="auto"/>
              <w:right w:val="single" w:sz="4" w:space="0" w:color="auto"/>
            </w:tcBorders>
            <w:shd w:val="clear" w:color="auto" w:fill="auto"/>
            <w:noWrap/>
            <w:vAlign w:val="center"/>
            <w:hideMark/>
          </w:tcPr>
          <w:p w14:paraId="10E66AB0" w14:textId="641B79F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177" w:type="dxa"/>
            <w:tcBorders>
              <w:top w:val="nil"/>
              <w:left w:val="nil"/>
              <w:bottom w:val="single" w:sz="4" w:space="0" w:color="auto"/>
              <w:right w:val="nil"/>
            </w:tcBorders>
            <w:shd w:val="clear" w:color="auto" w:fill="auto"/>
            <w:noWrap/>
            <w:vAlign w:val="bottom"/>
            <w:hideMark/>
          </w:tcPr>
          <w:p w14:paraId="72979F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1 305</w:t>
            </w:r>
          </w:p>
        </w:tc>
        <w:tc>
          <w:tcPr>
            <w:tcW w:w="1233" w:type="dxa"/>
            <w:tcBorders>
              <w:top w:val="nil"/>
              <w:left w:val="nil"/>
              <w:bottom w:val="single" w:sz="4" w:space="0" w:color="auto"/>
              <w:right w:val="nil"/>
            </w:tcBorders>
            <w:shd w:val="clear" w:color="auto" w:fill="auto"/>
            <w:noWrap/>
            <w:vAlign w:val="center"/>
            <w:hideMark/>
          </w:tcPr>
          <w:p w14:paraId="3DCD03DA" w14:textId="30229C0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44DEF72F" w14:textId="77777777" w:rsidTr="00E077F3">
        <w:trPr>
          <w:trHeight w:val="330"/>
        </w:trPr>
        <w:tc>
          <w:tcPr>
            <w:tcW w:w="2480" w:type="dxa"/>
            <w:tcBorders>
              <w:top w:val="nil"/>
              <w:left w:val="nil"/>
              <w:bottom w:val="double" w:sz="6" w:space="0" w:color="auto"/>
              <w:right w:val="nil"/>
            </w:tcBorders>
            <w:shd w:val="clear" w:color="auto" w:fill="auto"/>
            <w:noWrap/>
            <w:vAlign w:val="bottom"/>
            <w:hideMark/>
          </w:tcPr>
          <w:p w14:paraId="582DF1D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02" w:type="dxa"/>
            <w:tcBorders>
              <w:top w:val="nil"/>
              <w:left w:val="nil"/>
              <w:bottom w:val="double" w:sz="6" w:space="0" w:color="auto"/>
              <w:right w:val="nil"/>
            </w:tcBorders>
            <w:shd w:val="clear" w:color="auto" w:fill="auto"/>
            <w:noWrap/>
            <w:vAlign w:val="bottom"/>
            <w:hideMark/>
          </w:tcPr>
          <w:p w14:paraId="75A3ABD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474</w:t>
            </w:r>
          </w:p>
        </w:tc>
        <w:tc>
          <w:tcPr>
            <w:tcW w:w="1233" w:type="dxa"/>
            <w:tcBorders>
              <w:top w:val="nil"/>
              <w:left w:val="nil"/>
              <w:bottom w:val="double" w:sz="6" w:space="0" w:color="auto"/>
              <w:right w:val="nil"/>
            </w:tcBorders>
            <w:shd w:val="clear" w:color="auto" w:fill="auto"/>
            <w:noWrap/>
            <w:vAlign w:val="center"/>
            <w:hideMark/>
          </w:tcPr>
          <w:p w14:paraId="2303E558" w14:textId="352CD5C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802" w:type="dxa"/>
            <w:tcBorders>
              <w:top w:val="nil"/>
              <w:left w:val="single" w:sz="4" w:space="0" w:color="auto"/>
              <w:bottom w:val="double" w:sz="6" w:space="0" w:color="auto"/>
              <w:right w:val="nil"/>
            </w:tcBorders>
            <w:shd w:val="clear" w:color="auto" w:fill="auto"/>
            <w:noWrap/>
            <w:vAlign w:val="bottom"/>
            <w:hideMark/>
          </w:tcPr>
          <w:p w14:paraId="6782283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239</w:t>
            </w:r>
          </w:p>
        </w:tc>
        <w:tc>
          <w:tcPr>
            <w:tcW w:w="1233" w:type="dxa"/>
            <w:tcBorders>
              <w:top w:val="nil"/>
              <w:left w:val="nil"/>
              <w:bottom w:val="double" w:sz="6" w:space="0" w:color="auto"/>
              <w:right w:val="single" w:sz="4" w:space="0" w:color="auto"/>
            </w:tcBorders>
            <w:shd w:val="clear" w:color="auto" w:fill="auto"/>
            <w:noWrap/>
            <w:vAlign w:val="center"/>
            <w:hideMark/>
          </w:tcPr>
          <w:p w14:paraId="074E08F3" w14:textId="018632B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c>
          <w:tcPr>
            <w:tcW w:w="1177" w:type="dxa"/>
            <w:tcBorders>
              <w:top w:val="nil"/>
              <w:left w:val="nil"/>
              <w:bottom w:val="double" w:sz="6" w:space="0" w:color="auto"/>
              <w:right w:val="nil"/>
            </w:tcBorders>
            <w:shd w:val="clear" w:color="auto" w:fill="auto"/>
            <w:noWrap/>
            <w:vAlign w:val="bottom"/>
            <w:hideMark/>
          </w:tcPr>
          <w:p w14:paraId="57B9F78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1 213</w:t>
            </w:r>
          </w:p>
        </w:tc>
        <w:tc>
          <w:tcPr>
            <w:tcW w:w="1233" w:type="dxa"/>
            <w:tcBorders>
              <w:top w:val="nil"/>
              <w:left w:val="nil"/>
              <w:bottom w:val="double" w:sz="6" w:space="0" w:color="auto"/>
              <w:right w:val="nil"/>
            </w:tcBorders>
            <w:shd w:val="clear" w:color="auto" w:fill="auto"/>
            <w:noWrap/>
            <w:vAlign w:val="center"/>
            <w:hideMark/>
          </w:tcPr>
          <w:p w14:paraId="1459675C" w14:textId="0F10E7A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+5 </w:t>
            </w:r>
            <w:r w:rsidR="00B07E76">
              <w:rPr>
                <w:rFonts w:eastAsia="Times New Roman"/>
                <w:color w:val="000000" w:themeColor="text1"/>
                <w:sz w:val="20"/>
                <w:szCs w:val="20"/>
                <w:lang w:eastAsia="cs-CZ"/>
              </w:rPr>
              <w:t>%</w:t>
            </w:r>
          </w:p>
        </w:tc>
      </w:tr>
      <w:tr w:rsidR="008430BD" w:rsidRPr="001C3EC8" w14:paraId="34E1CAD5" w14:textId="77777777" w:rsidTr="00E077F3">
        <w:trPr>
          <w:trHeight w:val="345"/>
        </w:trPr>
        <w:tc>
          <w:tcPr>
            <w:tcW w:w="2480" w:type="dxa"/>
            <w:tcBorders>
              <w:top w:val="nil"/>
              <w:left w:val="nil"/>
              <w:bottom w:val="double" w:sz="6" w:space="0" w:color="auto"/>
              <w:right w:val="nil"/>
            </w:tcBorders>
            <w:shd w:val="clear" w:color="auto" w:fill="auto"/>
            <w:noWrap/>
            <w:vAlign w:val="bottom"/>
            <w:hideMark/>
          </w:tcPr>
          <w:p w14:paraId="38BD99D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02" w:type="dxa"/>
            <w:tcBorders>
              <w:top w:val="nil"/>
              <w:left w:val="nil"/>
              <w:bottom w:val="double" w:sz="6" w:space="0" w:color="auto"/>
              <w:right w:val="nil"/>
            </w:tcBorders>
            <w:shd w:val="clear" w:color="auto" w:fill="auto"/>
            <w:noWrap/>
            <w:vAlign w:val="bottom"/>
            <w:hideMark/>
          </w:tcPr>
          <w:p w14:paraId="5CC3D02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500</w:t>
            </w:r>
          </w:p>
        </w:tc>
        <w:tc>
          <w:tcPr>
            <w:tcW w:w="1233" w:type="dxa"/>
            <w:tcBorders>
              <w:top w:val="nil"/>
              <w:left w:val="nil"/>
              <w:bottom w:val="double" w:sz="6" w:space="0" w:color="auto"/>
              <w:right w:val="nil"/>
            </w:tcBorders>
            <w:shd w:val="clear" w:color="auto" w:fill="auto"/>
            <w:noWrap/>
            <w:vAlign w:val="center"/>
            <w:hideMark/>
          </w:tcPr>
          <w:p w14:paraId="5F155C75" w14:textId="130495E4"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802" w:type="dxa"/>
            <w:tcBorders>
              <w:top w:val="nil"/>
              <w:left w:val="single" w:sz="4" w:space="0" w:color="auto"/>
              <w:bottom w:val="double" w:sz="6" w:space="0" w:color="auto"/>
              <w:right w:val="nil"/>
            </w:tcBorders>
            <w:shd w:val="clear" w:color="auto" w:fill="auto"/>
            <w:noWrap/>
            <w:vAlign w:val="bottom"/>
            <w:hideMark/>
          </w:tcPr>
          <w:p w14:paraId="5188CAB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268</w:t>
            </w:r>
          </w:p>
        </w:tc>
        <w:tc>
          <w:tcPr>
            <w:tcW w:w="1233" w:type="dxa"/>
            <w:tcBorders>
              <w:top w:val="nil"/>
              <w:left w:val="nil"/>
              <w:bottom w:val="double" w:sz="6" w:space="0" w:color="auto"/>
              <w:right w:val="single" w:sz="4" w:space="0" w:color="auto"/>
            </w:tcBorders>
            <w:shd w:val="clear" w:color="auto" w:fill="auto"/>
            <w:noWrap/>
            <w:vAlign w:val="center"/>
            <w:hideMark/>
          </w:tcPr>
          <w:p w14:paraId="07D6DDDA" w14:textId="6A6403D0"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-20 </w:t>
            </w:r>
            <w:r w:rsidR="00B07E76">
              <w:rPr>
                <w:rFonts w:eastAsia="Times New Roman"/>
                <w:b/>
                <w:bCs/>
                <w:color w:val="000000" w:themeColor="text1"/>
                <w:sz w:val="20"/>
                <w:szCs w:val="20"/>
                <w:lang w:eastAsia="cs-CZ"/>
              </w:rPr>
              <w:t>%</w:t>
            </w:r>
          </w:p>
        </w:tc>
        <w:tc>
          <w:tcPr>
            <w:tcW w:w="1177" w:type="dxa"/>
            <w:tcBorders>
              <w:top w:val="nil"/>
              <w:left w:val="nil"/>
              <w:bottom w:val="double" w:sz="6" w:space="0" w:color="auto"/>
              <w:right w:val="nil"/>
            </w:tcBorders>
            <w:shd w:val="clear" w:color="auto" w:fill="auto"/>
            <w:noWrap/>
            <w:vAlign w:val="bottom"/>
            <w:hideMark/>
          </w:tcPr>
          <w:p w14:paraId="5909AD3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1 194</w:t>
            </w:r>
          </w:p>
        </w:tc>
        <w:tc>
          <w:tcPr>
            <w:tcW w:w="1233" w:type="dxa"/>
            <w:tcBorders>
              <w:top w:val="nil"/>
              <w:left w:val="nil"/>
              <w:bottom w:val="double" w:sz="6" w:space="0" w:color="auto"/>
              <w:right w:val="nil"/>
            </w:tcBorders>
            <w:shd w:val="clear" w:color="auto" w:fill="auto"/>
            <w:noWrap/>
            <w:vAlign w:val="center"/>
            <w:hideMark/>
          </w:tcPr>
          <w:p w14:paraId="6346F996" w14:textId="231D48F2"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r>
    </w:tbl>
    <w:p w14:paraId="552F10F7" w14:textId="77777777" w:rsidR="008430BD" w:rsidRPr="001C3EC8" w:rsidRDefault="008430BD" w:rsidP="008430BD">
      <w:pPr>
        <w:rPr>
          <w:color w:val="000000" w:themeColor="text1"/>
        </w:rPr>
      </w:pPr>
    </w:p>
    <w:p w14:paraId="09AAA76E" w14:textId="7C7B91E8" w:rsidR="008430BD" w:rsidRPr="001C3EC8" w:rsidRDefault="008430BD" w:rsidP="008430BD">
      <w:pPr>
        <w:pStyle w:val="OdstavecASR"/>
        <w:rPr>
          <w:color w:val="000000" w:themeColor="text1"/>
        </w:rPr>
      </w:pPr>
      <w:r w:rsidRPr="001C3EC8">
        <w:rPr>
          <w:color w:val="000000" w:themeColor="text1"/>
        </w:rPr>
        <w:t xml:space="preserve">Vidíme, že zdaleka nejdelší délky řízení vykazuje KS Brno </w:t>
      </w:r>
      <w:r w:rsidR="00021FDD" w:rsidRPr="001C3EC8">
        <w:rPr>
          <w:color w:val="000000" w:themeColor="text1"/>
        </w:rPr>
        <w:t>a</w:t>
      </w:r>
      <w:r w:rsidR="00021FDD">
        <w:rPr>
          <w:color w:val="000000" w:themeColor="text1"/>
        </w:rPr>
        <w:t> </w:t>
      </w:r>
      <w:r w:rsidRPr="001C3EC8">
        <w:rPr>
          <w:color w:val="000000" w:themeColor="text1"/>
        </w:rPr>
        <w:t xml:space="preserve">MS Praha. Nejkratší naopak KS Plzeň </w:t>
      </w:r>
      <w:r w:rsidR="00021FDD" w:rsidRPr="001C3EC8">
        <w:rPr>
          <w:color w:val="000000" w:themeColor="text1"/>
        </w:rPr>
        <w:t>a</w:t>
      </w:r>
      <w:r w:rsidR="00021FDD">
        <w:rPr>
          <w:color w:val="000000" w:themeColor="text1"/>
        </w:rPr>
        <w:t> </w:t>
      </w:r>
      <w:r w:rsidRPr="001C3EC8">
        <w:rPr>
          <w:color w:val="000000" w:themeColor="text1"/>
        </w:rPr>
        <w:t xml:space="preserve">KS České Budějovice, ostatní soudy se ale těmto dvěma celkem </w:t>
      </w:r>
      <w:r w:rsidR="002F68E3" w:rsidRPr="001C3EC8">
        <w:rPr>
          <w:color w:val="000000" w:themeColor="text1"/>
        </w:rPr>
        <w:t>b</w:t>
      </w:r>
      <w:r w:rsidRPr="001C3EC8">
        <w:rPr>
          <w:color w:val="000000" w:themeColor="text1"/>
        </w:rPr>
        <w:t>l</w:t>
      </w:r>
      <w:r w:rsidR="002F68E3" w:rsidRPr="001C3EC8">
        <w:rPr>
          <w:color w:val="000000" w:themeColor="text1"/>
        </w:rPr>
        <w:t>í</w:t>
      </w:r>
      <w:r w:rsidRPr="001C3EC8">
        <w:rPr>
          <w:color w:val="000000" w:themeColor="text1"/>
        </w:rPr>
        <w:t>ží.</w:t>
      </w:r>
    </w:p>
    <w:p w14:paraId="72E5D650" w14:textId="7344FA38" w:rsidR="008430BD" w:rsidRPr="001C3EC8" w:rsidRDefault="008430BD" w:rsidP="008430BD">
      <w:pPr>
        <w:pStyle w:val="OdstavecASR"/>
        <w:rPr>
          <w:color w:val="000000" w:themeColor="text1"/>
        </w:rPr>
      </w:pPr>
      <w:r w:rsidRPr="001C3EC8">
        <w:rPr>
          <w:color w:val="000000" w:themeColor="text1"/>
        </w:rPr>
        <w:t xml:space="preserve">Nakonec délky řízení zobrazíme pomocí histogramu. Šířka jednoho sloupce je 50 dnů </w:t>
      </w:r>
      <w:r w:rsidR="00021FDD" w:rsidRPr="001C3EC8">
        <w:rPr>
          <w:color w:val="000000" w:themeColor="text1"/>
        </w:rPr>
        <w:t>a</w:t>
      </w:r>
      <w:r w:rsidR="00021FDD">
        <w:rPr>
          <w:color w:val="000000" w:themeColor="text1"/>
        </w:rPr>
        <w:t> </w:t>
      </w:r>
      <w:r w:rsidRPr="001C3EC8">
        <w:rPr>
          <w:color w:val="000000" w:themeColor="text1"/>
        </w:rPr>
        <w:t>poslední sloupec reprezentuje všechny hodnoty nad 1 500 dnů.</w:t>
      </w:r>
    </w:p>
    <w:p w14:paraId="765BB378" w14:textId="57643032" w:rsidR="008430BD" w:rsidRPr="001C3EC8" w:rsidRDefault="008430BD" w:rsidP="008430BD">
      <w:pPr>
        <w:pStyle w:val="Podnadpis"/>
        <w:rPr>
          <w:color w:val="000000" w:themeColor="text1"/>
        </w:rPr>
      </w:pPr>
      <w:bookmarkStart w:id="681" w:name="_Toc43841456"/>
      <w:bookmarkStart w:id="682" w:name="_Toc7595225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79</w:t>
      </w:r>
      <w:r w:rsidRPr="001C3EC8">
        <w:rPr>
          <w:color w:val="000000" w:themeColor="text1"/>
        </w:rPr>
        <w:fldChar w:fldCharType="end"/>
      </w:r>
      <w:r w:rsidRPr="001C3EC8">
        <w:rPr>
          <w:color w:val="000000" w:themeColor="text1"/>
        </w:rPr>
        <w:t>: KS – distribuce délek incidenčních sporů</w:t>
      </w:r>
      <w:bookmarkEnd w:id="681"/>
      <w:bookmarkEnd w:id="682"/>
    </w:p>
    <w:p w14:paraId="3700FEE7"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434986FA" wp14:editId="76CBF48A">
            <wp:extent cx="5114925" cy="3743325"/>
            <wp:effectExtent l="0" t="0" r="0" b="952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099B899" w14:textId="77777777" w:rsidR="008430BD" w:rsidRPr="001C3EC8" w:rsidRDefault="008430BD" w:rsidP="008430BD">
      <w:pPr>
        <w:pStyle w:val="Nadpis3"/>
        <w:numPr>
          <w:ilvl w:val="2"/>
          <w:numId w:val="1"/>
        </w:numPr>
        <w:rPr>
          <w:color w:val="000000" w:themeColor="text1"/>
        </w:rPr>
      </w:pPr>
      <w:bookmarkStart w:id="683" w:name="_Toc41059000"/>
      <w:bookmarkStart w:id="684" w:name="_Toc41060948"/>
      <w:bookmarkStart w:id="685" w:name="_Toc75952120"/>
      <w:bookmarkEnd w:id="683"/>
      <w:bookmarkEnd w:id="684"/>
      <w:r w:rsidRPr="001C3EC8">
        <w:rPr>
          <w:color w:val="000000" w:themeColor="text1"/>
        </w:rPr>
        <w:lastRenderedPageBreak/>
        <w:t>Vyřizování věcí</w:t>
      </w:r>
      <w:bookmarkEnd w:id="685"/>
    </w:p>
    <w:p w14:paraId="544BC8EE" w14:textId="2AD05D28" w:rsidR="008430BD" w:rsidRPr="001C3EC8" w:rsidRDefault="008430BD" w:rsidP="008430BD">
      <w:pPr>
        <w:rPr>
          <w:color w:val="000000" w:themeColor="text1"/>
        </w:rPr>
      </w:pPr>
      <w:r w:rsidRPr="001C3EC8">
        <w:rPr>
          <w:color w:val="000000" w:themeColor="text1"/>
        </w:rPr>
        <w:t xml:space="preserve">Na grafu níže vidíme jev, který byl zmiňován již výše. Celá insolvenční agenda je poměrně nová a incidenční spory na ni „navazují“. Proto byl v prvních letech malý nápad, který postupně narůstal až do roku 2017. Do určité míry nápad celkem logicky kopíruje růst nápadu v insolvenční agendě, nicméně s určitým zpožděním. V roce 2018 pak došlo k značnému poklesu v počtu příchozích věcí. Nejvyšší pokles byl zaznamenán </w:t>
      </w:r>
      <w:r w:rsidR="00021FDD" w:rsidRPr="001C3EC8">
        <w:rPr>
          <w:color w:val="000000" w:themeColor="text1"/>
        </w:rPr>
        <w:t>u</w:t>
      </w:r>
      <w:r w:rsidR="00021FDD">
        <w:rPr>
          <w:color w:val="000000" w:themeColor="text1"/>
        </w:rPr>
        <w:t> </w:t>
      </w:r>
      <w:r w:rsidRPr="001C3EC8">
        <w:rPr>
          <w:color w:val="000000" w:themeColor="text1"/>
        </w:rPr>
        <w:t xml:space="preserve">obou moravských krajských soudů, konkrétně </w:t>
      </w:r>
      <w:r w:rsidR="00021FDD" w:rsidRPr="001C3EC8">
        <w:rPr>
          <w:color w:val="000000" w:themeColor="text1"/>
        </w:rPr>
        <w:t>u</w:t>
      </w:r>
      <w:r w:rsidR="00021FDD">
        <w:rPr>
          <w:color w:val="000000" w:themeColor="text1"/>
        </w:rPr>
        <w:t> </w:t>
      </w:r>
      <w:r w:rsidRPr="001C3EC8">
        <w:rPr>
          <w:color w:val="000000" w:themeColor="text1"/>
        </w:rPr>
        <w:t xml:space="preserve">KS v Brně o 662 věcí (snížení o 56,7 %) </w:t>
      </w:r>
      <w:r w:rsidR="00021FDD" w:rsidRPr="001C3EC8">
        <w:rPr>
          <w:color w:val="000000" w:themeColor="text1"/>
        </w:rPr>
        <w:t>a</w:t>
      </w:r>
      <w:r w:rsidR="00021FDD">
        <w:rPr>
          <w:color w:val="000000" w:themeColor="text1"/>
        </w:rPr>
        <w:t> </w:t>
      </w:r>
      <w:r w:rsidRPr="001C3EC8">
        <w:rPr>
          <w:color w:val="000000" w:themeColor="text1"/>
        </w:rPr>
        <w:t xml:space="preserve">v Ostravě o 329 věcí (pokles </w:t>
      </w:r>
      <w:r w:rsidR="00021FDD" w:rsidRPr="001C3EC8">
        <w:rPr>
          <w:color w:val="000000" w:themeColor="text1"/>
        </w:rPr>
        <w:t>o</w:t>
      </w:r>
      <w:r w:rsidR="00021FDD">
        <w:rPr>
          <w:color w:val="000000" w:themeColor="text1"/>
        </w:rPr>
        <w:t> </w:t>
      </w:r>
      <w:r w:rsidRPr="001C3EC8">
        <w:rPr>
          <w:color w:val="000000" w:themeColor="text1"/>
        </w:rPr>
        <w:t xml:space="preserve">67,3 %). </w:t>
      </w:r>
      <w:r w:rsidR="00021FDD" w:rsidRPr="001C3EC8">
        <w:rPr>
          <w:color w:val="000000" w:themeColor="text1"/>
        </w:rPr>
        <w:t>U</w:t>
      </w:r>
      <w:r w:rsidR="00021FDD">
        <w:rPr>
          <w:color w:val="000000" w:themeColor="text1"/>
        </w:rPr>
        <w:t> </w:t>
      </w:r>
      <w:r w:rsidRPr="001C3EC8">
        <w:rPr>
          <w:color w:val="000000" w:themeColor="text1"/>
        </w:rPr>
        <w:t xml:space="preserve">krajských soudů v Čechách se snížení příchozích věcí pohybovalo mezi 30 až 40 %. V roce 2019 byl počet příchozích věcí téměř stejný jako v roce 2018 </w:t>
      </w:r>
      <w:r w:rsidR="00021FDD" w:rsidRPr="001C3EC8">
        <w:rPr>
          <w:color w:val="000000" w:themeColor="text1"/>
        </w:rPr>
        <w:t>a</w:t>
      </w:r>
      <w:r w:rsidR="00021FDD">
        <w:rPr>
          <w:color w:val="000000" w:themeColor="text1"/>
        </w:rPr>
        <w:t> </w:t>
      </w:r>
      <w:r w:rsidRPr="001C3EC8">
        <w:rPr>
          <w:color w:val="000000" w:themeColor="text1"/>
        </w:rPr>
        <w:t xml:space="preserve">v roce 2020 počet příchozích věcí narostl. Pandemie </w:t>
      </w:r>
      <w:r w:rsidR="000C3B1E">
        <w:rPr>
          <w:color w:val="000000" w:themeColor="text1"/>
        </w:rPr>
        <w:t>COVID</w:t>
      </w:r>
      <w:r w:rsidR="000C3B1E">
        <w:rPr>
          <w:color w:val="000000" w:themeColor="text1"/>
        </w:rPr>
        <w:noBreakHyphen/>
        <w:t>19</w:t>
      </w:r>
      <w:r w:rsidRPr="001C3EC8">
        <w:rPr>
          <w:color w:val="000000" w:themeColor="text1"/>
        </w:rPr>
        <w:t xml:space="preserve"> zde tedy neměla žádný výrazný vliv.</w:t>
      </w:r>
    </w:p>
    <w:p w14:paraId="7A683C55" w14:textId="4DB59714" w:rsidR="008430BD" w:rsidRPr="001C3EC8" w:rsidRDefault="001B0DDF" w:rsidP="008430BD">
      <w:pPr>
        <w:rPr>
          <w:color w:val="000000" w:themeColor="text1"/>
        </w:rPr>
      </w:pPr>
      <w:r w:rsidRPr="001C3EC8">
        <w:rPr>
          <w:color w:val="000000" w:themeColor="text1"/>
        </w:rPr>
        <w:t>N</w:t>
      </w:r>
      <w:r w:rsidR="008430BD" w:rsidRPr="001C3EC8">
        <w:rPr>
          <w:color w:val="000000" w:themeColor="text1"/>
        </w:rPr>
        <w:t xml:space="preserve">áhlý pokles </w:t>
      </w:r>
      <w:r w:rsidR="00021FDD" w:rsidRPr="001C3EC8">
        <w:rPr>
          <w:color w:val="000000" w:themeColor="text1"/>
        </w:rPr>
        <w:t>z</w:t>
      </w:r>
      <w:r w:rsidR="00021FDD">
        <w:rPr>
          <w:color w:val="000000" w:themeColor="text1"/>
        </w:rPr>
        <w:t> </w:t>
      </w:r>
      <w:r w:rsidR="008430BD" w:rsidRPr="001C3EC8">
        <w:rPr>
          <w:color w:val="000000" w:themeColor="text1"/>
        </w:rPr>
        <w:t xml:space="preserve">roku </w:t>
      </w:r>
      <w:r w:rsidR="003055E3" w:rsidRPr="001C3EC8">
        <w:rPr>
          <w:color w:val="000000" w:themeColor="text1"/>
        </w:rPr>
        <w:t>2018</w:t>
      </w:r>
      <w:r w:rsidR="002F68E3" w:rsidRPr="001C3EC8">
        <w:rPr>
          <w:color w:val="000000" w:themeColor="text1"/>
        </w:rPr>
        <w:t xml:space="preserve"> </w:t>
      </w:r>
      <w:r w:rsidRPr="001C3EC8">
        <w:rPr>
          <w:color w:val="000000" w:themeColor="text1"/>
        </w:rPr>
        <w:t xml:space="preserve">lze </w:t>
      </w:r>
      <w:r w:rsidR="008430BD" w:rsidRPr="001C3EC8">
        <w:rPr>
          <w:color w:val="000000" w:themeColor="text1"/>
        </w:rPr>
        <w:t xml:space="preserve">připisovat snížení </w:t>
      </w:r>
      <w:r w:rsidR="002F68E3" w:rsidRPr="001C3EC8">
        <w:rPr>
          <w:color w:val="000000" w:themeColor="text1"/>
        </w:rPr>
        <w:t>počtu</w:t>
      </w:r>
      <w:r w:rsidR="008430BD" w:rsidRPr="001C3EC8">
        <w:rPr>
          <w:color w:val="000000" w:themeColor="text1"/>
        </w:rPr>
        <w:t xml:space="preserve"> nových úpadků obchodních společností, </w:t>
      </w:r>
      <w:r w:rsidR="00021FDD" w:rsidRPr="001C3EC8">
        <w:rPr>
          <w:color w:val="000000" w:themeColor="text1"/>
        </w:rPr>
        <w:t>a</w:t>
      </w:r>
      <w:r w:rsidR="00021FDD">
        <w:rPr>
          <w:color w:val="000000" w:themeColor="text1"/>
        </w:rPr>
        <w:t> </w:t>
      </w:r>
      <w:r w:rsidR="008430BD" w:rsidRPr="001C3EC8">
        <w:rPr>
          <w:color w:val="000000" w:themeColor="text1"/>
        </w:rPr>
        <w:t>to zřejmě díky příznivé ekonomické situaci toho období.</w:t>
      </w:r>
    </w:p>
    <w:p w14:paraId="0BDF7BF9" w14:textId="75D1FA41" w:rsidR="008430BD" w:rsidRPr="001C3EC8" w:rsidRDefault="008430BD" w:rsidP="008430BD">
      <w:pPr>
        <w:pStyle w:val="Podnadpis"/>
        <w:rPr>
          <w:color w:val="000000" w:themeColor="text1"/>
          <w:highlight w:val="yellow"/>
        </w:rPr>
      </w:pPr>
      <w:bookmarkStart w:id="686" w:name="_Toc43841457"/>
      <w:bookmarkStart w:id="687" w:name="_Toc75952260"/>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80</w:t>
      </w:r>
      <w:r w:rsidRPr="001C3EC8">
        <w:rPr>
          <w:noProof/>
          <w:color w:val="000000" w:themeColor="text1"/>
        </w:rPr>
        <w:fldChar w:fldCharType="end"/>
      </w:r>
      <w:r w:rsidRPr="001C3EC8">
        <w:rPr>
          <w:color w:val="000000" w:themeColor="text1"/>
        </w:rPr>
        <w:t>: KS – vyřizování incidenčních sporů v letech 2011–20</w:t>
      </w:r>
      <w:bookmarkEnd w:id="686"/>
      <w:r w:rsidRPr="001C3EC8">
        <w:rPr>
          <w:color w:val="000000" w:themeColor="text1"/>
        </w:rPr>
        <w:t>20</w:t>
      </w:r>
      <w:bookmarkEnd w:id="687"/>
    </w:p>
    <w:p w14:paraId="17A3B2F0"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09715C87" wp14:editId="5CF76D66">
            <wp:extent cx="5114925" cy="3743325"/>
            <wp:effectExtent l="0" t="0" r="0" b="9525"/>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E144C7E" w14:textId="79878F79" w:rsidR="008430BD" w:rsidRPr="001C3EC8" w:rsidRDefault="008430BD" w:rsidP="008430BD">
      <w:pPr>
        <w:pStyle w:val="OdstavecASR"/>
        <w:rPr>
          <w:color w:val="000000" w:themeColor="text1"/>
        </w:rPr>
      </w:pPr>
      <w:r w:rsidRPr="001C3EC8">
        <w:rPr>
          <w:color w:val="000000" w:themeColor="text1"/>
        </w:rPr>
        <w:t xml:space="preserve">V letech 2011 až 2017 převyšoval počet příchozích věcí počet věcí vyřízených, </w:t>
      </w:r>
      <w:r w:rsidR="00021FDD" w:rsidRPr="001C3EC8">
        <w:rPr>
          <w:color w:val="000000" w:themeColor="text1"/>
        </w:rPr>
        <w:t>a</w:t>
      </w:r>
      <w:r w:rsidR="00021FDD">
        <w:rPr>
          <w:color w:val="000000" w:themeColor="text1"/>
        </w:rPr>
        <w:t> </w:t>
      </w:r>
      <w:r w:rsidRPr="001C3EC8">
        <w:rPr>
          <w:color w:val="000000" w:themeColor="text1"/>
        </w:rPr>
        <w:t>to ze začátku poměrně výrazně; počet vyřízených věcí se ale velmi rychle zvyšoval. To samozřejmě vedlo k tomu, že se nahromadilo poměrně velké množství nevyřízených věcí. Výše zmíněný pokles v počtu příchozích věcí pak vedl k velmi výraznému poklesu počtu věcí nevyřízených.</w:t>
      </w:r>
    </w:p>
    <w:p w14:paraId="6BC77D86" w14:textId="25431A44" w:rsidR="008430BD" w:rsidRPr="001C3EC8" w:rsidRDefault="008430BD" w:rsidP="008430BD">
      <w:pPr>
        <w:rPr>
          <w:color w:val="000000" w:themeColor="text1"/>
        </w:rPr>
      </w:pPr>
      <w:r w:rsidRPr="001C3EC8">
        <w:rPr>
          <w:color w:val="000000" w:themeColor="text1"/>
        </w:rPr>
        <w:t xml:space="preserve">Tabulka níže ukazuje, že situace se velmi liší soud od soudu. Například </w:t>
      </w:r>
      <w:r w:rsidR="00021FDD" w:rsidRPr="001C3EC8">
        <w:rPr>
          <w:color w:val="000000" w:themeColor="text1"/>
        </w:rPr>
        <w:t>u</w:t>
      </w:r>
      <w:r w:rsidR="00021FDD">
        <w:rPr>
          <w:color w:val="000000" w:themeColor="text1"/>
        </w:rPr>
        <w:t> </w:t>
      </w:r>
      <w:r w:rsidRPr="001C3EC8">
        <w:rPr>
          <w:color w:val="000000" w:themeColor="text1"/>
        </w:rPr>
        <w:t xml:space="preserve">MS v Praze narostl počet příchozích věcí </w:t>
      </w:r>
      <w:r w:rsidR="00021FDD" w:rsidRPr="001C3EC8">
        <w:rPr>
          <w:color w:val="000000" w:themeColor="text1"/>
        </w:rPr>
        <w:t>o</w:t>
      </w:r>
      <w:r w:rsidR="00021FDD">
        <w:rPr>
          <w:color w:val="000000" w:themeColor="text1"/>
        </w:rPr>
        <w:t> </w:t>
      </w:r>
      <w:r w:rsidRPr="001C3EC8">
        <w:rPr>
          <w:color w:val="000000" w:themeColor="text1"/>
        </w:rPr>
        <w:t xml:space="preserve">35 %, počet vyřízených věcí </w:t>
      </w:r>
      <w:r w:rsidR="00021FDD" w:rsidRPr="001C3EC8">
        <w:rPr>
          <w:color w:val="000000" w:themeColor="text1"/>
        </w:rPr>
        <w:t>o</w:t>
      </w:r>
      <w:r w:rsidR="00021FDD">
        <w:rPr>
          <w:color w:val="000000" w:themeColor="text1"/>
        </w:rPr>
        <w:t> </w:t>
      </w:r>
      <w:r w:rsidRPr="001C3EC8">
        <w:rPr>
          <w:color w:val="000000" w:themeColor="text1"/>
        </w:rPr>
        <w:t>28</w:t>
      </w:r>
      <w:r w:rsidR="00021FDD">
        <w:rPr>
          <w:color w:val="000000" w:themeColor="text1"/>
        </w:rPr>
        <w:t> </w:t>
      </w:r>
      <w:r w:rsidR="006D191D">
        <w:rPr>
          <w:color w:val="000000" w:themeColor="text1"/>
        </w:rPr>
        <w:t>%</w:t>
      </w:r>
      <w:r w:rsidR="00223FBF">
        <w:rPr>
          <w:color w:val="000000" w:themeColor="text1"/>
        </w:rPr>
        <w:t xml:space="preserve"> </w:t>
      </w:r>
      <w:r w:rsidRPr="001C3EC8">
        <w:rPr>
          <w:color w:val="000000" w:themeColor="text1"/>
        </w:rPr>
        <w:t>a</w:t>
      </w:r>
      <w:r w:rsidR="00021FDD">
        <w:rPr>
          <w:color w:val="000000" w:themeColor="text1"/>
        </w:rPr>
        <w:t> </w:t>
      </w:r>
      <w:r w:rsidRPr="001C3EC8">
        <w:rPr>
          <w:color w:val="000000" w:themeColor="text1"/>
        </w:rPr>
        <w:t>počet nevyřízených věcí o 15 % (míra vyřizování byla pouze 80 %). Míru vyřizování pod 100</w:t>
      </w:r>
      <w:r w:rsidR="00021FDD">
        <w:rPr>
          <w:color w:val="000000" w:themeColor="text1"/>
        </w:rPr>
        <w:t> </w:t>
      </w:r>
      <w:r w:rsidRPr="001C3EC8">
        <w:rPr>
          <w:color w:val="000000" w:themeColor="text1"/>
        </w:rPr>
        <w:t xml:space="preserve">% měly celkem </w:t>
      </w:r>
      <w:r w:rsidR="00021FDD" w:rsidRPr="001C3EC8">
        <w:rPr>
          <w:color w:val="000000" w:themeColor="text1"/>
        </w:rPr>
        <w:t>4</w:t>
      </w:r>
      <w:r w:rsidR="00021FDD">
        <w:rPr>
          <w:color w:val="000000" w:themeColor="text1"/>
        </w:rPr>
        <w:t> </w:t>
      </w:r>
      <w:r w:rsidRPr="001C3EC8">
        <w:rPr>
          <w:color w:val="000000" w:themeColor="text1"/>
        </w:rPr>
        <w:t xml:space="preserve">soudy, </w:t>
      </w:r>
      <w:r w:rsidR="002F68E3" w:rsidRPr="001C3EC8">
        <w:rPr>
          <w:color w:val="000000" w:themeColor="text1"/>
        </w:rPr>
        <w:t xml:space="preserve">nejnižší </w:t>
      </w:r>
      <w:r w:rsidRPr="001C3EC8">
        <w:rPr>
          <w:color w:val="000000" w:themeColor="text1"/>
        </w:rPr>
        <w:t>pak měl KS Ostrava.</w:t>
      </w:r>
    </w:p>
    <w:p w14:paraId="5F277257" w14:textId="5E6FB09C" w:rsidR="008430BD" w:rsidRPr="001C3EC8" w:rsidRDefault="008430BD" w:rsidP="008430BD">
      <w:pPr>
        <w:rPr>
          <w:color w:val="000000" w:themeColor="text1"/>
        </w:rPr>
      </w:pPr>
      <w:r w:rsidRPr="001C3EC8">
        <w:rPr>
          <w:color w:val="000000" w:themeColor="text1"/>
        </w:rPr>
        <w:t xml:space="preserve">Na druhou stranu KS Brno mělo míru vyřizování 143 % </w:t>
      </w:r>
      <w:r w:rsidR="00021FDD" w:rsidRPr="001C3EC8">
        <w:rPr>
          <w:color w:val="000000" w:themeColor="text1"/>
        </w:rPr>
        <w:t>a</w:t>
      </w:r>
      <w:r w:rsidR="00021FDD">
        <w:rPr>
          <w:color w:val="000000" w:themeColor="text1"/>
        </w:rPr>
        <w:t> </w:t>
      </w:r>
      <w:r w:rsidRPr="001C3EC8">
        <w:rPr>
          <w:color w:val="000000" w:themeColor="text1"/>
        </w:rPr>
        <w:t xml:space="preserve">v roce 2019 byla neuvěřitelných 211 %. </w:t>
      </w:r>
      <w:r w:rsidR="002F68E3" w:rsidRPr="001C3EC8">
        <w:rPr>
          <w:color w:val="000000" w:themeColor="text1"/>
        </w:rPr>
        <w:t xml:space="preserve">Zároveň však </w:t>
      </w:r>
      <w:r w:rsidRPr="001C3EC8">
        <w:rPr>
          <w:color w:val="000000" w:themeColor="text1"/>
        </w:rPr>
        <w:t xml:space="preserve">má KS Brno velmi dlouhé délky řízení. </w:t>
      </w:r>
      <w:r w:rsidR="002F68E3" w:rsidRPr="001C3EC8">
        <w:rPr>
          <w:color w:val="000000" w:themeColor="text1"/>
        </w:rPr>
        <w:t>S</w:t>
      </w:r>
      <w:r w:rsidRPr="001C3EC8">
        <w:rPr>
          <w:color w:val="000000" w:themeColor="text1"/>
        </w:rPr>
        <w:t xml:space="preserve"> takto vysokou míru vyřizování je </w:t>
      </w:r>
      <w:r w:rsidR="002F68E3" w:rsidRPr="001C3EC8">
        <w:rPr>
          <w:color w:val="000000" w:themeColor="text1"/>
        </w:rPr>
        <w:t xml:space="preserve">nicméně </w:t>
      </w:r>
      <w:r w:rsidRPr="001C3EC8">
        <w:rPr>
          <w:color w:val="000000" w:themeColor="text1"/>
        </w:rPr>
        <w:t>jen otázk</w:t>
      </w:r>
      <w:r w:rsidR="002F68E3" w:rsidRPr="001C3EC8">
        <w:rPr>
          <w:color w:val="000000" w:themeColor="text1"/>
        </w:rPr>
        <w:t>ou</w:t>
      </w:r>
      <w:r w:rsidRPr="001C3EC8">
        <w:rPr>
          <w:color w:val="000000" w:themeColor="text1"/>
        </w:rPr>
        <w:t xml:space="preserve"> času, </w:t>
      </w:r>
      <w:r w:rsidR="002F68E3" w:rsidRPr="001C3EC8">
        <w:rPr>
          <w:color w:val="000000" w:themeColor="text1"/>
        </w:rPr>
        <w:t xml:space="preserve">kdy </w:t>
      </w:r>
      <w:r w:rsidRPr="001C3EC8">
        <w:rPr>
          <w:color w:val="000000" w:themeColor="text1"/>
        </w:rPr>
        <w:t>se soudu podaří „</w:t>
      </w:r>
      <w:proofErr w:type="spellStart"/>
      <w:r w:rsidRPr="001C3EC8">
        <w:rPr>
          <w:color w:val="000000" w:themeColor="text1"/>
        </w:rPr>
        <w:t>dovyřídit</w:t>
      </w:r>
      <w:proofErr w:type="spellEnd"/>
      <w:r w:rsidRPr="001C3EC8">
        <w:rPr>
          <w:color w:val="000000" w:themeColor="text1"/>
        </w:rPr>
        <w:t xml:space="preserve">“ nedodělky </w:t>
      </w:r>
      <w:r w:rsidR="00021FDD" w:rsidRPr="001C3EC8">
        <w:rPr>
          <w:color w:val="000000" w:themeColor="text1"/>
        </w:rPr>
        <w:t>a</w:t>
      </w:r>
      <w:r w:rsidR="00021FDD">
        <w:rPr>
          <w:color w:val="000000" w:themeColor="text1"/>
        </w:rPr>
        <w:t> </w:t>
      </w:r>
      <w:r w:rsidRPr="001C3EC8">
        <w:rPr>
          <w:color w:val="000000" w:themeColor="text1"/>
        </w:rPr>
        <w:t>délky řízení začnou klesat.</w:t>
      </w:r>
    </w:p>
    <w:p w14:paraId="075A6CC5" w14:textId="1021AAB2" w:rsidR="008430BD" w:rsidRPr="001C3EC8" w:rsidRDefault="008430BD" w:rsidP="008430BD">
      <w:pPr>
        <w:pStyle w:val="Podnadpis"/>
        <w:rPr>
          <w:color w:val="000000" w:themeColor="text1"/>
        </w:rPr>
      </w:pPr>
      <w:bookmarkStart w:id="688" w:name="_Toc43931248"/>
      <w:bookmarkStart w:id="689" w:name="_Toc75952381"/>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78</w:t>
      </w:r>
      <w:r w:rsidRPr="001C3EC8">
        <w:rPr>
          <w:noProof/>
          <w:color w:val="000000" w:themeColor="text1"/>
        </w:rPr>
        <w:fldChar w:fldCharType="end"/>
      </w:r>
      <w:r w:rsidRPr="001C3EC8">
        <w:rPr>
          <w:color w:val="000000" w:themeColor="text1"/>
        </w:rPr>
        <w:t>: KS – vyřizování incidenčních sporů dle soudů</w:t>
      </w:r>
      <w:bookmarkEnd w:id="688"/>
      <w:bookmarkEnd w:id="689"/>
    </w:p>
    <w:tbl>
      <w:tblPr>
        <w:tblW w:w="9232" w:type="dxa"/>
        <w:tblCellMar>
          <w:left w:w="70" w:type="dxa"/>
          <w:right w:w="70" w:type="dxa"/>
        </w:tblCellMar>
        <w:tblLook w:val="04A0" w:firstRow="1" w:lastRow="0" w:firstColumn="1" w:lastColumn="0" w:noHBand="0" w:noVBand="1"/>
      </w:tblPr>
      <w:tblGrid>
        <w:gridCol w:w="1980"/>
        <w:gridCol w:w="856"/>
        <w:gridCol w:w="1009"/>
        <w:gridCol w:w="856"/>
        <w:gridCol w:w="1009"/>
        <w:gridCol w:w="811"/>
        <w:gridCol w:w="1012"/>
        <w:gridCol w:w="1699"/>
      </w:tblGrid>
      <w:tr w:rsidR="008430BD" w:rsidRPr="001C3EC8" w14:paraId="60160F02" w14:textId="77777777" w:rsidTr="005D25EE">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330B6A0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Nadřízený soud</w:t>
            </w:r>
          </w:p>
        </w:tc>
        <w:tc>
          <w:tcPr>
            <w:tcW w:w="5553" w:type="dxa"/>
            <w:gridSpan w:val="6"/>
            <w:tcBorders>
              <w:top w:val="double" w:sz="6" w:space="0" w:color="auto"/>
              <w:left w:val="nil"/>
              <w:bottom w:val="nil"/>
              <w:right w:val="single" w:sz="4" w:space="0" w:color="000000"/>
            </w:tcBorders>
            <w:shd w:val="clear" w:color="auto" w:fill="auto"/>
            <w:noWrap/>
            <w:vAlign w:val="center"/>
            <w:hideMark/>
          </w:tcPr>
          <w:p w14:paraId="57EF6BA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c>
          <w:tcPr>
            <w:tcW w:w="1699" w:type="dxa"/>
            <w:vMerge w:val="restart"/>
            <w:tcBorders>
              <w:top w:val="double" w:sz="6" w:space="0" w:color="auto"/>
              <w:left w:val="single" w:sz="4" w:space="0" w:color="auto"/>
              <w:bottom w:val="double" w:sz="6" w:space="0" w:color="000000"/>
              <w:right w:val="nil"/>
            </w:tcBorders>
            <w:shd w:val="clear" w:color="auto" w:fill="auto"/>
            <w:vAlign w:val="center"/>
            <w:hideMark/>
          </w:tcPr>
          <w:p w14:paraId="1702C396" w14:textId="1276BA21"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 xml:space="preserve">Míra vyřizování </w:t>
            </w:r>
            <w:r w:rsidR="00021FDD" w:rsidRPr="001C3EC8">
              <w:rPr>
                <w:rFonts w:eastAsia="Times New Roman"/>
                <w:b/>
                <w:bCs/>
                <w:color w:val="000000" w:themeColor="text1"/>
                <w:szCs w:val="24"/>
                <w:lang w:eastAsia="cs-CZ"/>
              </w:rPr>
              <w:t>v</w:t>
            </w:r>
            <w:r w:rsidR="00021FDD">
              <w:rPr>
                <w:rFonts w:eastAsia="Times New Roman"/>
                <w:b/>
                <w:bCs/>
                <w:color w:val="000000" w:themeColor="text1"/>
                <w:szCs w:val="24"/>
                <w:lang w:eastAsia="cs-CZ"/>
              </w:rPr>
              <w:t> </w:t>
            </w:r>
            <w:r w:rsidRPr="001C3EC8">
              <w:rPr>
                <w:rFonts w:eastAsia="Times New Roman"/>
                <w:b/>
                <w:bCs/>
                <w:color w:val="000000" w:themeColor="text1"/>
                <w:szCs w:val="24"/>
                <w:lang w:eastAsia="cs-CZ"/>
              </w:rPr>
              <w:t>%</w:t>
            </w:r>
          </w:p>
        </w:tc>
      </w:tr>
      <w:tr w:rsidR="008430BD" w:rsidRPr="001C3EC8" w14:paraId="13B7992A" w14:textId="77777777" w:rsidTr="005D25EE">
        <w:trPr>
          <w:trHeight w:val="330"/>
        </w:trPr>
        <w:tc>
          <w:tcPr>
            <w:tcW w:w="1980" w:type="dxa"/>
            <w:vMerge/>
            <w:tcBorders>
              <w:top w:val="double" w:sz="6" w:space="0" w:color="auto"/>
              <w:left w:val="nil"/>
              <w:bottom w:val="double" w:sz="6" w:space="0" w:color="000000"/>
              <w:right w:val="nil"/>
            </w:tcBorders>
            <w:vAlign w:val="center"/>
            <w:hideMark/>
          </w:tcPr>
          <w:p w14:paraId="494A9E70"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865" w:type="dxa"/>
            <w:gridSpan w:val="2"/>
            <w:tcBorders>
              <w:top w:val="nil"/>
              <w:left w:val="nil"/>
              <w:bottom w:val="double" w:sz="6" w:space="0" w:color="auto"/>
              <w:right w:val="single" w:sz="4" w:space="0" w:color="000000"/>
            </w:tcBorders>
            <w:shd w:val="clear" w:color="auto" w:fill="auto"/>
            <w:vAlign w:val="center"/>
            <w:hideMark/>
          </w:tcPr>
          <w:p w14:paraId="4EACF8F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865" w:type="dxa"/>
            <w:gridSpan w:val="2"/>
            <w:tcBorders>
              <w:top w:val="nil"/>
              <w:left w:val="nil"/>
              <w:bottom w:val="double" w:sz="6" w:space="0" w:color="auto"/>
              <w:right w:val="single" w:sz="4" w:space="0" w:color="000000"/>
            </w:tcBorders>
            <w:shd w:val="clear" w:color="auto" w:fill="auto"/>
            <w:noWrap/>
            <w:vAlign w:val="center"/>
            <w:hideMark/>
          </w:tcPr>
          <w:p w14:paraId="5CD70F9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820" w:type="dxa"/>
            <w:gridSpan w:val="2"/>
            <w:tcBorders>
              <w:top w:val="nil"/>
              <w:left w:val="nil"/>
              <w:bottom w:val="double" w:sz="6" w:space="0" w:color="auto"/>
              <w:right w:val="single" w:sz="4" w:space="0" w:color="000000"/>
            </w:tcBorders>
            <w:shd w:val="clear" w:color="auto" w:fill="auto"/>
            <w:noWrap/>
            <w:vAlign w:val="center"/>
            <w:hideMark/>
          </w:tcPr>
          <w:p w14:paraId="417EE09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c>
          <w:tcPr>
            <w:tcW w:w="1699" w:type="dxa"/>
            <w:vMerge/>
            <w:tcBorders>
              <w:top w:val="double" w:sz="6" w:space="0" w:color="auto"/>
              <w:left w:val="single" w:sz="4" w:space="0" w:color="auto"/>
              <w:bottom w:val="double" w:sz="6" w:space="0" w:color="000000"/>
              <w:right w:val="nil"/>
            </w:tcBorders>
            <w:vAlign w:val="center"/>
            <w:hideMark/>
          </w:tcPr>
          <w:p w14:paraId="3B7BB410" w14:textId="77777777" w:rsidR="008430BD" w:rsidRPr="001C3EC8" w:rsidRDefault="008430BD" w:rsidP="00E077F3">
            <w:pPr>
              <w:spacing w:line="240" w:lineRule="auto"/>
              <w:jc w:val="left"/>
              <w:rPr>
                <w:rFonts w:eastAsia="Times New Roman"/>
                <w:b/>
                <w:bCs/>
                <w:color w:val="000000" w:themeColor="text1"/>
                <w:szCs w:val="24"/>
                <w:lang w:eastAsia="cs-CZ"/>
              </w:rPr>
            </w:pPr>
          </w:p>
        </w:tc>
      </w:tr>
      <w:tr w:rsidR="008430BD" w:rsidRPr="001C3EC8" w14:paraId="36C63311" w14:textId="77777777" w:rsidTr="005D25EE">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057BA17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856" w:type="dxa"/>
            <w:tcBorders>
              <w:top w:val="single" w:sz="4" w:space="0" w:color="auto"/>
              <w:left w:val="nil"/>
              <w:bottom w:val="single" w:sz="4" w:space="0" w:color="auto"/>
              <w:right w:val="nil"/>
            </w:tcBorders>
            <w:shd w:val="clear" w:color="auto" w:fill="auto"/>
            <w:noWrap/>
            <w:vAlign w:val="bottom"/>
            <w:hideMark/>
          </w:tcPr>
          <w:p w14:paraId="72ED6D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895</w:t>
            </w:r>
          </w:p>
        </w:tc>
        <w:tc>
          <w:tcPr>
            <w:tcW w:w="1009" w:type="dxa"/>
            <w:tcBorders>
              <w:top w:val="single" w:sz="4" w:space="0" w:color="auto"/>
              <w:left w:val="nil"/>
              <w:bottom w:val="single" w:sz="4" w:space="0" w:color="auto"/>
              <w:right w:val="nil"/>
            </w:tcBorders>
            <w:shd w:val="clear" w:color="auto" w:fill="auto"/>
            <w:noWrap/>
            <w:vAlign w:val="center"/>
            <w:hideMark/>
          </w:tcPr>
          <w:p w14:paraId="1987097A" w14:textId="2CEDE060"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+35 </w:t>
            </w:r>
            <w:r w:rsidR="00B07E76">
              <w:rPr>
                <w:rFonts w:eastAsia="Times New Roman"/>
                <w:color w:val="000000" w:themeColor="text1"/>
                <w:sz w:val="20"/>
                <w:szCs w:val="20"/>
                <w:lang w:eastAsia="cs-CZ"/>
              </w:rPr>
              <w:t>%</w:t>
            </w:r>
          </w:p>
        </w:tc>
        <w:tc>
          <w:tcPr>
            <w:tcW w:w="856" w:type="dxa"/>
            <w:tcBorders>
              <w:top w:val="single" w:sz="4" w:space="0" w:color="auto"/>
              <w:left w:val="single" w:sz="4" w:space="0" w:color="auto"/>
              <w:bottom w:val="single" w:sz="4" w:space="0" w:color="auto"/>
              <w:right w:val="nil"/>
            </w:tcBorders>
            <w:shd w:val="clear" w:color="auto" w:fill="auto"/>
            <w:noWrap/>
            <w:vAlign w:val="bottom"/>
            <w:hideMark/>
          </w:tcPr>
          <w:p w14:paraId="6C83536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718</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052283B6" w14:textId="01C9C4C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c>
          <w:tcPr>
            <w:tcW w:w="811" w:type="dxa"/>
            <w:tcBorders>
              <w:top w:val="single" w:sz="4" w:space="0" w:color="auto"/>
              <w:left w:val="nil"/>
              <w:bottom w:val="single" w:sz="4" w:space="0" w:color="auto"/>
              <w:right w:val="nil"/>
            </w:tcBorders>
            <w:shd w:val="clear" w:color="auto" w:fill="auto"/>
            <w:noWrap/>
            <w:vAlign w:val="bottom"/>
            <w:hideMark/>
          </w:tcPr>
          <w:p w14:paraId="18239E1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1 389</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2974519D" w14:textId="7FE4B96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1699" w:type="dxa"/>
            <w:tcBorders>
              <w:top w:val="single" w:sz="4" w:space="0" w:color="auto"/>
              <w:left w:val="nil"/>
              <w:bottom w:val="single" w:sz="4" w:space="0" w:color="auto"/>
              <w:right w:val="nil"/>
            </w:tcBorders>
            <w:shd w:val="clear" w:color="auto" w:fill="auto"/>
            <w:noWrap/>
            <w:vAlign w:val="bottom"/>
            <w:hideMark/>
          </w:tcPr>
          <w:p w14:paraId="6E6BC0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80,22</w:t>
            </w:r>
          </w:p>
        </w:tc>
      </w:tr>
      <w:tr w:rsidR="008430BD" w:rsidRPr="001C3EC8" w14:paraId="0CBBF8EE" w14:textId="77777777" w:rsidTr="005D25EE">
        <w:trPr>
          <w:trHeight w:val="315"/>
        </w:trPr>
        <w:tc>
          <w:tcPr>
            <w:tcW w:w="1980" w:type="dxa"/>
            <w:tcBorders>
              <w:top w:val="nil"/>
              <w:left w:val="nil"/>
              <w:bottom w:val="single" w:sz="4" w:space="0" w:color="auto"/>
              <w:right w:val="nil"/>
            </w:tcBorders>
            <w:shd w:val="clear" w:color="auto" w:fill="auto"/>
            <w:noWrap/>
            <w:vAlign w:val="bottom"/>
            <w:hideMark/>
          </w:tcPr>
          <w:p w14:paraId="6CA1F13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856" w:type="dxa"/>
            <w:tcBorders>
              <w:top w:val="nil"/>
              <w:left w:val="nil"/>
              <w:bottom w:val="single" w:sz="4" w:space="0" w:color="auto"/>
              <w:right w:val="nil"/>
            </w:tcBorders>
            <w:shd w:val="clear" w:color="auto" w:fill="auto"/>
            <w:noWrap/>
            <w:vAlign w:val="bottom"/>
            <w:hideMark/>
          </w:tcPr>
          <w:p w14:paraId="1BAF7CE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567</w:t>
            </w:r>
          </w:p>
        </w:tc>
        <w:tc>
          <w:tcPr>
            <w:tcW w:w="1009" w:type="dxa"/>
            <w:tcBorders>
              <w:top w:val="nil"/>
              <w:left w:val="nil"/>
              <w:bottom w:val="single" w:sz="4" w:space="0" w:color="auto"/>
              <w:right w:val="nil"/>
            </w:tcBorders>
            <w:shd w:val="clear" w:color="auto" w:fill="auto"/>
            <w:noWrap/>
            <w:vAlign w:val="center"/>
            <w:hideMark/>
          </w:tcPr>
          <w:p w14:paraId="3656C30B" w14:textId="7BEF0FF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+14 </w:t>
            </w:r>
            <w:r w:rsidR="00B07E76">
              <w:rPr>
                <w:rFonts w:eastAsia="Times New Roman"/>
                <w:color w:val="000000" w:themeColor="text1"/>
                <w:sz w:val="20"/>
                <w:szCs w:val="20"/>
                <w:lang w:eastAsia="cs-CZ"/>
              </w:rPr>
              <w:t>%</w:t>
            </w:r>
          </w:p>
        </w:tc>
        <w:tc>
          <w:tcPr>
            <w:tcW w:w="856" w:type="dxa"/>
            <w:tcBorders>
              <w:top w:val="nil"/>
              <w:left w:val="single" w:sz="4" w:space="0" w:color="auto"/>
              <w:bottom w:val="single" w:sz="4" w:space="0" w:color="auto"/>
              <w:right w:val="nil"/>
            </w:tcBorders>
            <w:shd w:val="clear" w:color="auto" w:fill="auto"/>
            <w:noWrap/>
            <w:vAlign w:val="bottom"/>
            <w:hideMark/>
          </w:tcPr>
          <w:p w14:paraId="398547C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497</w:t>
            </w:r>
          </w:p>
        </w:tc>
        <w:tc>
          <w:tcPr>
            <w:tcW w:w="1009" w:type="dxa"/>
            <w:tcBorders>
              <w:top w:val="nil"/>
              <w:left w:val="nil"/>
              <w:bottom w:val="single" w:sz="4" w:space="0" w:color="auto"/>
              <w:right w:val="single" w:sz="4" w:space="0" w:color="auto"/>
            </w:tcBorders>
            <w:shd w:val="clear" w:color="auto" w:fill="auto"/>
            <w:noWrap/>
            <w:vAlign w:val="center"/>
            <w:hideMark/>
          </w:tcPr>
          <w:p w14:paraId="491F5B69" w14:textId="09E989A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811" w:type="dxa"/>
            <w:tcBorders>
              <w:top w:val="nil"/>
              <w:left w:val="nil"/>
              <w:bottom w:val="single" w:sz="4" w:space="0" w:color="auto"/>
              <w:right w:val="nil"/>
            </w:tcBorders>
            <w:shd w:val="clear" w:color="auto" w:fill="auto"/>
            <w:noWrap/>
            <w:vAlign w:val="bottom"/>
            <w:hideMark/>
          </w:tcPr>
          <w:p w14:paraId="530294E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515</w:t>
            </w:r>
          </w:p>
        </w:tc>
        <w:tc>
          <w:tcPr>
            <w:tcW w:w="1009" w:type="dxa"/>
            <w:tcBorders>
              <w:top w:val="nil"/>
              <w:left w:val="nil"/>
              <w:bottom w:val="single" w:sz="4" w:space="0" w:color="auto"/>
              <w:right w:val="single" w:sz="4" w:space="0" w:color="auto"/>
            </w:tcBorders>
            <w:shd w:val="clear" w:color="auto" w:fill="auto"/>
            <w:noWrap/>
            <w:vAlign w:val="center"/>
            <w:hideMark/>
          </w:tcPr>
          <w:p w14:paraId="25162507" w14:textId="0816082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+16 </w:t>
            </w:r>
            <w:r w:rsidR="00B07E76">
              <w:rPr>
                <w:rFonts w:eastAsia="Times New Roman"/>
                <w:color w:val="000000" w:themeColor="text1"/>
                <w:sz w:val="20"/>
                <w:szCs w:val="20"/>
                <w:lang w:eastAsia="cs-CZ"/>
              </w:rPr>
              <w:t>%</w:t>
            </w:r>
          </w:p>
        </w:tc>
        <w:tc>
          <w:tcPr>
            <w:tcW w:w="1699" w:type="dxa"/>
            <w:tcBorders>
              <w:top w:val="nil"/>
              <w:left w:val="nil"/>
              <w:bottom w:val="single" w:sz="4" w:space="0" w:color="auto"/>
              <w:right w:val="nil"/>
            </w:tcBorders>
            <w:shd w:val="clear" w:color="auto" w:fill="auto"/>
            <w:noWrap/>
            <w:vAlign w:val="bottom"/>
            <w:hideMark/>
          </w:tcPr>
          <w:p w14:paraId="5D97343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87,65</w:t>
            </w:r>
          </w:p>
        </w:tc>
      </w:tr>
      <w:tr w:rsidR="008430BD" w:rsidRPr="001C3EC8" w14:paraId="17929DF8" w14:textId="77777777" w:rsidTr="005D25EE">
        <w:trPr>
          <w:trHeight w:val="315"/>
        </w:trPr>
        <w:tc>
          <w:tcPr>
            <w:tcW w:w="1980" w:type="dxa"/>
            <w:tcBorders>
              <w:top w:val="nil"/>
              <w:left w:val="nil"/>
              <w:bottom w:val="single" w:sz="4" w:space="0" w:color="auto"/>
              <w:right w:val="nil"/>
            </w:tcBorders>
            <w:shd w:val="clear" w:color="auto" w:fill="auto"/>
            <w:noWrap/>
            <w:vAlign w:val="bottom"/>
            <w:hideMark/>
          </w:tcPr>
          <w:p w14:paraId="2249841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856" w:type="dxa"/>
            <w:tcBorders>
              <w:top w:val="nil"/>
              <w:left w:val="nil"/>
              <w:bottom w:val="single" w:sz="4" w:space="0" w:color="auto"/>
              <w:right w:val="nil"/>
            </w:tcBorders>
            <w:shd w:val="clear" w:color="auto" w:fill="auto"/>
            <w:noWrap/>
            <w:vAlign w:val="bottom"/>
            <w:hideMark/>
          </w:tcPr>
          <w:p w14:paraId="795D916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276</w:t>
            </w:r>
          </w:p>
        </w:tc>
        <w:tc>
          <w:tcPr>
            <w:tcW w:w="1009" w:type="dxa"/>
            <w:tcBorders>
              <w:top w:val="nil"/>
              <w:left w:val="nil"/>
              <w:bottom w:val="single" w:sz="4" w:space="0" w:color="auto"/>
              <w:right w:val="nil"/>
            </w:tcBorders>
            <w:shd w:val="clear" w:color="auto" w:fill="auto"/>
            <w:noWrap/>
            <w:vAlign w:val="center"/>
            <w:hideMark/>
          </w:tcPr>
          <w:p w14:paraId="15A083A6" w14:textId="50E1BD9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+19 </w:t>
            </w:r>
            <w:r w:rsidR="00B07E76">
              <w:rPr>
                <w:rFonts w:eastAsia="Times New Roman"/>
                <w:color w:val="000000" w:themeColor="text1"/>
                <w:sz w:val="20"/>
                <w:szCs w:val="20"/>
                <w:lang w:eastAsia="cs-CZ"/>
              </w:rPr>
              <w:t>%</w:t>
            </w:r>
          </w:p>
        </w:tc>
        <w:tc>
          <w:tcPr>
            <w:tcW w:w="856" w:type="dxa"/>
            <w:tcBorders>
              <w:top w:val="nil"/>
              <w:left w:val="single" w:sz="4" w:space="0" w:color="auto"/>
              <w:bottom w:val="single" w:sz="4" w:space="0" w:color="auto"/>
              <w:right w:val="nil"/>
            </w:tcBorders>
            <w:shd w:val="clear" w:color="auto" w:fill="auto"/>
            <w:noWrap/>
            <w:vAlign w:val="bottom"/>
            <w:hideMark/>
          </w:tcPr>
          <w:p w14:paraId="49E73FC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263</w:t>
            </w:r>
          </w:p>
        </w:tc>
        <w:tc>
          <w:tcPr>
            <w:tcW w:w="1009" w:type="dxa"/>
            <w:tcBorders>
              <w:top w:val="nil"/>
              <w:left w:val="nil"/>
              <w:bottom w:val="single" w:sz="4" w:space="0" w:color="auto"/>
              <w:right w:val="single" w:sz="4" w:space="0" w:color="auto"/>
            </w:tcBorders>
            <w:shd w:val="clear" w:color="auto" w:fill="auto"/>
            <w:noWrap/>
            <w:vAlign w:val="center"/>
            <w:hideMark/>
          </w:tcPr>
          <w:p w14:paraId="4785E81E" w14:textId="4F9DED5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811" w:type="dxa"/>
            <w:tcBorders>
              <w:top w:val="nil"/>
              <w:left w:val="nil"/>
              <w:bottom w:val="single" w:sz="4" w:space="0" w:color="auto"/>
              <w:right w:val="nil"/>
            </w:tcBorders>
            <w:shd w:val="clear" w:color="auto" w:fill="auto"/>
            <w:noWrap/>
            <w:vAlign w:val="bottom"/>
            <w:hideMark/>
          </w:tcPr>
          <w:p w14:paraId="77269D4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151</w:t>
            </w:r>
          </w:p>
        </w:tc>
        <w:tc>
          <w:tcPr>
            <w:tcW w:w="1009" w:type="dxa"/>
            <w:tcBorders>
              <w:top w:val="nil"/>
              <w:left w:val="nil"/>
              <w:bottom w:val="single" w:sz="4" w:space="0" w:color="auto"/>
              <w:right w:val="single" w:sz="4" w:space="0" w:color="auto"/>
            </w:tcBorders>
            <w:shd w:val="clear" w:color="auto" w:fill="auto"/>
            <w:noWrap/>
            <w:vAlign w:val="center"/>
            <w:hideMark/>
          </w:tcPr>
          <w:p w14:paraId="1F6D0A49" w14:textId="256696F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+9 </w:t>
            </w:r>
            <w:r w:rsidR="00B07E76">
              <w:rPr>
                <w:rFonts w:eastAsia="Times New Roman"/>
                <w:color w:val="000000" w:themeColor="text1"/>
                <w:sz w:val="20"/>
                <w:szCs w:val="20"/>
                <w:lang w:eastAsia="cs-CZ"/>
              </w:rPr>
              <w:t>%</w:t>
            </w:r>
          </w:p>
        </w:tc>
        <w:tc>
          <w:tcPr>
            <w:tcW w:w="1699" w:type="dxa"/>
            <w:tcBorders>
              <w:top w:val="nil"/>
              <w:left w:val="nil"/>
              <w:bottom w:val="single" w:sz="4" w:space="0" w:color="auto"/>
              <w:right w:val="nil"/>
            </w:tcBorders>
            <w:shd w:val="clear" w:color="auto" w:fill="auto"/>
            <w:noWrap/>
            <w:vAlign w:val="bottom"/>
            <w:hideMark/>
          </w:tcPr>
          <w:p w14:paraId="3530434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95,29</w:t>
            </w:r>
          </w:p>
        </w:tc>
      </w:tr>
      <w:tr w:rsidR="008430BD" w:rsidRPr="001C3EC8" w14:paraId="55108934" w14:textId="77777777" w:rsidTr="005D25EE">
        <w:trPr>
          <w:trHeight w:val="315"/>
        </w:trPr>
        <w:tc>
          <w:tcPr>
            <w:tcW w:w="1980" w:type="dxa"/>
            <w:tcBorders>
              <w:top w:val="nil"/>
              <w:left w:val="nil"/>
              <w:bottom w:val="single" w:sz="4" w:space="0" w:color="auto"/>
              <w:right w:val="nil"/>
            </w:tcBorders>
            <w:shd w:val="clear" w:color="auto" w:fill="auto"/>
            <w:noWrap/>
            <w:vAlign w:val="bottom"/>
            <w:hideMark/>
          </w:tcPr>
          <w:p w14:paraId="6EC2E106"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856" w:type="dxa"/>
            <w:tcBorders>
              <w:top w:val="nil"/>
              <w:left w:val="nil"/>
              <w:bottom w:val="single" w:sz="4" w:space="0" w:color="auto"/>
              <w:right w:val="nil"/>
            </w:tcBorders>
            <w:shd w:val="clear" w:color="auto" w:fill="auto"/>
            <w:noWrap/>
            <w:vAlign w:val="bottom"/>
            <w:hideMark/>
          </w:tcPr>
          <w:p w14:paraId="453F8A48"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370</w:t>
            </w:r>
          </w:p>
        </w:tc>
        <w:tc>
          <w:tcPr>
            <w:tcW w:w="1009" w:type="dxa"/>
            <w:tcBorders>
              <w:top w:val="nil"/>
              <w:left w:val="nil"/>
              <w:bottom w:val="single" w:sz="4" w:space="0" w:color="auto"/>
              <w:right w:val="nil"/>
            </w:tcBorders>
            <w:shd w:val="clear" w:color="auto" w:fill="auto"/>
            <w:noWrap/>
            <w:vAlign w:val="center"/>
            <w:hideMark/>
          </w:tcPr>
          <w:p w14:paraId="31A8C399" w14:textId="5D5F348D"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 </w:t>
            </w:r>
            <w:r w:rsidR="00B07E76">
              <w:rPr>
                <w:rFonts w:eastAsia="Times New Roman"/>
                <w:color w:val="000000" w:themeColor="text1"/>
                <w:sz w:val="20"/>
                <w:szCs w:val="20"/>
                <w:lang w:eastAsia="cs-CZ"/>
              </w:rPr>
              <w:t>%</w:t>
            </w:r>
          </w:p>
        </w:tc>
        <w:tc>
          <w:tcPr>
            <w:tcW w:w="856" w:type="dxa"/>
            <w:tcBorders>
              <w:top w:val="nil"/>
              <w:left w:val="single" w:sz="4" w:space="0" w:color="auto"/>
              <w:bottom w:val="single" w:sz="4" w:space="0" w:color="auto"/>
              <w:right w:val="nil"/>
            </w:tcBorders>
            <w:shd w:val="clear" w:color="auto" w:fill="auto"/>
            <w:noWrap/>
            <w:vAlign w:val="bottom"/>
            <w:hideMark/>
          </w:tcPr>
          <w:p w14:paraId="32649D7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377</w:t>
            </w:r>
          </w:p>
        </w:tc>
        <w:tc>
          <w:tcPr>
            <w:tcW w:w="1009" w:type="dxa"/>
            <w:tcBorders>
              <w:top w:val="nil"/>
              <w:left w:val="nil"/>
              <w:bottom w:val="single" w:sz="4" w:space="0" w:color="auto"/>
              <w:right w:val="single" w:sz="4" w:space="0" w:color="auto"/>
            </w:tcBorders>
            <w:shd w:val="clear" w:color="auto" w:fill="auto"/>
            <w:noWrap/>
            <w:vAlign w:val="center"/>
            <w:hideMark/>
          </w:tcPr>
          <w:p w14:paraId="58F90896" w14:textId="6900A122"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+32 </w:t>
            </w:r>
            <w:r w:rsidR="00B07E76">
              <w:rPr>
                <w:rFonts w:eastAsia="Times New Roman"/>
                <w:color w:val="000000" w:themeColor="text1"/>
                <w:sz w:val="20"/>
                <w:szCs w:val="20"/>
                <w:lang w:eastAsia="cs-CZ"/>
              </w:rPr>
              <w:t>%</w:t>
            </w:r>
          </w:p>
        </w:tc>
        <w:tc>
          <w:tcPr>
            <w:tcW w:w="811" w:type="dxa"/>
            <w:tcBorders>
              <w:top w:val="nil"/>
              <w:left w:val="nil"/>
              <w:bottom w:val="single" w:sz="4" w:space="0" w:color="auto"/>
              <w:right w:val="nil"/>
            </w:tcBorders>
            <w:shd w:val="clear" w:color="auto" w:fill="auto"/>
            <w:noWrap/>
            <w:vAlign w:val="bottom"/>
            <w:hideMark/>
          </w:tcPr>
          <w:p w14:paraId="64CB4B1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277</w:t>
            </w:r>
          </w:p>
        </w:tc>
        <w:tc>
          <w:tcPr>
            <w:tcW w:w="1009" w:type="dxa"/>
            <w:tcBorders>
              <w:top w:val="nil"/>
              <w:left w:val="nil"/>
              <w:bottom w:val="single" w:sz="4" w:space="0" w:color="auto"/>
              <w:right w:val="single" w:sz="4" w:space="0" w:color="auto"/>
            </w:tcBorders>
            <w:shd w:val="clear" w:color="auto" w:fill="auto"/>
            <w:noWrap/>
            <w:vAlign w:val="center"/>
            <w:hideMark/>
          </w:tcPr>
          <w:p w14:paraId="660CA112" w14:textId="273E7EA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1699" w:type="dxa"/>
            <w:tcBorders>
              <w:top w:val="nil"/>
              <w:left w:val="nil"/>
              <w:bottom w:val="single" w:sz="4" w:space="0" w:color="auto"/>
              <w:right w:val="nil"/>
            </w:tcBorders>
            <w:shd w:val="clear" w:color="auto" w:fill="auto"/>
            <w:noWrap/>
            <w:vAlign w:val="bottom"/>
            <w:hideMark/>
          </w:tcPr>
          <w:p w14:paraId="0D8C291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101,89</w:t>
            </w:r>
          </w:p>
        </w:tc>
      </w:tr>
      <w:tr w:rsidR="008430BD" w:rsidRPr="001C3EC8" w14:paraId="0EC396FC" w14:textId="77777777" w:rsidTr="005D25EE">
        <w:trPr>
          <w:trHeight w:val="315"/>
        </w:trPr>
        <w:tc>
          <w:tcPr>
            <w:tcW w:w="1980" w:type="dxa"/>
            <w:tcBorders>
              <w:top w:val="nil"/>
              <w:left w:val="nil"/>
              <w:bottom w:val="single" w:sz="4" w:space="0" w:color="auto"/>
              <w:right w:val="nil"/>
            </w:tcBorders>
            <w:shd w:val="clear" w:color="auto" w:fill="auto"/>
            <w:noWrap/>
            <w:vAlign w:val="bottom"/>
            <w:hideMark/>
          </w:tcPr>
          <w:p w14:paraId="766C7EC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856" w:type="dxa"/>
            <w:tcBorders>
              <w:top w:val="nil"/>
              <w:left w:val="nil"/>
              <w:bottom w:val="single" w:sz="4" w:space="0" w:color="auto"/>
              <w:right w:val="nil"/>
            </w:tcBorders>
            <w:shd w:val="clear" w:color="auto" w:fill="auto"/>
            <w:noWrap/>
            <w:vAlign w:val="bottom"/>
            <w:hideMark/>
          </w:tcPr>
          <w:p w14:paraId="3B48B84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533</w:t>
            </w:r>
          </w:p>
        </w:tc>
        <w:tc>
          <w:tcPr>
            <w:tcW w:w="1009" w:type="dxa"/>
            <w:tcBorders>
              <w:top w:val="nil"/>
              <w:left w:val="nil"/>
              <w:bottom w:val="single" w:sz="4" w:space="0" w:color="auto"/>
              <w:right w:val="nil"/>
            </w:tcBorders>
            <w:shd w:val="clear" w:color="auto" w:fill="auto"/>
            <w:noWrap/>
            <w:vAlign w:val="center"/>
            <w:hideMark/>
          </w:tcPr>
          <w:p w14:paraId="6FD1DB0C" w14:textId="0FE8707C"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856" w:type="dxa"/>
            <w:tcBorders>
              <w:top w:val="nil"/>
              <w:left w:val="single" w:sz="4" w:space="0" w:color="auto"/>
              <w:bottom w:val="single" w:sz="4" w:space="0" w:color="auto"/>
              <w:right w:val="nil"/>
            </w:tcBorders>
            <w:shd w:val="clear" w:color="auto" w:fill="auto"/>
            <w:noWrap/>
            <w:vAlign w:val="bottom"/>
            <w:hideMark/>
          </w:tcPr>
          <w:p w14:paraId="60CD4D1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557</w:t>
            </w:r>
          </w:p>
        </w:tc>
        <w:tc>
          <w:tcPr>
            <w:tcW w:w="1009" w:type="dxa"/>
            <w:tcBorders>
              <w:top w:val="nil"/>
              <w:left w:val="nil"/>
              <w:bottom w:val="single" w:sz="4" w:space="0" w:color="auto"/>
              <w:right w:val="single" w:sz="4" w:space="0" w:color="auto"/>
            </w:tcBorders>
            <w:shd w:val="clear" w:color="auto" w:fill="auto"/>
            <w:noWrap/>
            <w:vAlign w:val="center"/>
            <w:hideMark/>
          </w:tcPr>
          <w:p w14:paraId="3F13AE18" w14:textId="40F3CEA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811" w:type="dxa"/>
            <w:tcBorders>
              <w:top w:val="nil"/>
              <w:left w:val="nil"/>
              <w:bottom w:val="single" w:sz="4" w:space="0" w:color="auto"/>
              <w:right w:val="nil"/>
            </w:tcBorders>
            <w:shd w:val="clear" w:color="auto" w:fill="auto"/>
            <w:noWrap/>
            <w:vAlign w:val="bottom"/>
            <w:hideMark/>
          </w:tcPr>
          <w:p w14:paraId="710AABC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523</w:t>
            </w:r>
          </w:p>
        </w:tc>
        <w:tc>
          <w:tcPr>
            <w:tcW w:w="1009" w:type="dxa"/>
            <w:tcBorders>
              <w:top w:val="nil"/>
              <w:left w:val="nil"/>
              <w:bottom w:val="single" w:sz="4" w:space="0" w:color="auto"/>
              <w:right w:val="single" w:sz="4" w:space="0" w:color="auto"/>
            </w:tcBorders>
            <w:shd w:val="clear" w:color="auto" w:fill="auto"/>
            <w:noWrap/>
            <w:vAlign w:val="center"/>
            <w:hideMark/>
          </w:tcPr>
          <w:p w14:paraId="416CE20F" w14:textId="3F284CA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699" w:type="dxa"/>
            <w:tcBorders>
              <w:top w:val="nil"/>
              <w:left w:val="nil"/>
              <w:bottom w:val="single" w:sz="4" w:space="0" w:color="auto"/>
              <w:right w:val="nil"/>
            </w:tcBorders>
            <w:shd w:val="clear" w:color="auto" w:fill="auto"/>
            <w:noWrap/>
            <w:vAlign w:val="bottom"/>
            <w:hideMark/>
          </w:tcPr>
          <w:p w14:paraId="0929418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104,50</w:t>
            </w:r>
          </w:p>
        </w:tc>
      </w:tr>
      <w:tr w:rsidR="008430BD" w:rsidRPr="001C3EC8" w14:paraId="74D7F635" w14:textId="77777777" w:rsidTr="005D25EE">
        <w:trPr>
          <w:trHeight w:val="315"/>
        </w:trPr>
        <w:tc>
          <w:tcPr>
            <w:tcW w:w="1980" w:type="dxa"/>
            <w:tcBorders>
              <w:top w:val="nil"/>
              <w:left w:val="nil"/>
              <w:bottom w:val="single" w:sz="4" w:space="0" w:color="auto"/>
              <w:right w:val="nil"/>
            </w:tcBorders>
            <w:shd w:val="clear" w:color="auto" w:fill="auto"/>
            <w:noWrap/>
            <w:vAlign w:val="bottom"/>
            <w:hideMark/>
          </w:tcPr>
          <w:p w14:paraId="00840B3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856" w:type="dxa"/>
            <w:tcBorders>
              <w:top w:val="nil"/>
              <w:left w:val="nil"/>
              <w:bottom w:val="single" w:sz="4" w:space="0" w:color="auto"/>
              <w:right w:val="nil"/>
            </w:tcBorders>
            <w:shd w:val="clear" w:color="auto" w:fill="auto"/>
            <w:noWrap/>
            <w:vAlign w:val="bottom"/>
            <w:hideMark/>
          </w:tcPr>
          <w:p w14:paraId="64AE929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449</w:t>
            </w:r>
          </w:p>
        </w:tc>
        <w:tc>
          <w:tcPr>
            <w:tcW w:w="1009" w:type="dxa"/>
            <w:tcBorders>
              <w:top w:val="nil"/>
              <w:left w:val="nil"/>
              <w:bottom w:val="single" w:sz="4" w:space="0" w:color="auto"/>
              <w:right w:val="nil"/>
            </w:tcBorders>
            <w:shd w:val="clear" w:color="auto" w:fill="auto"/>
            <w:noWrap/>
            <w:vAlign w:val="center"/>
            <w:hideMark/>
          </w:tcPr>
          <w:p w14:paraId="1839CC3A" w14:textId="3A0682D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+15 </w:t>
            </w:r>
            <w:r w:rsidR="00B07E76">
              <w:rPr>
                <w:rFonts w:eastAsia="Times New Roman"/>
                <w:color w:val="000000" w:themeColor="text1"/>
                <w:sz w:val="20"/>
                <w:szCs w:val="20"/>
                <w:lang w:eastAsia="cs-CZ"/>
              </w:rPr>
              <w:t>%</w:t>
            </w:r>
          </w:p>
        </w:tc>
        <w:tc>
          <w:tcPr>
            <w:tcW w:w="856" w:type="dxa"/>
            <w:tcBorders>
              <w:top w:val="nil"/>
              <w:left w:val="single" w:sz="4" w:space="0" w:color="auto"/>
              <w:bottom w:val="single" w:sz="4" w:space="0" w:color="auto"/>
              <w:right w:val="nil"/>
            </w:tcBorders>
            <w:shd w:val="clear" w:color="auto" w:fill="auto"/>
            <w:noWrap/>
            <w:vAlign w:val="bottom"/>
            <w:hideMark/>
          </w:tcPr>
          <w:p w14:paraId="7C5C7C3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462</w:t>
            </w:r>
          </w:p>
        </w:tc>
        <w:tc>
          <w:tcPr>
            <w:tcW w:w="1009" w:type="dxa"/>
            <w:tcBorders>
              <w:top w:val="nil"/>
              <w:left w:val="nil"/>
              <w:bottom w:val="single" w:sz="4" w:space="0" w:color="auto"/>
              <w:right w:val="single" w:sz="4" w:space="0" w:color="auto"/>
            </w:tcBorders>
            <w:shd w:val="clear" w:color="auto" w:fill="auto"/>
            <w:noWrap/>
            <w:vAlign w:val="center"/>
            <w:hideMark/>
          </w:tcPr>
          <w:p w14:paraId="03159409" w14:textId="11D9CE17"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 </w:t>
            </w:r>
            <w:r w:rsidR="00B07E76">
              <w:rPr>
                <w:rFonts w:eastAsia="Times New Roman"/>
                <w:color w:val="000000" w:themeColor="text1"/>
                <w:sz w:val="20"/>
                <w:szCs w:val="20"/>
                <w:lang w:eastAsia="cs-CZ"/>
              </w:rPr>
              <w:t>%</w:t>
            </w:r>
          </w:p>
        </w:tc>
        <w:tc>
          <w:tcPr>
            <w:tcW w:w="811" w:type="dxa"/>
            <w:tcBorders>
              <w:top w:val="nil"/>
              <w:left w:val="nil"/>
              <w:bottom w:val="single" w:sz="4" w:space="0" w:color="auto"/>
              <w:right w:val="nil"/>
            </w:tcBorders>
            <w:shd w:val="clear" w:color="auto" w:fill="auto"/>
            <w:noWrap/>
            <w:vAlign w:val="bottom"/>
            <w:hideMark/>
          </w:tcPr>
          <w:p w14:paraId="6DDCD92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322</w:t>
            </w:r>
          </w:p>
        </w:tc>
        <w:tc>
          <w:tcPr>
            <w:tcW w:w="1009" w:type="dxa"/>
            <w:tcBorders>
              <w:top w:val="nil"/>
              <w:left w:val="nil"/>
              <w:bottom w:val="single" w:sz="4" w:space="0" w:color="auto"/>
              <w:right w:val="single" w:sz="4" w:space="0" w:color="auto"/>
            </w:tcBorders>
            <w:shd w:val="clear" w:color="auto" w:fill="auto"/>
            <w:noWrap/>
            <w:vAlign w:val="center"/>
            <w:hideMark/>
          </w:tcPr>
          <w:p w14:paraId="4C82F293" w14:textId="5A2D9A3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-4 </w:t>
            </w:r>
            <w:r w:rsidR="00B07E76">
              <w:rPr>
                <w:rFonts w:eastAsia="Times New Roman"/>
                <w:color w:val="000000" w:themeColor="text1"/>
                <w:sz w:val="20"/>
                <w:szCs w:val="20"/>
                <w:lang w:eastAsia="cs-CZ"/>
              </w:rPr>
              <w:t>%</w:t>
            </w:r>
          </w:p>
        </w:tc>
        <w:tc>
          <w:tcPr>
            <w:tcW w:w="1699" w:type="dxa"/>
            <w:tcBorders>
              <w:top w:val="nil"/>
              <w:left w:val="nil"/>
              <w:bottom w:val="single" w:sz="4" w:space="0" w:color="auto"/>
              <w:right w:val="nil"/>
            </w:tcBorders>
            <w:shd w:val="clear" w:color="auto" w:fill="auto"/>
            <w:noWrap/>
            <w:vAlign w:val="bottom"/>
            <w:hideMark/>
          </w:tcPr>
          <w:p w14:paraId="56A0E0A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102,90</w:t>
            </w:r>
          </w:p>
        </w:tc>
      </w:tr>
      <w:tr w:rsidR="008430BD" w:rsidRPr="001C3EC8" w14:paraId="1ABFB4F4" w14:textId="77777777" w:rsidTr="005D25EE">
        <w:trPr>
          <w:trHeight w:val="315"/>
        </w:trPr>
        <w:tc>
          <w:tcPr>
            <w:tcW w:w="1980" w:type="dxa"/>
            <w:tcBorders>
              <w:top w:val="nil"/>
              <w:left w:val="nil"/>
              <w:bottom w:val="single" w:sz="4" w:space="0" w:color="auto"/>
              <w:right w:val="nil"/>
            </w:tcBorders>
            <w:shd w:val="clear" w:color="auto" w:fill="auto"/>
            <w:noWrap/>
            <w:vAlign w:val="bottom"/>
            <w:hideMark/>
          </w:tcPr>
          <w:p w14:paraId="1C0D3349"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856" w:type="dxa"/>
            <w:tcBorders>
              <w:top w:val="nil"/>
              <w:left w:val="nil"/>
              <w:bottom w:val="single" w:sz="4" w:space="0" w:color="auto"/>
              <w:right w:val="nil"/>
            </w:tcBorders>
            <w:shd w:val="clear" w:color="auto" w:fill="auto"/>
            <w:noWrap/>
            <w:vAlign w:val="bottom"/>
            <w:hideMark/>
          </w:tcPr>
          <w:p w14:paraId="41753D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659</w:t>
            </w:r>
          </w:p>
        </w:tc>
        <w:tc>
          <w:tcPr>
            <w:tcW w:w="1009" w:type="dxa"/>
            <w:tcBorders>
              <w:top w:val="nil"/>
              <w:left w:val="nil"/>
              <w:bottom w:val="single" w:sz="4" w:space="0" w:color="auto"/>
              <w:right w:val="nil"/>
            </w:tcBorders>
            <w:shd w:val="clear" w:color="auto" w:fill="auto"/>
            <w:noWrap/>
            <w:vAlign w:val="center"/>
            <w:hideMark/>
          </w:tcPr>
          <w:p w14:paraId="49D3A9B8" w14:textId="6171CAB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-6 </w:t>
            </w:r>
            <w:r w:rsidR="00B07E76">
              <w:rPr>
                <w:rFonts w:eastAsia="Times New Roman"/>
                <w:color w:val="000000" w:themeColor="text1"/>
                <w:sz w:val="20"/>
                <w:szCs w:val="20"/>
                <w:lang w:eastAsia="cs-CZ"/>
              </w:rPr>
              <w:t>%</w:t>
            </w:r>
          </w:p>
        </w:tc>
        <w:tc>
          <w:tcPr>
            <w:tcW w:w="856" w:type="dxa"/>
            <w:tcBorders>
              <w:top w:val="nil"/>
              <w:left w:val="single" w:sz="4" w:space="0" w:color="auto"/>
              <w:bottom w:val="single" w:sz="4" w:space="0" w:color="auto"/>
              <w:right w:val="nil"/>
            </w:tcBorders>
            <w:shd w:val="clear" w:color="auto" w:fill="auto"/>
            <w:noWrap/>
            <w:vAlign w:val="bottom"/>
            <w:hideMark/>
          </w:tcPr>
          <w:p w14:paraId="5822CE8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946</w:t>
            </w:r>
          </w:p>
        </w:tc>
        <w:tc>
          <w:tcPr>
            <w:tcW w:w="1009" w:type="dxa"/>
            <w:tcBorders>
              <w:top w:val="nil"/>
              <w:left w:val="nil"/>
              <w:bottom w:val="single" w:sz="4" w:space="0" w:color="auto"/>
              <w:right w:val="single" w:sz="4" w:space="0" w:color="auto"/>
            </w:tcBorders>
            <w:shd w:val="clear" w:color="auto" w:fill="auto"/>
            <w:noWrap/>
            <w:vAlign w:val="center"/>
            <w:hideMark/>
          </w:tcPr>
          <w:p w14:paraId="4A5A3DAD" w14:textId="55A2964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-36 </w:t>
            </w:r>
            <w:r w:rsidR="00B07E76">
              <w:rPr>
                <w:rFonts w:eastAsia="Times New Roman"/>
                <w:color w:val="000000" w:themeColor="text1"/>
                <w:sz w:val="20"/>
                <w:szCs w:val="20"/>
                <w:lang w:eastAsia="cs-CZ"/>
              </w:rPr>
              <w:t>%</w:t>
            </w:r>
          </w:p>
        </w:tc>
        <w:tc>
          <w:tcPr>
            <w:tcW w:w="811" w:type="dxa"/>
            <w:tcBorders>
              <w:top w:val="nil"/>
              <w:left w:val="nil"/>
              <w:bottom w:val="single" w:sz="4" w:space="0" w:color="auto"/>
              <w:right w:val="nil"/>
            </w:tcBorders>
            <w:shd w:val="clear" w:color="auto" w:fill="auto"/>
            <w:noWrap/>
            <w:vAlign w:val="bottom"/>
            <w:hideMark/>
          </w:tcPr>
          <w:p w14:paraId="02FD02DF" w14:textId="49AAB2D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w:t>
            </w:r>
            <w:r w:rsidR="00B4248B">
              <w:rPr>
                <w:rFonts w:eastAsia="Times New Roman"/>
                <w:color w:val="000000" w:themeColor="text1"/>
                <w:szCs w:val="24"/>
                <w:lang w:eastAsia="cs-CZ"/>
              </w:rPr>
              <w:t xml:space="preserve"> </w:t>
            </w:r>
            <w:r w:rsidRPr="001C3EC8">
              <w:rPr>
                <w:rFonts w:eastAsia="Times New Roman"/>
                <w:color w:val="000000" w:themeColor="text1"/>
                <w:szCs w:val="24"/>
                <w:lang w:eastAsia="cs-CZ"/>
              </w:rPr>
              <w:t>026</w:t>
            </w:r>
          </w:p>
        </w:tc>
        <w:tc>
          <w:tcPr>
            <w:tcW w:w="1009" w:type="dxa"/>
            <w:tcBorders>
              <w:top w:val="nil"/>
              <w:left w:val="nil"/>
              <w:bottom w:val="single" w:sz="4" w:space="0" w:color="auto"/>
              <w:right w:val="single" w:sz="4" w:space="0" w:color="auto"/>
            </w:tcBorders>
            <w:shd w:val="clear" w:color="auto" w:fill="auto"/>
            <w:noWrap/>
            <w:vAlign w:val="center"/>
            <w:hideMark/>
          </w:tcPr>
          <w:p w14:paraId="3F63E381" w14:textId="29ADC84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1699" w:type="dxa"/>
            <w:tcBorders>
              <w:top w:val="nil"/>
              <w:left w:val="nil"/>
              <w:bottom w:val="single" w:sz="4" w:space="0" w:color="auto"/>
              <w:right w:val="nil"/>
            </w:tcBorders>
            <w:shd w:val="clear" w:color="auto" w:fill="auto"/>
            <w:noWrap/>
            <w:vAlign w:val="bottom"/>
            <w:hideMark/>
          </w:tcPr>
          <w:p w14:paraId="761B921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143,55</w:t>
            </w:r>
          </w:p>
        </w:tc>
      </w:tr>
      <w:tr w:rsidR="008430BD" w:rsidRPr="001C3EC8" w14:paraId="158A21CF" w14:textId="77777777" w:rsidTr="005D25EE">
        <w:trPr>
          <w:trHeight w:val="330"/>
        </w:trPr>
        <w:tc>
          <w:tcPr>
            <w:tcW w:w="1980" w:type="dxa"/>
            <w:tcBorders>
              <w:top w:val="nil"/>
              <w:left w:val="nil"/>
              <w:bottom w:val="double" w:sz="6" w:space="0" w:color="auto"/>
              <w:right w:val="nil"/>
            </w:tcBorders>
            <w:shd w:val="clear" w:color="auto" w:fill="auto"/>
            <w:noWrap/>
            <w:vAlign w:val="bottom"/>
            <w:hideMark/>
          </w:tcPr>
          <w:p w14:paraId="478DA438"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856" w:type="dxa"/>
            <w:tcBorders>
              <w:top w:val="nil"/>
              <w:left w:val="nil"/>
              <w:bottom w:val="double" w:sz="6" w:space="0" w:color="auto"/>
              <w:right w:val="nil"/>
            </w:tcBorders>
            <w:shd w:val="clear" w:color="auto" w:fill="auto"/>
            <w:noWrap/>
            <w:vAlign w:val="bottom"/>
            <w:hideMark/>
          </w:tcPr>
          <w:p w14:paraId="1FE1DF4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703</w:t>
            </w:r>
          </w:p>
        </w:tc>
        <w:tc>
          <w:tcPr>
            <w:tcW w:w="1009" w:type="dxa"/>
            <w:tcBorders>
              <w:top w:val="nil"/>
              <w:left w:val="nil"/>
              <w:bottom w:val="double" w:sz="6" w:space="0" w:color="auto"/>
              <w:right w:val="nil"/>
            </w:tcBorders>
            <w:shd w:val="clear" w:color="auto" w:fill="auto"/>
            <w:noWrap/>
            <w:vAlign w:val="center"/>
            <w:hideMark/>
          </w:tcPr>
          <w:p w14:paraId="3740301D" w14:textId="1DB9FD4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 </w:t>
            </w:r>
            <w:r w:rsidR="00B07E76">
              <w:rPr>
                <w:rFonts w:eastAsia="Times New Roman"/>
                <w:color w:val="000000" w:themeColor="text1"/>
                <w:sz w:val="20"/>
                <w:szCs w:val="20"/>
                <w:lang w:eastAsia="cs-CZ"/>
              </w:rPr>
              <w:t>%</w:t>
            </w:r>
          </w:p>
        </w:tc>
        <w:tc>
          <w:tcPr>
            <w:tcW w:w="856" w:type="dxa"/>
            <w:tcBorders>
              <w:top w:val="nil"/>
              <w:left w:val="single" w:sz="4" w:space="0" w:color="auto"/>
              <w:bottom w:val="double" w:sz="6" w:space="0" w:color="auto"/>
              <w:right w:val="nil"/>
            </w:tcBorders>
            <w:shd w:val="clear" w:color="auto" w:fill="auto"/>
            <w:noWrap/>
            <w:vAlign w:val="bottom"/>
            <w:hideMark/>
          </w:tcPr>
          <w:p w14:paraId="3482A9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562</w:t>
            </w:r>
          </w:p>
        </w:tc>
        <w:tc>
          <w:tcPr>
            <w:tcW w:w="1009" w:type="dxa"/>
            <w:tcBorders>
              <w:top w:val="nil"/>
              <w:left w:val="nil"/>
              <w:bottom w:val="double" w:sz="6" w:space="0" w:color="auto"/>
              <w:right w:val="single" w:sz="4" w:space="0" w:color="auto"/>
            </w:tcBorders>
            <w:shd w:val="clear" w:color="auto" w:fill="auto"/>
            <w:noWrap/>
            <w:vAlign w:val="center"/>
            <w:hideMark/>
          </w:tcPr>
          <w:p w14:paraId="13B2E201" w14:textId="664C0DEB"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-29 </w:t>
            </w:r>
            <w:r w:rsidR="00B07E76">
              <w:rPr>
                <w:rFonts w:eastAsia="Times New Roman"/>
                <w:color w:val="000000" w:themeColor="text1"/>
                <w:sz w:val="20"/>
                <w:szCs w:val="20"/>
                <w:lang w:eastAsia="cs-CZ"/>
              </w:rPr>
              <w:t>%</w:t>
            </w:r>
          </w:p>
        </w:tc>
        <w:tc>
          <w:tcPr>
            <w:tcW w:w="811" w:type="dxa"/>
            <w:tcBorders>
              <w:top w:val="nil"/>
              <w:left w:val="nil"/>
              <w:bottom w:val="double" w:sz="6" w:space="0" w:color="auto"/>
              <w:right w:val="nil"/>
            </w:tcBorders>
            <w:shd w:val="clear" w:color="auto" w:fill="auto"/>
            <w:noWrap/>
            <w:vAlign w:val="bottom"/>
            <w:hideMark/>
          </w:tcPr>
          <w:p w14:paraId="509509A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797</w:t>
            </w:r>
          </w:p>
        </w:tc>
        <w:tc>
          <w:tcPr>
            <w:tcW w:w="1009" w:type="dxa"/>
            <w:tcBorders>
              <w:top w:val="nil"/>
              <w:left w:val="nil"/>
              <w:bottom w:val="double" w:sz="6" w:space="0" w:color="auto"/>
              <w:right w:val="single" w:sz="4" w:space="0" w:color="auto"/>
            </w:tcBorders>
            <w:shd w:val="clear" w:color="auto" w:fill="auto"/>
            <w:noWrap/>
            <w:vAlign w:val="center"/>
            <w:hideMark/>
          </w:tcPr>
          <w:p w14:paraId="009FCB26" w14:textId="49B3930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+22 </w:t>
            </w:r>
            <w:r w:rsidR="00B07E76">
              <w:rPr>
                <w:rFonts w:eastAsia="Times New Roman"/>
                <w:color w:val="000000" w:themeColor="text1"/>
                <w:sz w:val="20"/>
                <w:szCs w:val="20"/>
                <w:lang w:eastAsia="cs-CZ"/>
              </w:rPr>
              <w:t>%</w:t>
            </w:r>
          </w:p>
        </w:tc>
        <w:tc>
          <w:tcPr>
            <w:tcW w:w="1699" w:type="dxa"/>
            <w:tcBorders>
              <w:top w:val="nil"/>
              <w:left w:val="nil"/>
              <w:bottom w:val="double" w:sz="6" w:space="0" w:color="auto"/>
              <w:right w:val="nil"/>
            </w:tcBorders>
            <w:shd w:val="clear" w:color="auto" w:fill="auto"/>
            <w:noWrap/>
            <w:vAlign w:val="bottom"/>
            <w:hideMark/>
          </w:tcPr>
          <w:p w14:paraId="0D4119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79,94</w:t>
            </w:r>
          </w:p>
        </w:tc>
      </w:tr>
      <w:tr w:rsidR="008430BD" w:rsidRPr="001C3EC8" w14:paraId="78635D9E" w14:textId="77777777" w:rsidTr="005D25EE">
        <w:trPr>
          <w:trHeight w:val="345"/>
        </w:trPr>
        <w:tc>
          <w:tcPr>
            <w:tcW w:w="1980" w:type="dxa"/>
            <w:tcBorders>
              <w:top w:val="nil"/>
              <w:left w:val="nil"/>
              <w:bottom w:val="double" w:sz="6" w:space="0" w:color="auto"/>
              <w:right w:val="nil"/>
            </w:tcBorders>
            <w:shd w:val="clear" w:color="auto" w:fill="auto"/>
            <w:noWrap/>
            <w:vAlign w:val="bottom"/>
            <w:hideMark/>
          </w:tcPr>
          <w:p w14:paraId="6F3FBE1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856" w:type="dxa"/>
            <w:tcBorders>
              <w:top w:val="nil"/>
              <w:left w:val="nil"/>
              <w:bottom w:val="double" w:sz="6" w:space="0" w:color="auto"/>
              <w:right w:val="nil"/>
            </w:tcBorders>
            <w:shd w:val="clear" w:color="auto" w:fill="auto"/>
            <w:noWrap/>
            <w:vAlign w:val="bottom"/>
            <w:hideMark/>
          </w:tcPr>
          <w:p w14:paraId="7B6CE0F8" w14:textId="349B98BB"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452</w:t>
            </w:r>
          </w:p>
        </w:tc>
        <w:tc>
          <w:tcPr>
            <w:tcW w:w="1009" w:type="dxa"/>
            <w:tcBorders>
              <w:top w:val="nil"/>
              <w:left w:val="nil"/>
              <w:bottom w:val="double" w:sz="6" w:space="0" w:color="auto"/>
              <w:right w:val="nil"/>
            </w:tcBorders>
            <w:shd w:val="clear" w:color="auto" w:fill="auto"/>
            <w:noWrap/>
            <w:vAlign w:val="center"/>
            <w:hideMark/>
          </w:tcPr>
          <w:p w14:paraId="1AFF7385" w14:textId="24015304"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+10 </w:t>
            </w:r>
            <w:r w:rsidR="00B07E76">
              <w:rPr>
                <w:rFonts w:eastAsia="Times New Roman"/>
                <w:b/>
                <w:bCs/>
                <w:color w:val="000000" w:themeColor="text1"/>
                <w:sz w:val="20"/>
                <w:szCs w:val="20"/>
                <w:lang w:eastAsia="cs-CZ"/>
              </w:rPr>
              <w:t>%</w:t>
            </w:r>
          </w:p>
        </w:tc>
        <w:tc>
          <w:tcPr>
            <w:tcW w:w="856" w:type="dxa"/>
            <w:tcBorders>
              <w:top w:val="nil"/>
              <w:left w:val="single" w:sz="4" w:space="0" w:color="auto"/>
              <w:bottom w:val="double" w:sz="6" w:space="0" w:color="auto"/>
              <w:right w:val="nil"/>
            </w:tcBorders>
            <w:shd w:val="clear" w:color="auto" w:fill="auto"/>
            <w:noWrap/>
            <w:vAlign w:val="bottom"/>
            <w:hideMark/>
          </w:tcPr>
          <w:p w14:paraId="54FF7EAC" w14:textId="503F015E"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382</w:t>
            </w:r>
          </w:p>
        </w:tc>
        <w:tc>
          <w:tcPr>
            <w:tcW w:w="1009" w:type="dxa"/>
            <w:tcBorders>
              <w:top w:val="nil"/>
              <w:left w:val="nil"/>
              <w:bottom w:val="double" w:sz="6" w:space="0" w:color="auto"/>
              <w:right w:val="single" w:sz="4" w:space="0" w:color="auto"/>
            </w:tcBorders>
            <w:shd w:val="clear" w:color="auto" w:fill="auto"/>
            <w:noWrap/>
            <w:vAlign w:val="center"/>
            <w:hideMark/>
          </w:tcPr>
          <w:p w14:paraId="68AB5FA7" w14:textId="1935EE3E"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-10 </w:t>
            </w:r>
            <w:r w:rsidR="00B07E76">
              <w:rPr>
                <w:rFonts w:eastAsia="Times New Roman"/>
                <w:b/>
                <w:bCs/>
                <w:color w:val="000000" w:themeColor="text1"/>
                <w:sz w:val="20"/>
                <w:szCs w:val="20"/>
                <w:lang w:eastAsia="cs-CZ"/>
              </w:rPr>
              <w:t>%</w:t>
            </w:r>
          </w:p>
        </w:tc>
        <w:tc>
          <w:tcPr>
            <w:tcW w:w="811" w:type="dxa"/>
            <w:tcBorders>
              <w:top w:val="nil"/>
              <w:left w:val="nil"/>
              <w:bottom w:val="double" w:sz="6" w:space="0" w:color="auto"/>
              <w:right w:val="nil"/>
            </w:tcBorders>
            <w:shd w:val="clear" w:color="auto" w:fill="auto"/>
            <w:noWrap/>
            <w:vAlign w:val="bottom"/>
            <w:hideMark/>
          </w:tcPr>
          <w:p w14:paraId="11817B56" w14:textId="0440EC02"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w:t>
            </w:r>
            <w:r w:rsidR="00B4248B">
              <w:rPr>
                <w:rFonts w:eastAsia="Times New Roman"/>
                <w:b/>
                <w:bCs/>
                <w:color w:val="000000" w:themeColor="text1"/>
                <w:szCs w:val="24"/>
                <w:lang w:eastAsia="cs-CZ"/>
              </w:rPr>
              <w:t xml:space="preserve"> </w:t>
            </w:r>
            <w:r w:rsidRPr="001C3EC8">
              <w:rPr>
                <w:rFonts w:eastAsia="Times New Roman"/>
                <w:b/>
                <w:bCs/>
                <w:color w:val="000000" w:themeColor="text1"/>
                <w:szCs w:val="24"/>
                <w:lang w:eastAsia="cs-CZ"/>
              </w:rPr>
              <w:t>000</w:t>
            </w:r>
          </w:p>
        </w:tc>
        <w:tc>
          <w:tcPr>
            <w:tcW w:w="1009" w:type="dxa"/>
            <w:tcBorders>
              <w:top w:val="nil"/>
              <w:left w:val="nil"/>
              <w:bottom w:val="double" w:sz="6" w:space="0" w:color="auto"/>
              <w:right w:val="single" w:sz="4" w:space="0" w:color="auto"/>
            </w:tcBorders>
            <w:shd w:val="clear" w:color="auto" w:fill="auto"/>
            <w:noWrap/>
            <w:vAlign w:val="center"/>
            <w:hideMark/>
          </w:tcPr>
          <w:p w14:paraId="2F655AC6" w14:textId="6419922E"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 </w:t>
            </w:r>
            <w:r w:rsidR="00B07E76">
              <w:rPr>
                <w:rFonts w:eastAsia="Times New Roman"/>
                <w:b/>
                <w:bCs/>
                <w:color w:val="000000" w:themeColor="text1"/>
                <w:sz w:val="20"/>
                <w:szCs w:val="20"/>
                <w:lang w:eastAsia="cs-CZ"/>
              </w:rPr>
              <w:t>%</w:t>
            </w:r>
          </w:p>
        </w:tc>
        <w:tc>
          <w:tcPr>
            <w:tcW w:w="1699" w:type="dxa"/>
            <w:tcBorders>
              <w:top w:val="nil"/>
              <w:left w:val="nil"/>
              <w:bottom w:val="double" w:sz="6" w:space="0" w:color="auto"/>
              <w:right w:val="nil"/>
            </w:tcBorders>
            <w:shd w:val="clear" w:color="auto" w:fill="auto"/>
            <w:noWrap/>
            <w:vAlign w:val="bottom"/>
            <w:hideMark/>
          </w:tcPr>
          <w:p w14:paraId="5E58312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98,43</w:t>
            </w:r>
          </w:p>
        </w:tc>
      </w:tr>
    </w:tbl>
    <w:p w14:paraId="170B612D" w14:textId="77777777" w:rsidR="008430BD" w:rsidRPr="001C3EC8" w:rsidRDefault="008430BD" w:rsidP="008430BD">
      <w:pPr>
        <w:rPr>
          <w:color w:val="000000" w:themeColor="text1"/>
        </w:rPr>
      </w:pPr>
    </w:p>
    <w:p w14:paraId="3EA428E7" w14:textId="77777777" w:rsidR="001A527D" w:rsidRPr="001C3EC8" w:rsidRDefault="001A527D" w:rsidP="001A527D">
      <w:pPr>
        <w:pStyle w:val="Nadpis3"/>
        <w:numPr>
          <w:ilvl w:val="2"/>
          <w:numId w:val="1"/>
        </w:numPr>
        <w:rPr>
          <w:color w:val="000000" w:themeColor="text1"/>
        </w:rPr>
      </w:pPr>
      <w:bookmarkStart w:id="690" w:name="_Toc75952121"/>
      <w:r w:rsidRPr="001C3EC8">
        <w:rPr>
          <w:color w:val="000000" w:themeColor="text1"/>
        </w:rPr>
        <w:t>Vyřizování věcí v přepočtu na soudce</w:t>
      </w:r>
      <w:bookmarkEnd w:id="690"/>
    </w:p>
    <w:p w14:paraId="499A191D" w14:textId="40459F37" w:rsidR="00B07E76" w:rsidRDefault="008430BD" w:rsidP="008430BD">
      <w:pPr>
        <w:pStyle w:val="OdstavecASR"/>
        <w:rPr>
          <w:color w:val="000000" w:themeColor="text1"/>
        </w:rPr>
      </w:pPr>
      <w:r w:rsidRPr="001C3EC8">
        <w:rPr>
          <w:color w:val="000000" w:themeColor="text1"/>
        </w:rPr>
        <w:t xml:space="preserve">V tomto ročníku zprávy byla poprvé sbírána </w:t>
      </w:r>
      <w:r w:rsidR="00021FDD" w:rsidRPr="001C3EC8">
        <w:rPr>
          <w:color w:val="000000" w:themeColor="text1"/>
        </w:rPr>
        <w:t>i</w:t>
      </w:r>
      <w:r w:rsidR="00021FDD">
        <w:rPr>
          <w:color w:val="000000" w:themeColor="text1"/>
        </w:rPr>
        <w:t> </w:t>
      </w:r>
      <w:r w:rsidRPr="001C3EC8">
        <w:rPr>
          <w:color w:val="000000" w:themeColor="text1"/>
        </w:rPr>
        <w:t xml:space="preserve">data </w:t>
      </w:r>
      <w:r w:rsidR="00021FDD" w:rsidRPr="001C3EC8">
        <w:rPr>
          <w:color w:val="000000" w:themeColor="text1"/>
        </w:rPr>
        <w:t>o</w:t>
      </w:r>
      <w:r w:rsidR="00021FDD">
        <w:rPr>
          <w:color w:val="000000" w:themeColor="text1"/>
        </w:rPr>
        <w:t> </w:t>
      </w:r>
      <w:r w:rsidRPr="001C3EC8">
        <w:rPr>
          <w:color w:val="000000" w:themeColor="text1"/>
        </w:rPr>
        <w:t xml:space="preserve">počtu soudců, kteří vyřizují rejstřík </w:t>
      </w:r>
      <w:proofErr w:type="spellStart"/>
      <w:r w:rsidRPr="001C3EC8">
        <w:rPr>
          <w:color w:val="000000" w:themeColor="text1"/>
        </w:rPr>
        <w:t>ICm</w:t>
      </w:r>
      <w:proofErr w:type="spellEnd"/>
      <w:r w:rsidRPr="001C3EC8">
        <w:rPr>
          <w:color w:val="000000" w:themeColor="text1"/>
        </w:rPr>
        <w:t>. Je tedy možné provést přepočet vyřizování věcí na soudce. Data jsou v tabulce níže.</w:t>
      </w:r>
    </w:p>
    <w:p w14:paraId="7601AC81" w14:textId="54E7544E" w:rsidR="008430BD" w:rsidRPr="001C3EC8" w:rsidRDefault="008430BD" w:rsidP="008430BD">
      <w:pPr>
        <w:pStyle w:val="Podnadpis"/>
        <w:rPr>
          <w:color w:val="000000" w:themeColor="text1"/>
        </w:rPr>
      </w:pPr>
      <w:bookmarkStart w:id="691" w:name="_Toc75952382"/>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79</w:t>
      </w:r>
      <w:r w:rsidRPr="001C3EC8">
        <w:rPr>
          <w:noProof/>
          <w:color w:val="000000" w:themeColor="text1"/>
        </w:rPr>
        <w:fldChar w:fldCharType="end"/>
      </w:r>
      <w:r w:rsidRPr="001C3EC8">
        <w:rPr>
          <w:color w:val="000000" w:themeColor="text1"/>
        </w:rPr>
        <w:t xml:space="preserve">: KS – vyřizování incidenčních sporů na </w:t>
      </w:r>
      <w:r w:rsidR="00FE43FA" w:rsidRPr="001C3EC8">
        <w:rPr>
          <w:color w:val="000000" w:themeColor="text1"/>
        </w:rPr>
        <w:t>skutečný úvazek</w:t>
      </w:r>
      <w:r w:rsidRPr="001C3EC8">
        <w:rPr>
          <w:color w:val="000000" w:themeColor="text1"/>
        </w:rPr>
        <w:t xml:space="preserve"> dle soudů</w:t>
      </w:r>
      <w:bookmarkEnd w:id="691"/>
    </w:p>
    <w:tbl>
      <w:tblPr>
        <w:tblW w:w="9140" w:type="dxa"/>
        <w:tblCellMar>
          <w:left w:w="70" w:type="dxa"/>
          <w:right w:w="70" w:type="dxa"/>
        </w:tblCellMar>
        <w:tblLook w:val="04A0" w:firstRow="1" w:lastRow="0" w:firstColumn="1" w:lastColumn="0" w:noHBand="0" w:noVBand="1"/>
      </w:tblPr>
      <w:tblGrid>
        <w:gridCol w:w="2480"/>
        <w:gridCol w:w="1619"/>
        <w:gridCol w:w="2212"/>
        <w:gridCol w:w="1239"/>
        <w:gridCol w:w="1590"/>
      </w:tblGrid>
      <w:tr w:rsidR="00B72F3D" w:rsidRPr="001C3EC8" w14:paraId="2ED70C4C" w14:textId="77777777" w:rsidTr="00B72F3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7D04673"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1619" w:type="dxa"/>
            <w:vMerge w:val="restart"/>
            <w:tcBorders>
              <w:top w:val="double" w:sz="6" w:space="0" w:color="auto"/>
              <w:left w:val="nil"/>
              <w:bottom w:val="double" w:sz="6" w:space="0" w:color="000000"/>
              <w:right w:val="nil"/>
            </w:tcBorders>
            <w:shd w:val="clear" w:color="auto" w:fill="auto"/>
            <w:vAlign w:val="center"/>
            <w:hideMark/>
          </w:tcPr>
          <w:p w14:paraId="4C2B7707"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úvazků</w:t>
            </w:r>
          </w:p>
        </w:tc>
        <w:tc>
          <w:tcPr>
            <w:tcW w:w="5041" w:type="dxa"/>
            <w:gridSpan w:val="3"/>
            <w:tcBorders>
              <w:top w:val="double" w:sz="6" w:space="0" w:color="auto"/>
              <w:left w:val="nil"/>
              <w:bottom w:val="nil"/>
              <w:right w:val="nil"/>
            </w:tcBorders>
            <w:shd w:val="clear" w:color="auto" w:fill="auto"/>
            <w:noWrap/>
            <w:vAlign w:val="center"/>
            <w:hideMark/>
          </w:tcPr>
          <w:p w14:paraId="3A822BCC"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r>
      <w:tr w:rsidR="00B72F3D" w:rsidRPr="001C3EC8" w14:paraId="736D0CC1" w14:textId="77777777" w:rsidTr="00B72F3D">
        <w:trPr>
          <w:trHeight w:val="330"/>
        </w:trPr>
        <w:tc>
          <w:tcPr>
            <w:tcW w:w="2480" w:type="dxa"/>
            <w:vMerge/>
            <w:tcBorders>
              <w:top w:val="double" w:sz="6" w:space="0" w:color="auto"/>
              <w:left w:val="nil"/>
              <w:bottom w:val="double" w:sz="6" w:space="0" w:color="000000"/>
              <w:right w:val="nil"/>
            </w:tcBorders>
            <w:vAlign w:val="center"/>
            <w:hideMark/>
          </w:tcPr>
          <w:p w14:paraId="0AFF9BA0" w14:textId="77777777" w:rsidR="00B72F3D" w:rsidRPr="001C3EC8" w:rsidRDefault="00B72F3D" w:rsidP="00B72F3D">
            <w:pPr>
              <w:spacing w:line="240" w:lineRule="auto"/>
              <w:jc w:val="left"/>
              <w:rPr>
                <w:rFonts w:eastAsia="Times New Roman"/>
                <w:b/>
                <w:bCs/>
                <w:color w:val="000000" w:themeColor="text1"/>
                <w:szCs w:val="24"/>
                <w:lang w:eastAsia="cs-CZ"/>
              </w:rPr>
            </w:pPr>
          </w:p>
        </w:tc>
        <w:tc>
          <w:tcPr>
            <w:tcW w:w="1619" w:type="dxa"/>
            <w:vMerge/>
            <w:tcBorders>
              <w:top w:val="double" w:sz="6" w:space="0" w:color="auto"/>
              <w:left w:val="nil"/>
              <w:bottom w:val="double" w:sz="6" w:space="0" w:color="000000"/>
              <w:right w:val="nil"/>
            </w:tcBorders>
            <w:vAlign w:val="center"/>
            <w:hideMark/>
          </w:tcPr>
          <w:p w14:paraId="0B01FEB4" w14:textId="77777777" w:rsidR="00B72F3D" w:rsidRPr="001C3EC8" w:rsidRDefault="00B72F3D" w:rsidP="00B72F3D">
            <w:pPr>
              <w:spacing w:line="240" w:lineRule="auto"/>
              <w:jc w:val="left"/>
              <w:rPr>
                <w:rFonts w:eastAsia="Times New Roman"/>
                <w:b/>
                <w:bCs/>
                <w:color w:val="000000" w:themeColor="text1"/>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6694EDFE"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239" w:type="dxa"/>
            <w:tcBorders>
              <w:top w:val="nil"/>
              <w:left w:val="nil"/>
              <w:bottom w:val="double" w:sz="6" w:space="0" w:color="auto"/>
              <w:right w:val="nil"/>
            </w:tcBorders>
            <w:shd w:val="clear" w:color="auto" w:fill="auto"/>
            <w:noWrap/>
            <w:vAlign w:val="center"/>
            <w:hideMark/>
          </w:tcPr>
          <w:p w14:paraId="7A7B28B9"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61D64049" w14:textId="7777777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B72F3D" w:rsidRPr="001C3EC8" w14:paraId="2B897EEA" w14:textId="77777777" w:rsidTr="00B72F3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98F38F5"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619" w:type="dxa"/>
            <w:tcBorders>
              <w:top w:val="single" w:sz="4" w:space="0" w:color="auto"/>
              <w:left w:val="nil"/>
              <w:bottom w:val="single" w:sz="4" w:space="0" w:color="auto"/>
              <w:right w:val="nil"/>
            </w:tcBorders>
            <w:shd w:val="clear" w:color="auto" w:fill="auto"/>
            <w:noWrap/>
            <w:vAlign w:val="bottom"/>
            <w:hideMark/>
          </w:tcPr>
          <w:p w14:paraId="4688D7C2" w14:textId="0929A7E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w:t>
            </w:r>
          </w:p>
        </w:tc>
        <w:tc>
          <w:tcPr>
            <w:tcW w:w="2212" w:type="dxa"/>
            <w:tcBorders>
              <w:top w:val="single" w:sz="4" w:space="0" w:color="auto"/>
              <w:left w:val="nil"/>
              <w:bottom w:val="single" w:sz="4" w:space="0" w:color="auto"/>
              <w:right w:val="nil"/>
            </w:tcBorders>
            <w:shd w:val="clear" w:color="auto" w:fill="auto"/>
            <w:noWrap/>
            <w:vAlign w:val="bottom"/>
            <w:hideMark/>
          </w:tcPr>
          <w:p w14:paraId="0ACA15A1" w14:textId="63CE52F8"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263,24</w:t>
            </w:r>
          </w:p>
        </w:tc>
        <w:tc>
          <w:tcPr>
            <w:tcW w:w="1239" w:type="dxa"/>
            <w:tcBorders>
              <w:top w:val="single" w:sz="4" w:space="0" w:color="auto"/>
              <w:left w:val="nil"/>
              <w:bottom w:val="single" w:sz="4" w:space="0" w:color="auto"/>
              <w:right w:val="nil"/>
            </w:tcBorders>
            <w:shd w:val="clear" w:color="auto" w:fill="auto"/>
            <w:noWrap/>
            <w:vAlign w:val="bottom"/>
            <w:hideMark/>
          </w:tcPr>
          <w:p w14:paraId="05AC8766" w14:textId="4997B5FE"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211,18</w:t>
            </w:r>
          </w:p>
        </w:tc>
        <w:tc>
          <w:tcPr>
            <w:tcW w:w="1590" w:type="dxa"/>
            <w:tcBorders>
              <w:top w:val="single" w:sz="4" w:space="0" w:color="auto"/>
              <w:left w:val="nil"/>
              <w:bottom w:val="single" w:sz="4" w:space="0" w:color="auto"/>
              <w:right w:val="nil"/>
            </w:tcBorders>
            <w:shd w:val="clear" w:color="auto" w:fill="auto"/>
            <w:noWrap/>
            <w:vAlign w:val="bottom"/>
            <w:hideMark/>
          </w:tcPr>
          <w:p w14:paraId="46D31997" w14:textId="5E18D412"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408,53</w:t>
            </w:r>
          </w:p>
        </w:tc>
      </w:tr>
      <w:tr w:rsidR="00B72F3D" w:rsidRPr="001C3EC8" w14:paraId="7E548E07" w14:textId="77777777" w:rsidTr="00B72F3D">
        <w:trPr>
          <w:trHeight w:val="315"/>
        </w:trPr>
        <w:tc>
          <w:tcPr>
            <w:tcW w:w="2480" w:type="dxa"/>
            <w:tcBorders>
              <w:top w:val="nil"/>
              <w:left w:val="nil"/>
              <w:bottom w:val="single" w:sz="4" w:space="0" w:color="auto"/>
              <w:right w:val="nil"/>
            </w:tcBorders>
            <w:shd w:val="clear" w:color="auto" w:fill="auto"/>
            <w:noWrap/>
            <w:vAlign w:val="bottom"/>
            <w:hideMark/>
          </w:tcPr>
          <w:p w14:paraId="54D68E4E"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619" w:type="dxa"/>
            <w:tcBorders>
              <w:top w:val="nil"/>
              <w:left w:val="nil"/>
              <w:bottom w:val="single" w:sz="4" w:space="0" w:color="auto"/>
              <w:right w:val="nil"/>
            </w:tcBorders>
            <w:shd w:val="clear" w:color="auto" w:fill="auto"/>
            <w:noWrap/>
            <w:vAlign w:val="bottom"/>
            <w:hideMark/>
          </w:tcPr>
          <w:p w14:paraId="461E2220" w14:textId="209CEA23"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w:t>
            </w:r>
          </w:p>
        </w:tc>
        <w:tc>
          <w:tcPr>
            <w:tcW w:w="2212" w:type="dxa"/>
            <w:tcBorders>
              <w:top w:val="nil"/>
              <w:left w:val="nil"/>
              <w:bottom w:val="single" w:sz="4" w:space="0" w:color="auto"/>
              <w:right w:val="nil"/>
            </w:tcBorders>
            <w:shd w:val="clear" w:color="auto" w:fill="auto"/>
            <w:noWrap/>
            <w:vAlign w:val="bottom"/>
            <w:hideMark/>
          </w:tcPr>
          <w:p w14:paraId="0D0FECA9" w14:textId="2674B6B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226,80</w:t>
            </w:r>
          </w:p>
        </w:tc>
        <w:tc>
          <w:tcPr>
            <w:tcW w:w="1239" w:type="dxa"/>
            <w:tcBorders>
              <w:top w:val="nil"/>
              <w:left w:val="nil"/>
              <w:bottom w:val="single" w:sz="4" w:space="0" w:color="auto"/>
              <w:right w:val="nil"/>
            </w:tcBorders>
            <w:shd w:val="clear" w:color="auto" w:fill="auto"/>
            <w:noWrap/>
            <w:vAlign w:val="bottom"/>
            <w:hideMark/>
          </w:tcPr>
          <w:p w14:paraId="36F6CA5D" w14:textId="13D86C3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198,80</w:t>
            </w:r>
          </w:p>
        </w:tc>
        <w:tc>
          <w:tcPr>
            <w:tcW w:w="1590" w:type="dxa"/>
            <w:tcBorders>
              <w:top w:val="nil"/>
              <w:left w:val="nil"/>
              <w:bottom w:val="single" w:sz="4" w:space="0" w:color="auto"/>
              <w:right w:val="nil"/>
            </w:tcBorders>
            <w:shd w:val="clear" w:color="auto" w:fill="auto"/>
            <w:noWrap/>
            <w:vAlign w:val="bottom"/>
            <w:hideMark/>
          </w:tcPr>
          <w:p w14:paraId="34BE29C1" w14:textId="2EE401E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206,00</w:t>
            </w:r>
          </w:p>
        </w:tc>
      </w:tr>
      <w:tr w:rsidR="00B72F3D" w:rsidRPr="001C3EC8" w14:paraId="78783E73" w14:textId="77777777" w:rsidTr="00B72F3D">
        <w:trPr>
          <w:trHeight w:val="315"/>
        </w:trPr>
        <w:tc>
          <w:tcPr>
            <w:tcW w:w="2480" w:type="dxa"/>
            <w:tcBorders>
              <w:top w:val="nil"/>
              <w:left w:val="nil"/>
              <w:bottom w:val="single" w:sz="4" w:space="0" w:color="auto"/>
              <w:right w:val="nil"/>
            </w:tcBorders>
            <w:shd w:val="clear" w:color="auto" w:fill="auto"/>
            <w:noWrap/>
            <w:vAlign w:val="bottom"/>
            <w:hideMark/>
          </w:tcPr>
          <w:p w14:paraId="0CD9963C"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619" w:type="dxa"/>
            <w:tcBorders>
              <w:top w:val="nil"/>
              <w:left w:val="nil"/>
              <w:bottom w:val="single" w:sz="4" w:space="0" w:color="auto"/>
              <w:right w:val="nil"/>
            </w:tcBorders>
            <w:shd w:val="clear" w:color="auto" w:fill="auto"/>
            <w:noWrap/>
            <w:vAlign w:val="bottom"/>
            <w:hideMark/>
          </w:tcPr>
          <w:p w14:paraId="126540A9" w14:textId="7777777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2212" w:type="dxa"/>
            <w:tcBorders>
              <w:top w:val="nil"/>
              <w:left w:val="nil"/>
              <w:bottom w:val="single" w:sz="4" w:space="0" w:color="auto"/>
              <w:right w:val="nil"/>
            </w:tcBorders>
            <w:shd w:val="clear" w:color="auto" w:fill="auto"/>
            <w:noWrap/>
            <w:vAlign w:val="bottom"/>
            <w:hideMark/>
          </w:tcPr>
          <w:p w14:paraId="516E4419" w14:textId="6A91F6A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92,00</w:t>
            </w:r>
          </w:p>
        </w:tc>
        <w:tc>
          <w:tcPr>
            <w:tcW w:w="1239" w:type="dxa"/>
            <w:tcBorders>
              <w:top w:val="nil"/>
              <w:left w:val="nil"/>
              <w:bottom w:val="single" w:sz="4" w:space="0" w:color="auto"/>
              <w:right w:val="nil"/>
            </w:tcBorders>
            <w:shd w:val="clear" w:color="auto" w:fill="auto"/>
            <w:noWrap/>
            <w:vAlign w:val="bottom"/>
            <w:hideMark/>
          </w:tcPr>
          <w:p w14:paraId="0E374F79" w14:textId="73BE9C6B"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87,67</w:t>
            </w:r>
          </w:p>
        </w:tc>
        <w:tc>
          <w:tcPr>
            <w:tcW w:w="1590" w:type="dxa"/>
            <w:tcBorders>
              <w:top w:val="nil"/>
              <w:left w:val="nil"/>
              <w:bottom w:val="single" w:sz="4" w:space="0" w:color="auto"/>
              <w:right w:val="nil"/>
            </w:tcBorders>
            <w:shd w:val="clear" w:color="auto" w:fill="auto"/>
            <w:noWrap/>
            <w:vAlign w:val="bottom"/>
            <w:hideMark/>
          </w:tcPr>
          <w:p w14:paraId="7AF08702" w14:textId="40117F4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50,33</w:t>
            </w:r>
          </w:p>
        </w:tc>
      </w:tr>
      <w:tr w:rsidR="00B72F3D" w:rsidRPr="001C3EC8" w14:paraId="6522E43F" w14:textId="77777777" w:rsidTr="00B72F3D">
        <w:trPr>
          <w:trHeight w:val="315"/>
        </w:trPr>
        <w:tc>
          <w:tcPr>
            <w:tcW w:w="2480" w:type="dxa"/>
            <w:tcBorders>
              <w:top w:val="nil"/>
              <w:left w:val="nil"/>
              <w:bottom w:val="single" w:sz="4" w:space="0" w:color="auto"/>
              <w:right w:val="nil"/>
            </w:tcBorders>
            <w:shd w:val="clear" w:color="auto" w:fill="auto"/>
            <w:noWrap/>
            <w:vAlign w:val="bottom"/>
            <w:hideMark/>
          </w:tcPr>
          <w:p w14:paraId="3800C32E"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619" w:type="dxa"/>
            <w:tcBorders>
              <w:top w:val="nil"/>
              <w:left w:val="nil"/>
              <w:bottom w:val="single" w:sz="4" w:space="0" w:color="auto"/>
              <w:right w:val="nil"/>
            </w:tcBorders>
            <w:shd w:val="clear" w:color="auto" w:fill="auto"/>
            <w:noWrap/>
            <w:vAlign w:val="bottom"/>
            <w:hideMark/>
          </w:tcPr>
          <w:p w14:paraId="104C89DD" w14:textId="13D947EA"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4,65</w:t>
            </w:r>
          </w:p>
        </w:tc>
        <w:tc>
          <w:tcPr>
            <w:tcW w:w="2212" w:type="dxa"/>
            <w:tcBorders>
              <w:top w:val="nil"/>
              <w:left w:val="nil"/>
              <w:bottom w:val="single" w:sz="4" w:space="0" w:color="auto"/>
              <w:right w:val="nil"/>
            </w:tcBorders>
            <w:shd w:val="clear" w:color="auto" w:fill="auto"/>
            <w:noWrap/>
            <w:vAlign w:val="bottom"/>
            <w:hideMark/>
          </w:tcPr>
          <w:p w14:paraId="6351A811" w14:textId="0D69B922"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79,57</w:t>
            </w:r>
          </w:p>
        </w:tc>
        <w:tc>
          <w:tcPr>
            <w:tcW w:w="1239" w:type="dxa"/>
            <w:tcBorders>
              <w:top w:val="nil"/>
              <w:left w:val="nil"/>
              <w:bottom w:val="single" w:sz="4" w:space="0" w:color="auto"/>
              <w:right w:val="nil"/>
            </w:tcBorders>
            <w:shd w:val="clear" w:color="auto" w:fill="auto"/>
            <w:noWrap/>
            <w:vAlign w:val="bottom"/>
            <w:hideMark/>
          </w:tcPr>
          <w:p w14:paraId="4EA98AA3" w14:textId="30E3DC1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81,08</w:t>
            </w:r>
          </w:p>
        </w:tc>
        <w:tc>
          <w:tcPr>
            <w:tcW w:w="1590" w:type="dxa"/>
            <w:tcBorders>
              <w:top w:val="nil"/>
              <w:left w:val="nil"/>
              <w:bottom w:val="single" w:sz="4" w:space="0" w:color="auto"/>
              <w:right w:val="nil"/>
            </w:tcBorders>
            <w:shd w:val="clear" w:color="auto" w:fill="auto"/>
            <w:noWrap/>
            <w:vAlign w:val="bottom"/>
            <w:hideMark/>
          </w:tcPr>
          <w:p w14:paraId="59386FB9" w14:textId="46B9B739"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59,57</w:t>
            </w:r>
          </w:p>
        </w:tc>
      </w:tr>
      <w:tr w:rsidR="00B72F3D" w:rsidRPr="001C3EC8" w14:paraId="71721B94" w14:textId="77777777" w:rsidTr="00B72F3D">
        <w:trPr>
          <w:trHeight w:val="315"/>
        </w:trPr>
        <w:tc>
          <w:tcPr>
            <w:tcW w:w="2480" w:type="dxa"/>
            <w:tcBorders>
              <w:top w:val="nil"/>
              <w:left w:val="nil"/>
              <w:bottom w:val="single" w:sz="4" w:space="0" w:color="auto"/>
              <w:right w:val="nil"/>
            </w:tcBorders>
            <w:shd w:val="clear" w:color="auto" w:fill="auto"/>
            <w:noWrap/>
            <w:vAlign w:val="bottom"/>
            <w:hideMark/>
          </w:tcPr>
          <w:p w14:paraId="069B2F24"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619" w:type="dxa"/>
            <w:tcBorders>
              <w:top w:val="nil"/>
              <w:left w:val="nil"/>
              <w:bottom w:val="single" w:sz="4" w:space="0" w:color="auto"/>
              <w:right w:val="nil"/>
            </w:tcBorders>
            <w:shd w:val="clear" w:color="auto" w:fill="auto"/>
            <w:noWrap/>
            <w:vAlign w:val="bottom"/>
            <w:hideMark/>
          </w:tcPr>
          <w:p w14:paraId="0A6C1AEC" w14:textId="4E796F33"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4,3</w:t>
            </w:r>
          </w:p>
        </w:tc>
        <w:tc>
          <w:tcPr>
            <w:tcW w:w="2212" w:type="dxa"/>
            <w:tcBorders>
              <w:top w:val="nil"/>
              <w:left w:val="nil"/>
              <w:bottom w:val="single" w:sz="4" w:space="0" w:color="auto"/>
              <w:right w:val="nil"/>
            </w:tcBorders>
            <w:shd w:val="clear" w:color="auto" w:fill="auto"/>
            <w:noWrap/>
            <w:vAlign w:val="bottom"/>
            <w:hideMark/>
          </w:tcPr>
          <w:p w14:paraId="705194F7" w14:textId="124F4C0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123,95</w:t>
            </w:r>
          </w:p>
        </w:tc>
        <w:tc>
          <w:tcPr>
            <w:tcW w:w="1239" w:type="dxa"/>
            <w:tcBorders>
              <w:top w:val="nil"/>
              <w:left w:val="nil"/>
              <w:bottom w:val="single" w:sz="4" w:space="0" w:color="auto"/>
              <w:right w:val="nil"/>
            </w:tcBorders>
            <w:shd w:val="clear" w:color="auto" w:fill="auto"/>
            <w:noWrap/>
            <w:vAlign w:val="bottom"/>
            <w:hideMark/>
          </w:tcPr>
          <w:p w14:paraId="04CCC1A5" w14:textId="1CD9103A"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129,53</w:t>
            </w:r>
          </w:p>
        </w:tc>
        <w:tc>
          <w:tcPr>
            <w:tcW w:w="1590" w:type="dxa"/>
            <w:tcBorders>
              <w:top w:val="nil"/>
              <w:left w:val="nil"/>
              <w:bottom w:val="single" w:sz="4" w:space="0" w:color="auto"/>
              <w:right w:val="nil"/>
            </w:tcBorders>
            <w:shd w:val="clear" w:color="auto" w:fill="auto"/>
            <w:noWrap/>
            <w:vAlign w:val="bottom"/>
            <w:hideMark/>
          </w:tcPr>
          <w:p w14:paraId="3E2D786F" w14:textId="783B96AA"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121,63</w:t>
            </w:r>
          </w:p>
        </w:tc>
      </w:tr>
      <w:tr w:rsidR="00B72F3D" w:rsidRPr="001C3EC8" w14:paraId="01D24703" w14:textId="77777777" w:rsidTr="00B72F3D">
        <w:trPr>
          <w:trHeight w:val="315"/>
        </w:trPr>
        <w:tc>
          <w:tcPr>
            <w:tcW w:w="2480" w:type="dxa"/>
            <w:tcBorders>
              <w:top w:val="nil"/>
              <w:left w:val="nil"/>
              <w:bottom w:val="single" w:sz="4" w:space="0" w:color="auto"/>
              <w:right w:val="nil"/>
            </w:tcBorders>
            <w:shd w:val="clear" w:color="auto" w:fill="auto"/>
            <w:noWrap/>
            <w:vAlign w:val="bottom"/>
            <w:hideMark/>
          </w:tcPr>
          <w:p w14:paraId="4198F420"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619" w:type="dxa"/>
            <w:tcBorders>
              <w:top w:val="nil"/>
              <w:left w:val="nil"/>
              <w:bottom w:val="single" w:sz="4" w:space="0" w:color="auto"/>
              <w:right w:val="nil"/>
            </w:tcBorders>
            <w:shd w:val="clear" w:color="auto" w:fill="auto"/>
            <w:noWrap/>
            <w:vAlign w:val="bottom"/>
            <w:hideMark/>
          </w:tcPr>
          <w:p w14:paraId="23DA571A" w14:textId="79CE4AF6"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3,6</w:t>
            </w:r>
          </w:p>
        </w:tc>
        <w:tc>
          <w:tcPr>
            <w:tcW w:w="2212" w:type="dxa"/>
            <w:tcBorders>
              <w:top w:val="nil"/>
              <w:left w:val="nil"/>
              <w:bottom w:val="single" w:sz="4" w:space="0" w:color="auto"/>
              <w:right w:val="nil"/>
            </w:tcBorders>
            <w:shd w:val="clear" w:color="auto" w:fill="auto"/>
            <w:noWrap/>
            <w:vAlign w:val="bottom"/>
            <w:hideMark/>
          </w:tcPr>
          <w:p w14:paraId="0A4C545E" w14:textId="058619CC"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124,72</w:t>
            </w:r>
          </w:p>
        </w:tc>
        <w:tc>
          <w:tcPr>
            <w:tcW w:w="1239" w:type="dxa"/>
            <w:tcBorders>
              <w:top w:val="nil"/>
              <w:left w:val="nil"/>
              <w:bottom w:val="single" w:sz="4" w:space="0" w:color="auto"/>
              <w:right w:val="nil"/>
            </w:tcBorders>
            <w:shd w:val="clear" w:color="auto" w:fill="auto"/>
            <w:noWrap/>
            <w:vAlign w:val="bottom"/>
            <w:hideMark/>
          </w:tcPr>
          <w:p w14:paraId="2D4D5E69" w14:textId="639E80C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128,33</w:t>
            </w:r>
          </w:p>
        </w:tc>
        <w:tc>
          <w:tcPr>
            <w:tcW w:w="1590" w:type="dxa"/>
            <w:tcBorders>
              <w:top w:val="nil"/>
              <w:left w:val="nil"/>
              <w:bottom w:val="single" w:sz="4" w:space="0" w:color="auto"/>
              <w:right w:val="nil"/>
            </w:tcBorders>
            <w:shd w:val="clear" w:color="auto" w:fill="auto"/>
            <w:noWrap/>
            <w:vAlign w:val="bottom"/>
            <w:hideMark/>
          </w:tcPr>
          <w:p w14:paraId="0C2BA7D5" w14:textId="6397EC79"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89,44</w:t>
            </w:r>
          </w:p>
        </w:tc>
      </w:tr>
      <w:tr w:rsidR="00B72F3D" w:rsidRPr="001C3EC8" w14:paraId="4794D716" w14:textId="77777777" w:rsidTr="00B72F3D">
        <w:trPr>
          <w:trHeight w:val="315"/>
        </w:trPr>
        <w:tc>
          <w:tcPr>
            <w:tcW w:w="2480" w:type="dxa"/>
            <w:tcBorders>
              <w:top w:val="nil"/>
              <w:left w:val="nil"/>
              <w:bottom w:val="single" w:sz="4" w:space="0" w:color="auto"/>
              <w:right w:val="nil"/>
            </w:tcBorders>
            <w:shd w:val="clear" w:color="auto" w:fill="auto"/>
            <w:noWrap/>
            <w:vAlign w:val="bottom"/>
            <w:hideMark/>
          </w:tcPr>
          <w:p w14:paraId="7AFAED24"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619" w:type="dxa"/>
            <w:tcBorders>
              <w:top w:val="nil"/>
              <w:left w:val="nil"/>
              <w:bottom w:val="single" w:sz="4" w:space="0" w:color="auto"/>
              <w:right w:val="nil"/>
            </w:tcBorders>
            <w:shd w:val="clear" w:color="auto" w:fill="auto"/>
            <w:noWrap/>
            <w:vAlign w:val="bottom"/>
            <w:hideMark/>
          </w:tcPr>
          <w:p w14:paraId="076880FC" w14:textId="77777777"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2212" w:type="dxa"/>
            <w:tcBorders>
              <w:top w:val="nil"/>
              <w:left w:val="nil"/>
              <w:bottom w:val="single" w:sz="4" w:space="0" w:color="auto"/>
              <w:right w:val="nil"/>
            </w:tcBorders>
            <w:shd w:val="clear" w:color="auto" w:fill="auto"/>
            <w:noWrap/>
            <w:vAlign w:val="bottom"/>
            <w:hideMark/>
          </w:tcPr>
          <w:p w14:paraId="4F28F42D" w14:textId="00E4BFB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109,83</w:t>
            </w:r>
          </w:p>
        </w:tc>
        <w:tc>
          <w:tcPr>
            <w:tcW w:w="1239" w:type="dxa"/>
            <w:tcBorders>
              <w:top w:val="nil"/>
              <w:left w:val="nil"/>
              <w:bottom w:val="single" w:sz="4" w:space="0" w:color="auto"/>
              <w:right w:val="nil"/>
            </w:tcBorders>
            <w:shd w:val="clear" w:color="auto" w:fill="auto"/>
            <w:noWrap/>
            <w:vAlign w:val="bottom"/>
            <w:hideMark/>
          </w:tcPr>
          <w:p w14:paraId="712C37C3" w14:textId="322A6340"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157,67</w:t>
            </w:r>
          </w:p>
        </w:tc>
        <w:tc>
          <w:tcPr>
            <w:tcW w:w="1590" w:type="dxa"/>
            <w:tcBorders>
              <w:top w:val="nil"/>
              <w:left w:val="nil"/>
              <w:bottom w:val="single" w:sz="4" w:space="0" w:color="auto"/>
              <w:right w:val="nil"/>
            </w:tcBorders>
            <w:shd w:val="clear" w:color="auto" w:fill="auto"/>
            <w:noWrap/>
            <w:vAlign w:val="bottom"/>
            <w:hideMark/>
          </w:tcPr>
          <w:p w14:paraId="486436BD" w14:textId="51C9729F"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171,00</w:t>
            </w:r>
          </w:p>
        </w:tc>
      </w:tr>
      <w:tr w:rsidR="00B72F3D" w:rsidRPr="001C3EC8" w14:paraId="0800E8B3" w14:textId="77777777" w:rsidTr="00B72F3D">
        <w:trPr>
          <w:trHeight w:val="330"/>
        </w:trPr>
        <w:tc>
          <w:tcPr>
            <w:tcW w:w="2480" w:type="dxa"/>
            <w:tcBorders>
              <w:top w:val="nil"/>
              <w:left w:val="nil"/>
              <w:bottom w:val="double" w:sz="6" w:space="0" w:color="auto"/>
              <w:right w:val="nil"/>
            </w:tcBorders>
            <w:shd w:val="clear" w:color="auto" w:fill="auto"/>
            <w:noWrap/>
            <w:vAlign w:val="bottom"/>
            <w:hideMark/>
          </w:tcPr>
          <w:p w14:paraId="340C4C72" w14:textId="77777777" w:rsidR="00B72F3D" w:rsidRPr="001C3EC8" w:rsidRDefault="00B72F3D" w:rsidP="00B72F3D">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619" w:type="dxa"/>
            <w:tcBorders>
              <w:top w:val="nil"/>
              <w:left w:val="nil"/>
              <w:bottom w:val="double" w:sz="6" w:space="0" w:color="auto"/>
              <w:right w:val="nil"/>
            </w:tcBorders>
            <w:shd w:val="clear" w:color="auto" w:fill="auto"/>
            <w:noWrap/>
            <w:vAlign w:val="bottom"/>
            <w:hideMark/>
          </w:tcPr>
          <w:p w14:paraId="56DD8901" w14:textId="6A2841B5"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9,2</w:t>
            </w:r>
          </w:p>
        </w:tc>
        <w:tc>
          <w:tcPr>
            <w:tcW w:w="2212" w:type="dxa"/>
            <w:tcBorders>
              <w:top w:val="nil"/>
              <w:left w:val="nil"/>
              <w:bottom w:val="double" w:sz="6" w:space="0" w:color="auto"/>
              <w:right w:val="nil"/>
            </w:tcBorders>
            <w:shd w:val="clear" w:color="auto" w:fill="auto"/>
            <w:noWrap/>
            <w:vAlign w:val="bottom"/>
            <w:hideMark/>
          </w:tcPr>
          <w:p w14:paraId="0BDDD22B" w14:textId="7A05E21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76,41</w:t>
            </w:r>
          </w:p>
        </w:tc>
        <w:tc>
          <w:tcPr>
            <w:tcW w:w="1239" w:type="dxa"/>
            <w:tcBorders>
              <w:top w:val="nil"/>
              <w:left w:val="nil"/>
              <w:bottom w:val="double" w:sz="6" w:space="0" w:color="auto"/>
              <w:right w:val="nil"/>
            </w:tcBorders>
            <w:shd w:val="clear" w:color="auto" w:fill="auto"/>
            <w:noWrap/>
            <w:vAlign w:val="bottom"/>
            <w:hideMark/>
          </w:tcPr>
          <w:p w14:paraId="57D47730" w14:textId="013E5D5E"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61,09</w:t>
            </w:r>
          </w:p>
        </w:tc>
        <w:tc>
          <w:tcPr>
            <w:tcW w:w="1590" w:type="dxa"/>
            <w:tcBorders>
              <w:top w:val="nil"/>
              <w:left w:val="nil"/>
              <w:bottom w:val="double" w:sz="6" w:space="0" w:color="auto"/>
              <w:right w:val="nil"/>
            </w:tcBorders>
            <w:shd w:val="clear" w:color="auto" w:fill="auto"/>
            <w:noWrap/>
            <w:vAlign w:val="bottom"/>
            <w:hideMark/>
          </w:tcPr>
          <w:p w14:paraId="0CED55CA" w14:textId="5694E771" w:rsidR="00B72F3D" w:rsidRPr="001C3EC8" w:rsidRDefault="00B72F3D" w:rsidP="00B72F3D">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86,63</w:t>
            </w:r>
          </w:p>
        </w:tc>
      </w:tr>
      <w:tr w:rsidR="00B72F3D" w:rsidRPr="001C3EC8" w14:paraId="5643AD50" w14:textId="77777777" w:rsidTr="00B72F3D">
        <w:trPr>
          <w:trHeight w:val="345"/>
        </w:trPr>
        <w:tc>
          <w:tcPr>
            <w:tcW w:w="2480" w:type="dxa"/>
            <w:tcBorders>
              <w:top w:val="nil"/>
              <w:left w:val="nil"/>
              <w:bottom w:val="double" w:sz="6" w:space="0" w:color="auto"/>
              <w:right w:val="nil"/>
            </w:tcBorders>
            <w:shd w:val="clear" w:color="auto" w:fill="auto"/>
            <w:noWrap/>
            <w:vAlign w:val="bottom"/>
            <w:hideMark/>
          </w:tcPr>
          <w:p w14:paraId="25EBC4FD" w14:textId="77777777" w:rsidR="00B72F3D" w:rsidRPr="001C3EC8" w:rsidRDefault="00B72F3D" w:rsidP="00B72F3D">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619" w:type="dxa"/>
            <w:tcBorders>
              <w:top w:val="nil"/>
              <w:left w:val="nil"/>
              <w:bottom w:val="double" w:sz="6" w:space="0" w:color="auto"/>
              <w:right w:val="nil"/>
            </w:tcBorders>
            <w:shd w:val="clear" w:color="auto" w:fill="auto"/>
            <w:noWrap/>
            <w:vAlign w:val="bottom"/>
            <w:hideMark/>
          </w:tcPr>
          <w:p w14:paraId="60F0ECF5" w14:textId="253BAB73"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36,65</w:t>
            </w:r>
          </w:p>
        </w:tc>
        <w:tc>
          <w:tcPr>
            <w:tcW w:w="2212" w:type="dxa"/>
            <w:tcBorders>
              <w:top w:val="nil"/>
              <w:left w:val="nil"/>
              <w:bottom w:val="double" w:sz="6" w:space="0" w:color="auto"/>
              <w:right w:val="nil"/>
            </w:tcBorders>
            <w:shd w:val="clear" w:color="auto" w:fill="auto"/>
            <w:noWrap/>
            <w:vAlign w:val="bottom"/>
            <w:hideMark/>
          </w:tcPr>
          <w:p w14:paraId="15BF650C" w14:textId="449424C5"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121,47</w:t>
            </w:r>
          </w:p>
        </w:tc>
        <w:tc>
          <w:tcPr>
            <w:tcW w:w="1239" w:type="dxa"/>
            <w:tcBorders>
              <w:top w:val="nil"/>
              <w:left w:val="nil"/>
              <w:bottom w:val="double" w:sz="6" w:space="0" w:color="auto"/>
              <w:right w:val="nil"/>
            </w:tcBorders>
            <w:shd w:val="clear" w:color="auto" w:fill="auto"/>
            <w:noWrap/>
            <w:vAlign w:val="bottom"/>
            <w:hideMark/>
          </w:tcPr>
          <w:p w14:paraId="6A94425E" w14:textId="53FB4B6C"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119,56</w:t>
            </w:r>
          </w:p>
        </w:tc>
        <w:tc>
          <w:tcPr>
            <w:tcW w:w="1590" w:type="dxa"/>
            <w:tcBorders>
              <w:top w:val="nil"/>
              <w:left w:val="nil"/>
              <w:bottom w:val="double" w:sz="6" w:space="0" w:color="auto"/>
              <w:right w:val="nil"/>
            </w:tcBorders>
            <w:shd w:val="clear" w:color="auto" w:fill="auto"/>
            <w:noWrap/>
            <w:vAlign w:val="bottom"/>
            <w:hideMark/>
          </w:tcPr>
          <w:p w14:paraId="54C2F527" w14:textId="2FE9A637" w:rsidR="00B72F3D" w:rsidRPr="001C3EC8" w:rsidRDefault="00B72F3D" w:rsidP="00B72F3D">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136,43</w:t>
            </w:r>
          </w:p>
        </w:tc>
      </w:tr>
    </w:tbl>
    <w:p w14:paraId="1FDB8224" w14:textId="77777777" w:rsidR="008430BD" w:rsidRPr="001C3EC8" w:rsidRDefault="008430BD" w:rsidP="008430BD">
      <w:pPr>
        <w:rPr>
          <w:color w:val="000000" w:themeColor="text1"/>
        </w:rPr>
      </w:pPr>
    </w:p>
    <w:p w14:paraId="431C50E8" w14:textId="39CEFDF5" w:rsidR="008430BD" w:rsidRPr="001C3EC8" w:rsidRDefault="003B28B2" w:rsidP="008430BD">
      <w:pPr>
        <w:rPr>
          <w:color w:val="000000" w:themeColor="text1"/>
        </w:rPr>
      </w:pPr>
      <w:r w:rsidRPr="001C3EC8">
        <w:rPr>
          <w:color w:val="000000" w:themeColor="text1"/>
        </w:rPr>
        <w:t>N</w:t>
      </w:r>
      <w:r w:rsidR="008430BD" w:rsidRPr="001C3EC8">
        <w:rPr>
          <w:color w:val="000000" w:themeColor="text1"/>
        </w:rPr>
        <w:t>ejvíce nevyřízených věcí na soudce vykazuje</w:t>
      </w:r>
      <w:r w:rsidR="000E1CAF" w:rsidRPr="001C3EC8">
        <w:rPr>
          <w:color w:val="000000" w:themeColor="text1"/>
        </w:rPr>
        <w:t xml:space="preserve"> MS Praha. Soud také má vysoké délky řízení </w:t>
      </w:r>
      <w:r w:rsidR="00021FDD" w:rsidRPr="001C3EC8">
        <w:rPr>
          <w:color w:val="000000" w:themeColor="text1"/>
        </w:rPr>
        <w:t>a</w:t>
      </w:r>
      <w:r w:rsidR="00021FDD">
        <w:rPr>
          <w:color w:val="000000" w:themeColor="text1"/>
        </w:rPr>
        <w:t> </w:t>
      </w:r>
      <w:r w:rsidR="000E1CAF" w:rsidRPr="001C3EC8">
        <w:rPr>
          <w:color w:val="000000" w:themeColor="text1"/>
        </w:rPr>
        <w:t>data naznačují, že může mít problémy s vyřizováním incidenčních sporů. N</w:t>
      </w:r>
      <w:r w:rsidR="00B72F3D" w:rsidRPr="001C3EC8">
        <w:rPr>
          <w:color w:val="000000" w:themeColor="text1"/>
        </w:rPr>
        <w:t>ásleduje</w:t>
      </w:r>
      <w:r w:rsidR="008430BD" w:rsidRPr="001C3EC8">
        <w:rPr>
          <w:color w:val="000000" w:themeColor="text1"/>
        </w:rPr>
        <w:t xml:space="preserve"> KS Praha </w:t>
      </w:r>
      <w:r w:rsidR="00021FDD" w:rsidRPr="001C3EC8">
        <w:rPr>
          <w:color w:val="000000" w:themeColor="text1"/>
        </w:rPr>
        <w:t>a</w:t>
      </w:r>
      <w:r w:rsidR="00021FDD">
        <w:rPr>
          <w:color w:val="000000" w:themeColor="text1"/>
        </w:rPr>
        <w:t> </w:t>
      </w:r>
      <w:r w:rsidR="008430BD" w:rsidRPr="001C3EC8">
        <w:rPr>
          <w:color w:val="000000" w:themeColor="text1"/>
        </w:rPr>
        <w:t>dále KS Brno, které také vykazuje vysoké délky řízení.</w:t>
      </w:r>
    </w:p>
    <w:p w14:paraId="13860214" w14:textId="0575D136" w:rsidR="00B07E76" w:rsidRDefault="008430BD" w:rsidP="008430BD">
      <w:pPr>
        <w:rPr>
          <w:color w:val="000000" w:themeColor="text1"/>
        </w:rPr>
      </w:pPr>
      <w:r w:rsidRPr="001C3EC8">
        <w:rPr>
          <w:color w:val="000000" w:themeColor="text1"/>
        </w:rPr>
        <w:t xml:space="preserve">Nejmenší počet příchozích </w:t>
      </w:r>
      <w:r w:rsidR="00021FDD" w:rsidRPr="001C3EC8">
        <w:rPr>
          <w:color w:val="000000" w:themeColor="text1"/>
        </w:rPr>
        <w:t>a</w:t>
      </w:r>
      <w:r w:rsidR="00021FDD">
        <w:rPr>
          <w:color w:val="000000" w:themeColor="text1"/>
        </w:rPr>
        <w:t> </w:t>
      </w:r>
      <w:r w:rsidRPr="001C3EC8">
        <w:rPr>
          <w:color w:val="000000" w:themeColor="text1"/>
        </w:rPr>
        <w:t xml:space="preserve">vyřízených věcí na soudce má KS Ostrava, což lze dobře vysvětlit. Tento soud řeší opravdu složité incidenční spory, z nichž jsou některé známy </w:t>
      </w:r>
      <w:r w:rsidR="00021FDD" w:rsidRPr="001C3EC8">
        <w:rPr>
          <w:color w:val="000000" w:themeColor="text1"/>
        </w:rPr>
        <w:t>i</w:t>
      </w:r>
      <w:r w:rsidR="00021FDD">
        <w:rPr>
          <w:color w:val="000000" w:themeColor="text1"/>
        </w:rPr>
        <w:t> </w:t>
      </w:r>
      <w:r w:rsidRPr="001C3EC8">
        <w:rPr>
          <w:color w:val="000000" w:themeColor="text1"/>
        </w:rPr>
        <w:t>ze sdělovacích prostředků.</w:t>
      </w:r>
    </w:p>
    <w:p w14:paraId="575B9311" w14:textId="2AFB86FA" w:rsidR="008430BD" w:rsidRPr="001C3EC8" w:rsidRDefault="008430BD" w:rsidP="008430BD">
      <w:pPr>
        <w:rPr>
          <w:color w:val="000000" w:themeColor="text1"/>
        </w:rPr>
      </w:pPr>
      <w:r w:rsidRPr="001C3EC8">
        <w:rPr>
          <w:color w:val="000000" w:themeColor="text1"/>
        </w:rPr>
        <w:t xml:space="preserve">Nakonec je ještě třeba upozornit na srovnání s obchodní </w:t>
      </w:r>
      <w:r w:rsidR="00021FDD" w:rsidRPr="001C3EC8">
        <w:rPr>
          <w:color w:val="000000" w:themeColor="text1"/>
        </w:rPr>
        <w:t>a</w:t>
      </w:r>
      <w:r w:rsidR="00021FDD">
        <w:rPr>
          <w:color w:val="000000" w:themeColor="text1"/>
        </w:rPr>
        <w:t> </w:t>
      </w:r>
      <w:r w:rsidRPr="001C3EC8">
        <w:rPr>
          <w:color w:val="000000" w:themeColor="text1"/>
        </w:rPr>
        <w:t xml:space="preserve">civilní agendou. Počet příchozích </w:t>
      </w:r>
      <w:r w:rsidR="00021FDD" w:rsidRPr="001C3EC8">
        <w:rPr>
          <w:color w:val="000000" w:themeColor="text1"/>
        </w:rPr>
        <w:t>a</w:t>
      </w:r>
      <w:r w:rsidR="00021FDD">
        <w:rPr>
          <w:color w:val="000000" w:themeColor="text1"/>
        </w:rPr>
        <w:t> </w:t>
      </w:r>
      <w:r w:rsidRPr="001C3EC8">
        <w:rPr>
          <w:color w:val="000000" w:themeColor="text1"/>
        </w:rPr>
        <w:t xml:space="preserve">vyřízených věcí na soudce je </w:t>
      </w:r>
      <w:r w:rsidR="00021FDD" w:rsidRPr="001C3EC8">
        <w:rPr>
          <w:color w:val="000000" w:themeColor="text1"/>
        </w:rPr>
        <w:t>u</w:t>
      </w:r>
      <w:r w:rsidR="00021FDD">
        <w:rPr>
          <w:color w:val="000000" w:themeColor="text1"/>
        </w:rPr>
        <w:t> </w:t>
      </w:r>
      <w:r w:rsidRPr="001C3EC8">
        <w:rPr>
          <w:color w:val="000000" w:themeColor="text1"/>
        </w:rPr>
        <w:t>incidenčních sporů výrazně nižší, což opět ukazuje na složitost této agendy.</w:t>
      </w:r>
    </w:p>
    <w:p w14:paraId="6F25E058" w14:textId="77777777" w:rsidR="008430BD" w:rsidRPr="001C3EC8" w:rsidRDefault="008430BD" w:rsidP="008430BD">
      <w:pPr>
        <w:pStyle w:val="Nadpis3"/>
        <w:numPr>
          <w:ilvl w:val="2"/>
          <w:numId w:val="1"/>
        </w:numPr>
        <w:rPr>
          <w:color w:val="000000" w:themeColor="text1"/>
        </w:rPr>
      </w:pPr>
      <w:bookmarkStart w:id="692" w:name="_Toc75952122"/>
      <w:proofErr w:type="spellStart"/>
      <w:r w:rsidRPr="001C3EC8">
        <w:rPr>
          <w:color w:val="000000" w:themeColor="text1"/>
        </w:rPr>
        <w:lastRenderedPageBreak/>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(dispoziční čas)</w:t>
      </w:r>
      <w:bookmarkEnd w:id="692"/>
    </w:p>
    <w:p w14:paraId="1B1C82C3" w14:textId="098DA0E0" w:rsidR="008430BD" w:rsidRPr="001C3EC8" w:rsidRDefault="008430BD" w:rsidP="008430BD">
      <w:pPr>
        <w:pStyle w:val="OdstavecASR"/>
        <w:rPr>
          <w:color w:val="000000" w:themeColor="text1"/>
        </w:rPr>
      </w:pP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 xml:space="preserve">jeho výše vyplývá z údajů v podkapitole 3.8.2. Díky rostoucímu počtu vyřízených věcí </w:t>
      </w:r>
      <w:r w:rsidR="00021FDD" w:rsidRPr="001C3EC8">
        <w:rPr>
          <w:color w:val="000000" w:themeColor="text1"/>
        </w:rPr>
        <w:t>a</w:t>
      </w:r>
      <w:r w:rsidR="00021FDD">
        <w:rPr>
          <w:color w:val="000000" w:themeColor="text1"/>
        </w:rPr>
        <w:t> </w:t>
      </w:r>
      <w:r w:rsidRPr="001C3EC8">
        <w:rPr>
          <w:color w:val="000000" w:themeColor="text1"/>
        </w:rPr>
        <w:t xml:space="preserve">v posledních </w:t>
      </w:r>
      <w:r w:rsidR="00021FDD" w:rsidRPr="001C3EC8">
        <w:rPr>
          <w:color w:val="000000" w:themeColor="text1"/>
        </w:rPr>
        <w:t>2</w:t>
      </w:r>
      <w:r w:rsidR="00021FDD">
        <w:rPr>
          <w:color w:val="000000" w:themeColor="text1"/>
        </w:rPr>
        <w:t> </w:t>
      </w:r>
      <w:r w:rsidRPr="001C3EC8">
        <w:rPr>
          <w:color w:val="000000" w:themeColor="text1"/>
        </w:rPr>
        <w:t xml:space="preserve">letech také díky úbytku nevyřízených věcí DT postupně klesal, a to především mezi roky 2017 </w:t>
      </w:r>
      <w:r w:rsidR="00021FDD" w:rsidRPr="001C3EC8">
        <w:rPr>
          <w:color w:val="000000" w:themeColor="text1"/>
        </w:rPr>
        <w:t>a</w:t>
      </w:r>
      <w:r w:rsidR="00021FDD">
        <w:rPr>
          <w:color w:val="000000" w:themeColor="text1"/>
        </w:rPr>
        <w:t> </w:t>
      </w:r>
      <w:r w:rsidRPr="001C3EC8">
        <w:rPr>
          <w:color w:val="000000" w:themeColor="text1"/>
        </w:rPr>
        <w:t>2018.</w:t>
      </w:r>
      <w:r w:rsidR="00E10CA4">
        <w:rPr>
          <w:color w:val="000000" w:themeColor="text1"/>
        </w:rPr>
        <w:t xml:space="preserve"> </w:t>
      </w:r>
      <w:r w:rsidRPr="001C3EC8">
        <w:rPr>
          <w:color w:val="000000" w:themeColor="text1"/>
        </w:rPr>
        <w:t xml:space="preserve">V roce 2020 došlo poprvé od roku 2015 k nárůstu v DT, což plyne především </w:t>
      </w:r>
      <w:r w:rsidR="00021FDD" w:rsidRPr="001C3EC8">
        <w:rPr>
          <w:color w:val="000000" w:themeColor="text1"/>
        </w:rPr>
        <w:t>z</w:t>
      </w:r>
      <w:r w:rsidR="00021FDD">
        <w:rPr>
          <w:color w:val="000000" w:themeColor="text1"/>
        </w:rPr>
        <w:t> </w:t>
      </w:r>
      <w:r w:rsidRPr="001C3EC8">
        <w:rPr>
          <w:color w:val="000000" w:themeColor="text1"/>
        </w:rPr>
        <w:t>počtu vyřízených věcí.</w:t>
      </w:r>
    </w:p>
    <w:p w14:paraId="2FD130CF" w14:textId="6C58DB27" w:rsidR="008430BD" w:rsidRPr="001C3EC8" w:rsidRDefault="008430BD" w:rsidP="008430BD">
      <w:pPr>
        <w:pStyle w:val="OdstavecASR"/>
        <w:rPr>
          <w:color w:val="000000" w:themeColor="text1"/>
        </w:rPr>
      </w:pPr>
      <w:r w:rsidRPr="001C3EC8">
        <w:rPr>
          <w:color w:val="000000" w:themeColor="text1"/>
        </w:rPr>
        <w:t xml:space="preserve">Mezi jednotlivými soudy jsou pak velké rozdíly, což opět plyne z počtu vyřízených </w:t>
      </w:r>
      <w:r w:rsidR="00021FDD" w:rsidRPr="001C3EC8">
        <w:rPr>
          <w:color w:val="000000" w:themeColor="text1"/>
        </w:rPr>
        <w:t>a</w:t>
      </w:r>
      <w:r w:rsidR="00021FDD">
        <w:rPr>
          <w:color w:val="000000" w:themeColor="text1"/>
        </w:rPr>
        <w:t> </w:t>
      </w:r>
      <w:r w:rsidRPr="001C3EC8">
        <w:rPr>
          <w:color w:val="000000" w:themeColor="text1"/>
        </w:rPr>
        <w:t xml:space="preserve">nevyřízených věcí. Absolutně největší DT má MS Praha, nejmenší naopak KS České Budějovice. Nárůst DT je vidět </w:t>
      </w:r>
      <w:r w:rsidR="00021FDD" w:rsidRPr="001C3EC8">
        <w:rPr>
          <w:color w:val="000000" w:themeColor="text1"/>
        </w:rPr>
        <w:t>u</w:t>
      </w:r>
      <w:r w:rsidR="00021FDD">
        <w:rPr>
          <w:color w:val="000000" w:themeColor="text1"/>
        </w:rPr>
        <w:t> </w:t>
      </w:r>
      <w:r w:rsidRPr="001C3EC8">
        <w:rPr>
          <w:color w:val="000000" w:themeColor="text1"/>
        </w:rPr>
        <w:t xml:space="preserve">KS v Brně, </w:t>
      </w:r>
      <w:r w:rsidR="000D40D2" w:rsidRPr="001C3EC8">
        <w:rPr>
          <w:color w:val="000000" w:themeColor="text1"/>
        </w:rPr>
        <w:t xml:space="preserve">což je však </w:t>
      </w:r>
      <w:r w:rsidRPr="001C3EC8">
        <w:rPr>
          <w:color w:val="000000" w:themeColor="text1"/>
        </w:rPr>
        <w:t xml:space="preserve">dáno tím, že v předchozím roce soud vyřídil obrovské množství věcí, takže zákonitě muselo dojít k poklesu v počtu vyřízených věcí, </w:t>
      </w:r>
      <w:r w:rsidR="00021FDD" w:rsidRPr="001C3EC8">
        <w:rPr>
          <w:color w:val="000000" w:themeColor="text1"/>
        </w:rPr>
        <w:t>a</w:t>
      </w:r>
      <w:r w:rsidR="00021FDD">
        <w:rPr>
          <w:color w:val="000000" w:themeColor="text1"/>
        </w:rPr>
        <w:t> </w:t>
      </w:r>
      <w:r w:rsidRPr="001C3EC8">
        <w:rPr>
          <w:color w:val="000000" w:themeColor="text1"/>
        </w:rPr>
        <w:t xml:space="preserve">tedy </w:t>
      </w:r>
      <w:r w:rsidR="00021FDD" w:rsidRPr="001C3EC8">
        <w:rPr>
          <w:color w:val="000000" w:themeColor="text1"/>
        </w:rPr>
        <w:t>i</w:t>
      </w:r>
      <w:r w:rsidR="00021FDD">
        <w:rPr>
          <w:color w:val="000000" w:themeColor="text1"/>
        </w:rPr>
        <w:t> </w:t>
      </w:r>
      <w:r w:rsidRPr="001C3EC8">
        <w:rPr>
          <w:color w:val="000000" w:themeColor="text1"/>
        </w:rPr>
        <w:t>růstu DT. Největší nárůst DT (vysokých 71 %) vykázal KS Ostravě, což je v souladu s výše uvedenými statistikami.</w:t>
      </w:r>
    </w:p>
    <w:p w14:paraId="074A30FF" w14:textId="399AD3A3" w:rsidR="008430BD" w:rsidRPr="001C3EC8" w:rsidRDefault="008430BD" w:rsidP="008430BD">
      <w:pPr>
        <w:pStyle w:val="Podnadpis"/>
        <w:rPr>
          <w:color w:val="000000" w:themeColor="text1"/>
        </w:rPr>
      </w:pPr>
      <w:bookmarkStart w:id="693" w:name="_Toc43841458"/>
      <w:bookmarkStart w:id="694" w:name="_Toc75952261"/>
      <w:r w:rsidRPr="001C3EC8">
        <w:rPr>
          <w:color w:val="000000" w:themeColor="text1"/>
        </w:rPr>
        <w:t xml:space="preserve">Graf </w:t>
      </w:r>
      <w:r w:rsidRPr="001C3EC8">
        <w:rPr>
          <w:color w:val="000000" w:themeColor="text1"/>
        </w:rPr>
        <w:fldChar w:fldCharType="begin"/>
      </w:r>
      <w:r w:rsidRPr="001C3EC8">
        <w:rPr>
          <w:noProof/>
          <w:color w:val="000000" w:themeColor="text1"/>
        </w:rPr>
        <w:instrText xml:space="preserve"> SEQ Graf \* ARABIC </w:instrText>
      </w:r>
      <w:r w:rsidRPr="001C3EC8">
        <w:rPr>
          <w:color w:val="000000" w:themeColor="text1"/>
        </w:rPr>
        <w:fldChar w:fldCharType="separate"/>
      </w:r>
      <w:r w:rsidR="009C575D">
        <w:rPr>
          <w:noProof/>
          <w:color w:val="000000" w:themeColor="text1"/>
        </w:rPr>
        <w:t>81</w:t>
      </w:r>
      <w:r w:rsidRPr="001C3EC8">
        <w:rPr>
          <w:color w:val="000000" w:themeColor="text1"/>
        </w:rPr>
        <w:fldChar w:fldCharType="end"/>
      </w:r>
      <w:r w:rsidRPr="001C3EC8">
        <w:rPr>
          <w:color w:val="000000" w:themeColor="text1"/>
        </w:rPr>
        <w:t>: KS – DT incidenčních sporů v letech 2011–20</w:t>
      </w:r>
      <w:bookmarkEnd w:id="693"/>
      <w:r w:rsidRPr="001C3EC8">
        <w:rPr>
          <w:color w:val="000000" w:themeColor="text1"/>
        </w:rPr>
        <w:t>20</w:t>
      </w:r>
      <w:bookmarkEnd w:id="694"/>
    </w:p>
    <w:p w14:paraId="4446582A"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1B2CD167" wp14:editId="216A0CC0">
            <wp:extent cx="5114925" cy="3743325"/>
            <wp:effectExtent l="0" t="0" r="0" b="952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9B11F91" w14:textId="77777777" w:rsidR="008430BD" w:rsidRPr="001C3EC8" w:rsidRDefault="008430BD" w:rsidP="008430BD">
      <w:pPr>
        <w:spacing w:line="240" w:lineRule="auto"/>
        <w:jc w:val="left"/>
        <w:rPr>
          <w:rFonts w:eastAsia="Times New Roman"/>
          <w:b/>
          <w:iCs/>
          <w:color w:val="000000" w:themeColor="text1"/>
          <w:spacing w:val="15"/>
          <w:szCs w:val="24"/>
        </w:rPr>
      </w:pPr>
      <w:bookmarkStart w:id="695" w:name="_Toc43931249"/>
      <w:r w:rsidRPr="001C3EC8">
        <w:rPr>
          <w:color w:val="000000" w:themeColor="text1"/>
        </w:rPr>
        <w:br w:type="page"/>
      </w:r>
    </w:p>
    <w:p w14:paraId="7B14F57C" w14:textId="37928F7B" w:rsidR="008430BD" w:rsidRPr="001C3EC8" w:rsidRDefault="008430BD" w:rsidP="008430BD">
      <w:pPr>
        <w:pStyle w:val="Podnadpis"/>
        <w:rPr>
          <w:color w:val="000000" w:themeColor="text1"/>
        </w:rPr>
      </w:pPr>
      <w:bookmarkStart w:id="696" w:name="_Toc75952383"/>
      <w:r w:rsidRPr="001C3EC8">
        <w:rPr>
          <w:color w:val="000000" w:themeColor="text1"/>
        </w:rPr>
        <w:lastRenderedPageBreak/>
        <w:t xml:space="preserve">Tabulka </w:t>
      </w:r>
      <w:r w:rsidRPr="001C3EC8">
        <w:rPr>
          <w:color w:val="000000" w:themeColor="text1"/>
        </w:rPr>
        <w:fldChar w:fldCharType="begin"/>
      </w:r>
      <w:r w:rsidRPr="001C3EC8">
        <w:rPr>
          <w:noProof/>
          <w:color w:val="000000" w:themeColor="text1"/>
        </w:rPr>
        <w:instrText xml:space="preserve"> SEQ Tabulka \* ARABIC </w:instrText>
      </w:r>
      <w:r w:rsidRPr="001C3EC8">
        <w:rPr>
          <w:color w:val="000000" w:themeColor="text1"/>
        </w:rPr>
        <w:fldChar w:fldCharType="separate"/>
      </w:r>
      <w:r w:rsidR="009C575D">
        <w:rPr>
          <w:noProof/>
          <w:color w:val="000000" w:themeColor="text1"/>
        </w:rPr>
        <w:t>80</w:t>
      </w:r>
      <w:r w:rsidRPr="001C3EC8">
        <w:rPr>
          <w:color w:val="000000" w:themeColor="text1"/>
        </w:rPr>
        <w:fldChar w:fldCharType="end"/>
      </w:r>
      <w:r w:rsidRPr="001C3EC8">
        <w:rPr>
          <w:color w:val="000000" w:themeColor="text1"/>
        </w:rPr>
        <w:t>: KS – DT incidenčních sporů dle soudů</w:t>
      </w:r>
      <w:bookmarkEnd w:id="695"/>
      <w:bookmarkEnd w:id="696"/>
    </w:p>
    <w:tbl>
      <w:tblPr>
        <w:tblW w:w="4720" w:type="dxa"/>
        <w:tblCellMar>
          <w:left w:w="70" w:type="dxa"/>
          <w:right w:w="70" w:type="dxa"/>
        </w:tblCellMar>
        <w:tblLook w:val="04A0" w:firstRow="1" w:lastRow="0" w:firstColumn="1" w:lastColumn="0" w:noHBand="0" w:noVBand="1"/>
      </w:tblPr>
      <w:tblGrid>
        <w:gridCol w:w="1820"/>
        <w:gridCol w:w="1143"/>
        <w:gridCol w:w="1757"/>
      </w:tblGrid>
      <w:tr w:rsidR="008430BD" w:rsidRPr="001C3EC8" w14:paraId="7F03A219" w14:textId="77777777" w:rsidTr="00E077F3">
        <w:trPr>
          <w:trHeight w:val="345"/>
        </w:trPr>
        <w:tc>
          <w:tcPr>
            <w:tcW w:w="1820" w:type="dxa"/>
            <w:tcBorders>
              <w:top w:val="double" w:sz="6" w:space="0" w:color="auto"/>
              <w:left w:val="nil"/>
              <w:bottom w:val="double" w:sz="6" w:space="0" w:color="auto"/>
              <w:right w:val="nil"/>
            </w:tcBorders>
            <w:shd w:val="clear" w:color="auto" w:fill="auto"/>
            <w:noWrap/>
            <w:vAlign w:val="center"/>
            <w:hideMark/>
          </w:tcPr>
          <w:p w14:paraId="6E1A80E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2900" w:type="dxa"/>
            <w:gridSpan w:val="2"/>
            <w:tcBorders>
              <w:top w:val="double" w:sz="6" w:space="0" w:color="auto"/>
              <w:left w:val="nil"/>
              <w:bottom w:val="double" w:sz="6" w:space="0" w:color="auto"/>
              <w:right w:val="nil"/>
            </w:tcBorders>
            <w:shd w:val="clear" w:color="auto" w:fill="auto"/>
            <w:noWrap/>
            <w:vAlign w:val="center"/>
            <w:hideMark/>
          </w:tcPr>
          <w:p w14:paraId="09CFABEF" w14:textId="77777777" w:rsidR="008430BD" w:rsidRPr="001C3EC8" w:rsidRDefault="008430BD" w:rsidP="00E077F3">
            <w:pPr>
              <w:spacing w:line="240" w:lineRule="auto"/>
              <w:jc w:val="center"/>
              <w:rPr>
                <w:rFonts w:eastAsia="Times New Roman"/>
                <w:b/>
                <w:bCs/>
                <w:color w:val="000000" w:themeColor="text1"/>
                <w:szCs w:val="24"/>
                <w:lang w:eastAsia="cs-CZ"/>
              </w:rPr>
            </w:pPr>
            <w:proofErr w:type="spellStart"/>
            <w:r w:rsidRPr="001C3EC8">
              <w:rPr>
                <w:rFonts w:eastAsia="Times New Roman"/>
                <w:b/>
                <w:bCs/>
                <w:color w:val="000000" w:themeColor="text1"/>
                <w:szCs w:val="24"/>
                <w:lang w:eastAsia="cs-CZ"/>
              </w:rPr>
              <w:t>Disposition</w:t>
            </w:r>
            <w:proofErr w:type="spellEnd"/>
            <w:r w:rsidRPr="001C3EC8">
              <w:rPr>
                <w:rFonts w:eastAsia="Times New Roman"/>
                <w:b/>
                <w:bCs/>
                <w:color w:val="000000" w:themeColor="text1"/>
                <w:szCs w:val="24"/>
                <w:lang w:eastAsia="cs-CZ"/>
              </w:rPr>
              <w:t xml:space="preserve"> </w:t>
            </w:r>
            <w:proofErr w:type="spellStart"/>
            <w:r w:rsidRPr="001C3EC8">
              <w:rPr>
                <w:rFonts w:eastAsia="Times New Roman"/>
                <w:b/>
                <w:bCs/>
                <w:color w:val="000000" w:themeColor="text1"/>
                <w:szCs w:val="24"/>
                <w:lang w:eastAsia="cs-CZ"/>
              </w:rPr>
              <w:t>time</w:t>
            </w:r>
            <w:proofErr w:type="spellEnd"/>
          </w:p>
        </w:tc>
      </w:tr>
      <w:tr w:rsidR="008430BD" w:rsidRPr="001C3EC8" w14:paraId="039FF971" w14:textId="77777777" w:rsidTr="00E077F3">
        <w:trPr>
          <w:trHeight w:val="330"/>
        </w:trPr>
        <w:tc>
          <w:tcPr>
            <w:tcW w:w="1820" w:type="dxa"/>
            <w:tcBorders>
              <w:top w:val="nil"/>
              <w:left w:val="nil"/>
              <w:bottom w:val="single" w:sz="4" w:space="0" w:color="auto"/>
              <w:right w:val="nil"/>
            </w:tcBorders>
            <w:shd w:val="clear" w:color="auto" w:fill="auto"/>
            <w:noWrap/>
            <w:vAlign w:val="bottom"/>
            <w:hideMark/>
          </w:tcPr>
          <w:p w14:paraId="496E94B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MS Praha</w:t>
            </w:r>
          </w:p>
        </w:tc>
        <w:tc>
          <w:tcPr>
            <w:tcW w:w="1143" w:type="dxa"/>
            <w:tcBorders>
              <w:top w:val="nil"/>
              <w:left w:val="nil"/>
              <w:bottom w:val="single" w:sz="4" w:space="0" w:color="auto"/>
              <w:right w:val="nil"/>
            </w:tcBorders>
            <w:shd w:val="clear" w:color="auto" w:fill="auto"/>
            <w:noWrap/>
            <w:vAlign w:val="bottom"/>
            <w:hideMark/>
          </w:tcPr>
          <w:p w14:paraId="324BFF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706</w:t>
            </w:r>
          </w:p>
        </w:tc>
        <w:tc>
          <w:tcPr>
            <w:tcW w:w="1757" w:type="dxa"/>
            <w:tcBorders>
              <w:top w:val="nil"/>
              <w:left w:val="nil"/>
              <w:bottom w:val="single" w:sz="4" w:space="0" w:color="auto"/>
              <w:right w:val="nil"/>
            </w:tcBorders>
            <w:shd w:val="clear" w:color="auto" w:fill="auto"/>
            <w:noWrap/>
            <w:vAlign w:val="center"/>
            <w:hideMark/>
          </w:tcPr>
          <w:p w14:paraId="288B509A" w14:textId="46E0F51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-11 </w:t>
            </w:r>
            <w:r w:rsidR="00B07E76">
              <w:rPr>
                <w:rFonts w:eastAsia="Times New Roman"/>
                <w:color w:val="000000" w:themeColor="text1"/>
                <w:sz w:val="20"/>
                <w:szCs w:val="20"/>
                <w:lang w:eastAsia="cs-CZ"/>
              </w:rPr>
              <w:t>%</w:t>
            </w:r>
          </w:p>
        </w:tc>
      </w:tr>
      <w:tr w:rsidR="008430BD" w:rsidRPr="001C3EC8" w14:paraId="6A3D9364"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2B312132"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Praha</w:t>
            </w:r>
          </w:p>
        </w:tc>
        <w:tc>
          <w:tcPr>
            <w:tcW w:w="1143" w:type="dxa"/>
            <w:tcBorders>
              <w:top w:val="nil"/>
              <w:left w:val="nil"/>
              <w:bottom w:val="single" w:sz="4" w:space="0" w:color="auto"/>
              <w:right w:val="nil"/>
            </w:tcBorders>
            <w:shd w:val="clear" w:color="auto" w:fill="auto"/>
            <w:noWrap/>
            <w:vAlign w:val="bottom"/>
            <w:hideMark/>
          </w:tcPr>
          <w:p w14:paraId="16D3370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378</w:t>
            </w:r>
          </w:p>
        </w:tc>
        <w:tc>
          <w:tcPr>
            <w:tcW w:w="1757" w:type="dxa"/>
            <w:tcBorders>
              <w:top w:val="nil"/>
              <w:left w:val="nil"/>
              <w:bottom w:val="single" w:sz="4" w:space="0" w:color="auto"/>
              <w:right w:val="nil"/>
            </w:tcBorders>
            <w:shd w:val="clear" w:color="auto" w:fill="auto"/>
            <w:noWrap/>
            <w:vAlign w:val="center"/>
            <w:hideMark/>
          </w:tcPr>
          <w:p w14:paraId="3FF30CC4" w14:textId="4BAD677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+21 </w:t>
            </w:r>
            <w:r w:rsidR="00B07E76">
              <w:rPr>
                <w:rFonts w:eastAsia="Times New Roman"/>
                <w:color w:val="000000" w:themeColor="text1"/>
                <w:sz w:val="20"/>
                <w:szCs w:val="20"/>
                <w:lang w:eastAsia="cs-CZ"/>
              </w:rPr>
              <w:t>%</w:t>
            </w:r>
          </w:p>
        </w:tc>
      </w:tr>
      <w:tr w:rsidR="008430BD" w:rsidRPr="001C3EC8" w14:paraId="409FE790"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574C5B8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Č. Budějovice</w:t>
            </w:r>
          </w:p>
        </w:tc>
        <w:tc>
          <w:tcPr>
            <w:tcW w:w="1143" w:type="dxa"/>
            <w:tcBorders>
              <w:top w:val="nil"/>
              <w:left w:val="nil"/>
              <w:bottom w:val="single" w:sz="4" w:space="0" w:color="auto"/>
              <w:right w:val="nil"/>
            </w:tcBorders>
            <w:shd w:val="clear" w:color="auto" w:fill="auto"/>
            <w:noWrap/>
            <w:vAlign w:val="bottom"/>
            <w:hideMark/>
          </w:tcPr>
          <w:p w14:paraId="275F97E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210</w:t>
            </w:r>
          </w:p>
        </w:tc>
        <w:tc>
          <w:tcPr>
            <w:tcW w:w="1757" w:type="dxa"/>
            <w:tcBorders>
              <w:top w:val="nil"/>
              <w:left w:val="nil"/>
              <w:bottom w:val="single" w:sz="4" w:space="0" w:color="auto"/>
              <w:right w:val="nil"/>
            </w:tcBorders>
            <w:shd w:val="clear" w:color="auto" w:fill="auto"/>
            <w:noWrap/>
            <w:vAlign w:val="center"/>
            <w:hideMark/>
          </w:tcPr>
          <w:p w14:paraId="1953D85B" w14:textId="6081EE5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+20 </w:t>
            </w:r>
            <w:r w:rsidR="00B07E76">
              <w:rPr>
                <w:rFonts w:eastAsia="Times New Roman"/>
                <w:color w:val="000000" w:themeColor="text1"/>
                <w:sz w:val="20"/>
                <w:szCs w:val="20"/>
                <w:lang w:eastAsia="cs-CZ"/>
              </w:rPr>
              <w:t>%</w:t>
            </w:r>
          </w:p>
        </w:tc>
      </w:tr>
      <w:tr w:rsidR="008430BD" w:rsidRPr="001C3EC8" w14:paraId="425E08CA"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5183443F"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Plzeň</w:t>
            </w:r>
          </w:p>
        </w:tc>
        <w:tc>
          <w:tcPr>
            <w:tcW w:w="1143" w:type="dxa"/>
            <w:tcBorders>
              <w:top w:val="nil"/>
              <w:left w:val="nil"/>
              <w:bottom w:val="single" w:sz="4" w:space="0" w:color="auto"/>
              <w:right w:val="nil"/>
            </w:tcBorders>
            <w:shd w:val="clear" w:color="auto" w:fill="auto"/>
            <w:noWrap/>
            <w:vAlign w:val="bottom"/>
            <w:hideMark/>
          </w:tcPr>
          <w:p w14:paraId="33DE02EC"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268</w:t>
            </w:r>
          </w:p>
        </w:tc>
        <w:tc>
          <w:tcPr>
            <w:tcW w:w="1757" w:type="dxa"/>
            <w:tcBorders>
              <w:top w:val="nil"/>
              <w:left w:val="nil"/>
              <w:bottom w:val="single" w:sz="4" w:space="0" w:color="auto"/>
              <w:right w:val="nil"/>
            </w:tcBorders>
            <w:shd w:val="clear" w:color="auto" w:fill="auto"/>
            <w:noWrap/>
            <w:vAlign w:val="center"/>
            <w:hideMark/>
          </w:tcPr>
          <w:p w14:paraId="6722EFFF" w14:textId="00E2898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-26 </w:t>
            </w:r>
            <w:r w:rsidR="00B07E76">
              <w:rPr>
                <w:rFonts w:eastAsia="Times New Roman"/>
                <w:color w:val="000000" w:themeColor="text1"/>
                <w:sz w:val="20"/>
                <w:szCs w:val="20"/>
                <w:lang w:eastAsia="cs-CZ"/>
              </w:rPr>
              <w:t>%</w:t>
            </w:r>
          </w:p>
        </w:tc>
      </w:tr>
      <w:tr w:rsidR="008430BD" w:rsidRPr="001C3EC8" w14:paraId="16A41110"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2C84109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Ústí n. Labem</w:t>
            </w:r>
          </w:p>
        </w:tc>
        <w:tc>
          <w:tcPr>
            <w:tcW w:w="1143" w:type="dxa"/>
            <w:tcBorders>
              <w:top w:val="nil"/>
              <w:left w:val="nil"/>
              <w:bottom w:val="single" w:sz="4" w:space="0" w:color="auto"/>
              <w:right w:val="nil"/>
            </w:tcBorders>
            <w:shd w:val="clear" w:color="auto" w:fill="auto"/>
            <w:noWrap/>
            <w:vAlign w:val="bottom"/>
            <w:hideMark/>
          </w:tcPr>
          <w:p w14:paraId="617D373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343</w:t>
            </w:r>
          </w:p>
        </w:tc>
        <w:tc>
          <w:tcPr>
            <w:tcW w:w="1757" w:type="dxa"/>
            <w:tcBorders>
              <w:top w:val="nil"/>
              <w:left w:val="nil"/>
              <w:bottom w:val="single" w:sz="4" w:space="0" w:color="auto"/>
              <w:right w:val="nil"/>
            </w:tcBorders>
            <w:shd w:val="clear" w:color="auto" w:fill="auto"/>
            <w:noWrap/>
            <w:vAlign w:val="center"/>
            <w:hideMark/>
          </w:tcPr>
          <w:p w14:paraId="1BBC01F7" w14:textId="706DCAC9"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-17 </w:t>
            </w:r>
            <w:r w:rsidR="00B07E76">
              <w:rPr>
                <w:rFonts w:eastAsia="Times New Roman"/>
                <w:color w:val="000000" w:themeColor="text1"/>
                <w:sz w:val="20"/>
                <w:szCs w:val="20"/>
                <w:lang w:eastAsia="cs-CZ"/>
              </w:rPr>
              <w:t>%</w:t>
            </w:r>
          </w:p>
        </w:tc>
      </w:tr>
      <w:tr w:rsidR="008430BD" w:rsidRPr="001C3EC8" w14:paraId="2326CB79"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2F2F4C5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Hr. Králové</w:t>
            </w:r>
          </w:p>
        </w:tc>
        <w:tc>
          <w:tcPr>
            <w:tcW w:w="1143" w:type="dxa"/>
            <w:tcBorders>
              <w:top w:val="nil"/>
              <w:left w:val="nil"/>
              <w:bottom w:val="single" w:sz="4" w:space="0" w:color="auto"/>
              <w:right w:val="nil"/>
            </w:tcBorders>
            <w:shd w:val="clear" w:color="auto" w:fill="auto"/>
            <w:noWrap/>
            <w:vAlign w:val="bottom"/>
            <w:hideMark/>
          </w:tcPr>
          <w:p w14:paraId="44912C1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254</w:t>
            </w:r>
          </w:p>
        </w:tc>
        <w:tc>
          <w:tcPr>
            <w:tcW w:w="1757" w:type="dxa"/>
            <w:tcBorders>
              <w:top w:val="nil"/>
              <w:left w:val="nil"/>
              <w:bottom w:val="single" w:sz="4" w:space="0" w:color="auto"/>
              <w:right w:val="nil"/>
            </w:tcBorders>
            <w:shd w:val="clear" w:color="auto" w:fill="auto"/>
            <w:noWrap/>
            <w:vAlign w:val="center"/>
            <w:hideMark/>
          </w:tcPr>
          <w:p w14:paraId="1054E01F" w14:textId="0EABC1D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6</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r>
      <w:tr w:rsidR="008430BD" w:rsidRPr="001C3EC8" w14:paraId="0E777E40" w14:textId="77777777" w:rsidTr="00E077F3">
        <w:trPr>
          <w:trHeight w:val="315"/>
        </w:trPr>
        <w:tc>
          <w:tcPr>
            <w:tcW w:w="1820" w:type="dxa"/>
            <w:tcBorders>
              <w:top w:val="nil"/>
              <w:left w:val="nil"/>
              <w:bottom w:val="single" w:sz="4" w:space="0" w:color="auto"/>
              <w:right w:val="nil"/>
            </w:tcBorders>
            <w:shd w:val="clear" w:color="auto" w:fill="auto"/>
            <w:noWrap/>
            <w:vAlign w:val="bottom"/>
            <w:hideMark/>
          </w:tcPr>
          <w:p w14:paraId="22589C0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Brno</w:t>
            </w:r>
          </w:p>
        </w:tc>
        <w:tc>
          <w:tcPr>
            <w:tcW w:w="1143" w:type="dxa"/>
            <w:tcBorders>
              <w:top w:val="nil"/>
              <w:left w:val="nil"/>
              <w:bottom w:val="single" w:sz="4" w:space="0" w:color="auto"/>
              <w:right w:val="nil"/>
            </w:tcBorders>
            <w:shd w:val="clear" w:color="auto" w:fill="auto"/>
            <w:noWrap/>
            <w:vAlign w:val="bottom"/>
            <w:hideMark/>
          </w:tcPr>
          <w:p w14:paraId="3C658AE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396</w:t>
            </w:r>
          </w:p>
        </w:tc>
        <w:tc>
          <w:tcPr>
            <w:tcW w:w="1757" w:type="dxa"/>
            <w:tcBorders>
              <w:top w:val="nil"/>
              <w:left w:val="nil"/>
              <w:bottom w:val="single" w:sz="4" w:space="0" w:color="auto"/>
              <w:right w:val="nil"/>
            </w:tcBorders>
            <w:shd w:val="clear" w:color="auto" w:fill="auto"/>
            <w:noWrap/>
            <w:vAlign w:val="center"/>
            <w:hideMark/>
          </w:tcPr>
          <w:p w14:paraId="1E8FD1FC" w14:textId="12BBD8B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+23 </w:t>
            </w:r>
            <w:r w:rsidR="00B07E76">
              <w:rPr>
                <w:rFonts w:eastAsia="Times New Roman"/>
                <w:color w:val="000000" w:themeColor="text1"/>
                <w:sz w:val="20"/>
                <w:szCs w:val="20"/>
                <w:lang w:eastAsia="cs-CZ"/>
              </w:rPr>
              <w:t>%</w:t>
            </w:r>
          </w:p>
        </w:tc>
      </w:tr>
      <w:tr w:rsidR="008430BD" w:rsidRPr="001C3EC8" w14:paraId="1CB1D4BF" w14:textId="77777777" w:rsidTr="00E077F3">
        <w:trPr>
          <w:trHeight w:val="330"/>
        </w:trPr>
        <w:tc>
          <w:tcPr>
            <w:tcW w:w="1820" w:type="dxa"/>
            <w:tcBorders>
              <w:top w:val="nil"/>
              <w:left w:val="nil"/>
              <w:bottom w:val="double" w:sz="6" w:space="0" w:color="auto"/>
              <w:right w:val="nil"/>
            </w:tcBorders>
            <w:shd w:val="clear" w:color="auto" w:fill="auto"/>
            <w:noWrap/>
            <w:vAlign w:val="bottom"/>
            <w:hideMark/>
          </w:tcPr>
          <w:p w14:paraId="19331E97"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KS Ostrava</w:t>
            </w:r>
          </w:p>
        </w:tc>
        <w:tc>
          <w:tcPr>
            <w:tcW w:w="1143" w:type="dxa"/>
            <w:tcBorders>
              <w:top w:val="nil"/>
              <w:left w:val="nil"/>
              <w:bottom w:val="double" w:sz="6" w:space="0" w:color="auto"/>
              <w:right w:val="nil"/>
            </w:tcBorders>
            <w:shd w:val="clear" w:color="auto" w:fill="auto"/>
            <w:noWrap/>
            <w:vAlign w:val="bottom"/>
            <w:hideMark/>
          </w:tcPr>
          <w:p w14:paraId="592949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518</w:t>
            </w:r>
          </w:p>
        </w:tc>
        <w:tc>
          <w:tcPr>
            <w:tcW w:w="1757" w:type="dxa"/>
            <w:tcBorders>
              <w:top w:val="nil"/>
              <w:left w:val="nil"/>
              <w:bottom w:val="double" w:sz="6" w:space="0" w:color="auto"/>
              <w:right w:val="nil"/>
            </w:tcBorders>
            <w:shd w:val="clear" w:color="auto" w:fill="auto"/>
            <w:noWrap/>
            <w:vAlign w:val="center"/>
            <w:hideMark/>
          </w:tcPr>
          <w:p w14:paraId="1FEE86B0" w14:textId="285CA5E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+71 </w:t>
            </w:r>
            <w:r w:rsidR="00B07E76">
              <w:rPr>
                <w:rFonts w:eastAsia="Times New Roman"/>
                <w:color w:val="000000" w:themeColor="text1"/>
                <w:sz w:val="20"/>
                <w:szCs w:val="20"/>
                <w:lang w:eastAsia="cs-CZ"/>
              </w:rPr>
              <w:t>%</w:t>
            </w:r>
          </w:p>
        </w:tc>
      </w:tr>
      <w:tr w:rsidR="008430BD" w:rsidRPr="001C3EC8" w14:paraId="12A0C950" w14:textId="77777777" w:rsidTr="00E077F3">
        <w:trPr>
          <w:trHeight w:val="345"/>
        </w:trPr>
        <w:tc>
          <w:tcPr>
            <w:tcW w:w="1820" w:type="dxa"/>
            <w:tcBorders>
              <w:top w:val="nil"/>
              <w:left w:val="nil"/>
              <w:bottom w:val="double" w:sz="6" w:space="0" w:color="auto"/>
              <w:right w:val="nil"/>
            </w:tcBorders>
            <w:shd w:val="clear" w:color="auto" w:fill="auto"/>
            <w:noWrap/>
            <w:vAlign w:val="bottom"/>
            <w:hideMark/>
          </w:tcPr>
          <w:p w14:paraId="6D3B6FD0"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143" w:type="dxa"/>
            <w:tcBorders>
              <w:top w:val="nil"/>
              <w:left w:val="nil"/>
              <w:bottom w:val="double" w:sz="6" w:space="0" w:color="auto"/>
              <w:right w:val="nil"/>
            </w:tcBorders>
            <w:shd w:val="clear" w:color="auto" w:fill="auto"/>
            <w:noWrap/>
            <w:vAlign w:val="bottom"/>
            <w:hideMark/>
          </w:tcPr>
          <w:p w14:paraId="1C3D62E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416</w:t>
            </w:r>
          </w:p>
        </w:tc>
        <w:tc>
          <w:tcPr>
            <w:tcW w:w="1757" w:type="dxa"/>
            <w:tcBorders>
              <w:top w:val="nil"/>
              <w:left w:val="nil"/>
              <w:bottom w:val="double" w:sz="6" w:space="0" w:color="auto"/>
              <w:right w:val="nil"/>
            </w:tcBorders>
            <w:shd w:val="clear" w:color="auto" w:fill="auto"/>
            <w:noWrap/>
            <w:vAlign w:val="center"/>
            <w:hideMark/>
          </w:tcPr>
          <w:p w14:paraId="7A07A70E" w14:textId="60DBFCC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+13 </w:t>
            </w:r>
            <w:r w:rsidR="00B07E76">
              <w:rPr>
                <w:rFonts w:eastAsia="Times New Roman"/>
                <w:b/>
                <w:bCs/>
                <w:color w:val="000000" w:themeColor="text1"/>
                <w:sz w:val="20"/>
                <w:szCs w:val="20"/>
                <w:lang w:eastAsia="cs-CZ"/>
              </w:rPr>
              <w:t>%</w:t>
            </w:r>
          </w:p>
        </w:tc>
      </w:tr>
    </w:tbl>
    <w:p w14:paraId="3D57B40A" w14:textId="77777777" w:rsidR="008430BD" w:rsidRPr="001C3EC8" w:rsidRDefault="008430BD" w:rsidP="008430BD">
      <w:pPr>
        <w:rPr>
          <w:color w:val="000000" w:themeColor="text1"/>
        </w:rPr>
      </w:pPr>
    </w:p>
    <w:p w14:paraId="68A2C364" w14:textId="77777777" w:rsidR="008430BD" w:rsidRPr="001C3EC8" w:rsidRDefault="008430BD" w:rsidP="008430BD">
      <w:pPr>
        <w:rPr>
          <w:color w:val="000000" w:themeColor="text1"/>
        </w:rPr>
      </w:pPr>
    </w:p>
    <w:p w14:paraId="472EB269" w14:textId="166F4F44" w:rsidR="008430BD" w:rsidRPr="001C3EC8" w:rsidRDefault="008430BD" w:rsidP="008430BD">
      <w:pPr>
        <w:pStyle w:val="OdstavecASR"/>
        <w:rPr>
          <w:color w:val="000000" w:themeColor="text1"/>
        </w:rPr>
      </w:pPr>
      <w:r w:rsidRPr="001C3EC8">
        <w:rPr>
          <w:color w:val="000000" w:themeColor="text1"/>
        </w:rPr>
        <w:t xml:space="preserve">Celkově je těžké učinit definitivní závěr </w:t>
      </w:r>
      <w:r w:rsidR="00021FDD" w:rsidRPr="001C3EC8">
        <w:rPr>
          <w:color w:val="000000" w:themeColor="text1"/>
        </w:rPr>
        <w:t>o</w:t>
      </w:r>
      <w:r w:rsidR="00021FDD">
        <w:rPr>
          <w:color w:val="000000" w:themeColor="text1"/>
        </w:rPr>
        <w:t> </w:t>
      </w:r>
      <w:r w:rsidRPr="001C3EC8">
        <w:rPr>
          <w:color w:val="000000" w:themeColor="text1"/>
        </w:rPr>
        <w:t xml:space="preserve">rejstříku </w:t>
      </w:r>
      <w:proofErr w:type="spellStart"/>
      <w:r w:rsidRPr="001C3EC8">
        <w:rPr>
          <w:color w:val="000000" w:themeColor="text1"/>
        </w:rPr>
        <w:t>ICm</w:t>
      </w:r>
      <w:proofErr w:type="spellEnd"/>
      <w:r w:rsidRPr="001C3EC8">
        <w:rPr>
          <w:color w:val="000000" w:themeColor="text1"/>
        </w:rPr>
        <w:t xml:space="preserve"> </w:t>
      </w:r>
      <w:r w:rsidR="00021FDD" w:rsidRPr="001C3EC8">
        <w:rPr>
          <w:color w:val="000000" w:themeColor="text1"/>
        </w:rPr>
        <w:t>a</w:t>
      </w:r>
      <w:r w:rsidR="00021FDD">
        <w:rPr>
          <w:color w:val="000000" w:themeColor="text1"/>
        </w:rPr>
        <w:t> </w:t>
      </w:r>
      <w:r w:rsidR="00021FDD" w:rsidRPr="001C3EC8">
        <w:rPr>
          <w:color w:val="000000" w:themeColor="text1"/>
        </w:rPr>
        <w:t>o</w:t>
      </w:r>
      <w:r w:rsidR="00021FDD">
        <w:rPr>
          <w:color w:val="000000" w:themeColor="text1"/>
        </w:rPr>
        <w:t> </w:t>
      </w:r>
      <w:r w:rsidRPr="001C3EC8">
        <w:rPr>
          <w:color w:val="000000" w:themeColor="text1"/>
        </w:rPr>
        <w:t xml:space="preserve">tom, jak tuto agendu jednotlivé soudy vyřizují, protože meziročně dochází k velkým změnám </w:t>
      </w:r>
      <w:r w:rsidR="00021FDD" w:rsidRPr="001C3EC8">
        <w:rPr>
          <w:color w:val="000000" w:themeColor="text1"/>
        </w:rPr>
        <w:t>a</w:t>
      </w:r>
      <w:r w:rsidR="00021FDD">
        <w:rPr>
          <w:color w:val="000000" w:themeColor="text1"/>
        </w:rPr>
        <w:t> </w:t>
      </w:r>
      <w:r w:rsidRPr="001C3EC8">
        <w:rPr>
          <w:color w:val="000000" w:themeColor="text1"/>
        </w:rPr>
        <w:t xml:space="preserve">rovněž náročnost jednotlivých případů se silně liší. </w:t>
      </w:r>
      <w:r w:rsidR="000D40D2" w:rsidRPr="001C3EC8">
        <w:rPr>
          <w:color w:val="000000" w:themeColor="text1"/>
        </w:rPr>
        <w:t xml:space="preserve">Byla by tak potřebná </w:t>
      </w:r>
      <w:r w:rsidRPr="001C3EC8">
        <w:rPr>
          <w:color w:val="000000" w:themeColor="text1"/>
        </w:rPr>
        <w:t>podrobnější analýz</w:t>
      </w:r>
      <w:r w:rsidR="000D40D2" w:rsidRPr="001C3EC8">
        <w:rPr>
          <w:color w:val="000000" w:themeColor="text1"/>
        </w:rPr>
        <w:t>a</w:t>
      </w:r>
      <w:r w:rsidRPr="001C3EC8">
        <w:rPr>
          <w:color w:val="000000" w:themeColor="text1"/>
        </w:rPr>
        <w:t>, která ale přesahuje účel této zprávy. V krátkosti lze říct, že insolvenční spory jsou složit</w:t>
      </w:r>
      <w:r w:rsidR="000D40D2" w:rsidRPr="001C3EC8">
        <w:rPr>
          <w:color w:val="000000" w:themeColor="text1"/>
        </w:rPr>
        <w:t>ou</w:t>
      </w:r>
      <w:r w:rsidRPr="001C3EC8">
        <w:rPr>
          <w:color w:val="000000" w:themeColor="text1"/>
        </w:rPr>
        <w:t xml:space="preserve"> agend</w:t>
      </w:r>
      <w:r w:rsidR="000D40D2" w:rsidRPr="001C3EC8">
        <w:rPr>
          <w:color w:val="000000" w:themeColor="text1"/>
        </w:rPr>
        <w:t>ou</w:t>
      </w:r>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 xml:space="preserve">největší problémy s jejím vyřizováním zřejmě mají MS Praha </w:t>
      </w:r>
      <w:r w:rsidR="00021FDD" w:rsidRPr="001C3EC8">
        <w:rPr>
          <w:color w:val="000000" w:themeColor="text1"/>
        </w:rPr>
        <w:t>a</w:t>
      </w:r>
      <w:r w:rsidR="00021FDD">
        <w:rPr>
          <w:color w:val="000000" w:themeColor="text1"/>
        </w:rPr>
        <w:t> </w:t>
      </w:r>
      <w:r w:rsidRPr="001C3EC8">
        <w:rPr>
          <w:color w:val="000000" w:themeColor="text1"/>
        </w:rPr>
        <w:t xml:space="preserve">KS Brno, </w:t>
      </w:r>
      <w:r w:rsidR="00021FDD" w:rsidRPr="001C3EC8">
        <w:rPr>
          <w:color w:val="000000" w:themeColor="text1"/>
        </w:rPr>
        <w:t>i</w:t>
      </w:r>
      <w:r w:rsidR="00021FDD">
        <w:rPr>
          <w:color w:val="000000" w:themeColor="text1"/>
        </w:rPr>
        <w:t> </w:t>
      </w:r>
      <w:r w:rsidRPr="001C3EC8">
        <w:rPr>
          <w:color w:val="000000" w:themeColor="text1"/>
        </w:rPr>
        <w:t xml:space="preserve">když </w:t>
      </w:r>
      <w:r w:rsidR="00021FDD" w:rsidRPr="001C3EC8">
        <w:rPr>
          <w:color w:val="000000" w:themeColor="text1"/>
        </w:rPr>
        <w:t>u</w:t>
      </w:r>
      <w:r w:rsidR="00021FDD">
        <w:rPr>
          <w:color w:val="000000" w:themeColor="text1"/>
        </w:rPr>
        <w:t> </w:t>
      </w:r>
      <w:r w:rsidRPr="001C3EC8">
        <w:rPr>
          <w:color w:val="000000" w:themeColor="text1"/>
        </w:rPr>
        <w:t>posledně uvedeného došlo ke zlepšení.</w:t>
      </w:r>
      <w:r w:rsidR="00E10CA4">
        <w:rPr>
          <w:color w:val="000000" w:themeColor="text1"/>
        </w:rPr>
        <w:t xml:space="preserve"> </w:t>
      </w:r>
      <w:r w:rsidRPr="001C3EC8">
        <w:rPr>
          <w:color w:val="000000" w:themeColor="text1"/>
        </w:rPr>
        <w:t xml:space="preserve">V letošním roce </w:t>
      </w:r>
      <w:r w:rsidR="000D40D2" w:rsidRPr="001C3EC8">
        <w:rPr>
          <w:color w:val="000000" w:themeColor="text1"/>
        </w:rPr>
        <w:t xml:space="preserve">nepříznivé </w:t>
      </w:r>
      <w:r w:rsidRPr="001C3EC8">
        <w:rPr>
          <w:color w:val="000000" w:themeColor="text1"/>
        </w:rPr>
        <w:t>statistiky vykázal rovněž KS Ostrava. Dobře si naopak vede KS České Budějovice.</w:t>
      </w:r>
    </w:p>
    <w:p w14:paraId="657F533D" w14:textId="77777777" w:rsidR="008430BD" w:rsidRPr="001C3EC8" w:rsidRDefault="008430BD" w:rsidP="008430BD">
      <w:pPr>
        <w:rPr>
          <w:color w:val="000000" w:themeColor="text1"/>
        </w:rPr>
      </w:pPr>
    </w:p>
    <w:p w14:paraId="60A936FB" w14:textId="77777777" w:rsidR="008430BD" w:rsidRPr="001C3EC8" w:rsidRDefault="008430BD" w:rsidP="008430BD">
      <w:pPr>
        <w:pStyle w:val="Nadpis1"/>
        <w:pageBreakBefore/>
        <w:numPr>
          <w:ilvl w:val="0"/>
          <w:numId w:val="1"/>
        </w:numPr>
        <w:spacing w:after="120"/>
        <w:rPr>
          <w:noProof/>
          <w:color w:val="000000" w:themeColor="text1"/>
          <w:lang w:eastAsia="cs-CZ"/>
        </w:rPr>
      </w:pPr>
      <w:bookmarkStart w:id="697" w:name="_Toc515871277"/>
      <w:bookmarkStart w:id="698" w:name="_Toc75952123"/>
      <w:r w:rsidRPr="001C3EC8">
        <w:rPr>
          <w:noProof/>
          <w:color w:val="000000" w:themeColor="text1"/>
          <w:lang w:eastAsia="cs-CZ"/>
        </w:rPr>
        <w:lastRenderedPageBreak/>
        <w:t>Vrchní soudy</w:t>
      </w:r>
      <w:bookmarkEnd w:id="697"/>
      <w:bookmarkEnd w:id="698"/>
    </w:p>
    <w:p w14:paraId="56AF23A2" w14:textId="2704F3F8" w:rsidR="008430BD" w:rsidRPr="001C3EC8" w:rsidRDefault="008430BD" w:rsidP="008430BD">
      <w:pPr>
        <w:pStyle w:val="OdstavecASR"/>
        <w:rPr>
          <w:color w:val="000000" w:themeColor="text1"/>
        </w:rPr>
      </w:pPr>
      <w:r w:rsidRPr="001C3EC8">
        <w:rPr>
          <w:color w:val="000000" w:themeColor="text1"/>
        </w:rPr>
        <w:t>Tato část výroční zprávy obsahuje data týkající se vrchních soudů (VS) v Praze a </w:t>
      </w:r>
      <w:r w:rsidR="00021FDD">
        <w:rPr>
          <w:color w:val="000000" w:themeColor="text1"/>
        </w:rPr>
        <w:t>v </w:t>
      </w:r>
      <w:r w:rsidRPr="001C3EC8">
        <w:rPr>
          <w:color w:val="000000" w:themeColor="text1"/>
        </w:rPr>
        <w:t>Olomouci. Pod VS v Praze spadají soudní kraje Praha, Západočeský, Středočeský, Východočeský, Severočeský a Jihočeský. Pod Vrchní soud v Olomouci spadají Severomoravský kraj a Jihomoravský kraj.</w:t>
      </w:r>
    </w:p>
    <w:p w14:paraId="17F6DFA3" w14:textId="6DA06C56" w:rsidR="008430BD" w:rsidRPr="001C3EC8" w:rsidRDefault="008430BD" w:rsidP="008430BD">
      <w:pPr>
        <w:pStyle w:val="OdstavecASR"/>
        <w:rPr>
          <w:color w:val="000000" w:themeColor="text1"/>
        </w:rPr>
      </w:pPr>
      <w:r w:rsidRPr="001C3EC8">
        <w:rPr>
          <w:color w:val="000000" w:themeColor="text1"/>
        </w:rPr>
        <w:t xml:space="preserve">Vrchní soudy slouží jako odvolací soudy pro soudy krajské. Jejich hlavními agendami </w:t>
      </w:r>
      <w:r w:rsidR="001B0DDF" w:rsidRPr="001C3EC8">
        <w:rPr>
          <w:color w:val="000000" w:themeColor="text1"/>
        </w:rPr>
        <w:t xml:space="preserve">jsou odvolací civilní (občanskoprávní, obchodní) agenda, odvolací insolvenční agenda </w:t>
      </w:r>
      <w:r w:rsidR="00021FDD" w:rsidRPr="001C3EC8">
        <w:rPr>
          <w:color w:val="000000" w:themeColor="text1"/>
        </w:rPr>
        <w:t>a</w:t>
      </w:r>
      <w:r w:rsidR="00021FDD">
        <w:rPr>
          <w:color w:val="000000" w:themeColor="text1"/>
        </w:rPr>
        <w:t> </w:t>
      </w:r>
      <w:r w:rsidR="001B0DDF" w:rsidRPr="001C3EC8">
        <w:rPr>
          <w:color w:val="000000" w:themeColor="text1"/>
        </w:rPr>
        <w:t xml:space="preserve">odvolací trestní </w:t>
      </w:r>
      <w:proofErr w:type="gramStart"/>
      <w:r w:rsidR="001B0DDF" w:rsidRPr="001C3EC8">
        <w:rPr>
          <w:color w:val="000000" w:themeColor="text1"/>
        </w:rPr>
        <w:t>agenda.</w:t>
      </w:r>
      <w:r w:rsidRPr="001C3EC8">
        <w:rPr>
          <w:color w:val="000000" w:themeColor="text1"/>
        </w:rPr>
        <w:t>.</w:t>
      </w:r>
      <w:proofErr w:type="gramEnd"/>
      <w:r w:rsidRPr="001C3EC8">
        <w:rPr>
          <w:color w:val="000000" w:themeColor="text1"/>
        </w:rPr>
        <w:t xml:space="preserve"> Za poměrně důležitou agendu se považuje také druhostupňová insolvenční agenda, která je součástí obchodní agendy.</w:t>
      </w:r>
    </w:p>
    <w:p w14:paraId="74EE2543" w14:textId="3D34897B" w:rsidR="008430BD" w:rsidRPr="001C3EC8" w:rsidRDefault="008430BD" w:rsidP="008430BD">
      <w:pPr>
        <w:pStyle w:val="OdstavecASR"/>
        <w:rPr>
          <w:color w:val="000000" w:themeColor="text1"/>
        </w:rPr>
      </w:pPr>
      <w:r w:rsidRPr="001C3EC8">
        <w:rPr>
          <w:color w:val="000000" w:themeColor="text1"/>
        </w:rPr>
        <w:t>Vrchní soudy také řeší několik zvláštních agend, jako jsou návrhy na přikázání věci jinému soudu nebo návrhy na vyloučení soudců,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6F186C41" w14:textId="77777777" w:rsidR="008430BD" w:rsidRPr="001C3EC8" w:rsidRDefault="008430BD" w:rsidP="008430BD">
      <w:pPr>
        <w:pStyle w:val="Nadpis2"/>
        <w:numPr>
          <w:ilvl w:val="1"/>
          <w:numId w:val="1"/>
        </w:numPr>
        <w:spacing w:before="120"/>
        <w:rPr>
          <w:lang w:eastAsia="cs-CZ"/>
        </w:rPr>
      </w:pPr>
      <w:bookmarkStart w:id="699" w:name="_Toc515871278"/>
      <w:bookmarkStart w:id="700" w:name="_Toc75952124"/>
      <w:r w:rsidRPr="001C3EC8">
        <w:rPr>
          <w:lang w:eastAsia="cs-CZ"/>
        </w:rPr>
        <w:t>Personál</w:t>
      </w:r>
      <w:bookmarkEnd w:id="699"/>
      <w:bookmarkEnd w:id="700"/>
    </w:p>
    <w:p w14:paraId="16FDEFA1" w14:textId="23D585C5" w:rsidR="008430BD" w:rsidRPr="001C3EC8" w:rsidRDefault="000D40D2" w:rsidP="008430BD">
      <w:pPr>
        <w:pStyle w:val="OdstavecASR"/>
        <w:rPr>
          <w:color w:val="000000" w:themeColor="text1"/>
        </w:rPr>
      </w:pPr>
      <w:r w:rsidRPr="001C3EC8">
        <w:rPr>
          <w:color w:val="000000" w:themeColor="text1"/>
        </w:rPr>
        <w:t>Úvodem</w:t>
      </w:r>
      <w:r w:rsidR="008430BD" w:rsidRPr="001C3EC8">
        <w:rPr>
          <w:color w:val="000000" w:themeColor="text1"/>
        </w:rPr>
        <w:t xml:space="preserve"> musíme zdůraznit, že plánovaný počet soudců a zaměstnanců ve výkonu je u VS, NS a NSS určen jinak než u soudů okresních a krajských. U </w:t>
      </w:r>
      <w:r w:rsidRPr="001C3EC8">
        <w:rPr>
          <w:color w:val="000000" w:themeColor="text1"/>
        </w:rPr>
        <w:t>vrcholných</w:t>
      </w:r>
      <w:r w:rsidR="008430BD" w:rsidRPr="001C3EC8">
        <w:rPr>
          <w:color w:val="000000" w:themeColor="text1"/>
        </w:rPr>
        <w:t xml:space="preserve"> soudů se plánovaný počet nevypočítává, ale určuje se na základě jednání mezi soudem a Ministerstvem spravedlnosti s přihlédnutím k nápadu, celkovému plánovanému počtu soudců v ČR a dalším faktorům.</w:t>
      </w:r>
    </w:p>
    <w:p w14:paraId="26DEAA43" w14:textId="77777777" w:rsidR="008430BD" w:rsidRPr="001C3EC8" w:rsidRDefault="008430BD" w:rsidP="008430BD">
      <w:pPr>
        <w:pStyle w:val="Nadpis3"/>
        <w:numPr>
          <w:ilvl w:val="2"/>
          <w:numId w:val="1"/>
        </w:numPr>
        <w:rPr>
          <w:color w:val="000000" w:themeColor="text1"/>
          <w:lang w:eastAsia="cs-CZ"/>
        </w:rPr>
      </w:pPr>
      <w:bookmarkStart w:id="701" w:name="_Toc515871279"/>
      <w:bookmarkStart w:id="702" w:name="_Toc75952125"/>
      <w:r w:rsidRPr="001C3EC8">
        <w:rPr>
          <w:color w:val="000000" w:themeColor="text1"/>
          <w:lang w:eastAsia="cs-CZ"/>
        </w:rPr>
        <w:t>Soudci</w:t>
      </w:r>
      <w:bookmarkEnd w:id="701"/>
      <w:bookmarkEnd w:id="702"/>
    </w:p>
    <w:p w14:paraId="47369DB6" w14:textId="3F8B08FF" w:rsidR="008430BD" w:rsidRPr="001C3EC8" w:rsidRDefault="008430BD" w:rsidP="008430BD">
      <w:pPr>
        <w:pStyle w:val="Podnadpis"/>
        <w:rPr>
          <w:color w:val="000000" w:themeColor="text1"/>
        </w:rPr>
      </w:pPr>
      <w:bookmarkStart w:id="703" w:name="_Toc515871406"/>
      <w:bookmarkStart w:id="704" w:name="_Toc11135137"/>
      <w:bookmarkStart w:id="705" w:name="_Toc43841459"/>
      <w:bookmarkStart w:id="706" w:name="_Toc75952262"/>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82</w:t>
      </w:r>
      <w:r w:rsidRPr="001C3EC8">
        <w:rPr>
          <w:color w:val="000000" w:themeColor="text1"/>
        </w:rPr>
        <w:fldChar w:fldCharType="end"/>
      </w:r>
      <w:r w:rsidRPr="001C3EC8">
        <w:rPr>
          <w:color w:val="000000" w:themeColor="text1"/>
        </w:rPr>
        <w:t>: VS – počet soudců v letech 2008–20</w:t>
      </w:r>
      <w:bookmarkEnd w:id="703"/>
      <w:bookmarkEnd w:id="704"/>
      <w:bookmarkEnd w:id="705"/>
      <w:r w:rsidRPr="001C3EC8">
        <w:rPr>
          <w:color w:val="000000" w:themeColor="text1"/>
        </w:rPr>
        <w:t>20</w:t>
      </w:r>
      <w:bookmarkEnd w:id="706"/>
    </w:p>
    <w:p w14:paraId="154D3300"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7C77DB4B" wp14:editId="1D24B945">
            <wp:extent cx="5114925" cy="3743325"/>
            <wp:effectExtent l="0" t="0" r="0" b="9525"/>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DAA3F58" w14:textId="163F2632" w:rsidR="008430BD" w:rsidRPr="001C3EC8" w:rsidRDefault="008430BD" w:rsidP="008430BD">
      <w:pPr>
        <w:pStyle w:val="OdstavecASR"/>
        <w:rPr>
          <w:color w:val="000000" w:themeColor="text1"/>
        </w:rPr>
      </w:pPr>
      <w:r w:rsidRPr="001C3EC8">
        <w:rPr>
          <w:color w:val="000000" w:themeColor="text1"/>
        </w:rPr>
        <w:lastRenderedPageBreak/>
        <w:t xml:space="preserve">I u vrchních soudů je počet soudců celkem stabilní, a to jak v Praze, tak v Olomouci. V časové řadě může zaujmout pouze pokles o pět soudců (soudkyň) u VS Praha mezi 1. 1. 2015 a 1. 1. 2016. </w:t>
      </w:r>
      <w:r w:rsidR="00857304">
        <w:rPr>
          <w:color w:val="000000" w:themeColor="text1"/>
        </w:rPr>
        <w:t>Je</w:t>
      </w:r>
      <w:r w:rsidRPr="001C3EC8">
        <w:rPr>
          <w:color w:val="000000" w:themeColor="text1"/>
        </w:rPr>
        <w:t xml:space="preserve"> způsobený tím, že v roce 2015 dosáhlo pět soudců věku 70 let a z tohoto důvodu skončili ve funkci. U VS, NS nebo NSS jsou takovéto výkyvy pravděpodobnější, protože soudci jsou v průměru starší než soudci krajských a okresních soudů.</w:t>
      </w:r>
    </w:p>
    <w:p w14:paraId="174D0397" w14:textId="40AFD0B6" w:rsidR="008430BD" w:rsidRPr="001C3EC8" w:rsidRDefault="00021FDD" w:rsidP="008430BD">
      <w:pPr>
        <w:pStyle w:val="OdstavecASR"/>
        <w:rPr>
          <w:color w:val="000000" w:themeColor="text1"/>
        </w:rPr>
      </w:pPr>
      <w:r w:rsidRPr="001C3EC8">
        <w:rPr>
          <w:color w:val="000000" w:themeColor="text1"/>
        </w:rPr>
        <w:t>U</w:t>
      </w:r>
      <w:r>
        <w:rPr>
          <w:color w:val="000000" w:themeColor="text1"/>
        </w:rPr>
        <w:t> </w:t>
      </w:r>
      <w:r w:rsidR="008430BD" w:rsidRPr="001C3EC8">
        <w:rPr>
          <w:color w:val="000000" w:themeColor="text1"/>
        </w:rPr>
        <w:t>VS v Olomouci počet soudců v posledních letech klesá</w:t>
      </w:r>
      <w:r w:rsidR="00E347FB">
        <w:rPr>
          <w:color w:val="000000" w:themeColor="text1"/>
        </w:rPr>
        <w:t xml:space="preserve"> proporčně na úseku civilním </w:t>
      </w:r>
      <w:r>
        <w:rPr>
          <w:color w:val="000000" w:themeColor="text1"/>
        </w:rPr>
        <w:t>i </w:t>
      </w:r>
      <w:r w:rsidR="00E347FB">
        <w:rPr>
          <w:color w:val="000000" w:themeColor="text1"/>
        </w:rPr>
        <w:t>trestním</w:t>
      </w:r>
      <w:r w:rsidR="00FF5673" w:rsidRPr="001C3EC8">
        <w:rPr>
          <w:color w:val="000000" w:themeColor="text1"/>
        </w:rPr>
        <w:t>.</w:t>
      </w:r>
      <w:r w:rsidR="008430BD" w:rsidRPr="001C3EC8">
        <w:rPr>
          <w:color w:val="000000" w:themeColor="text1"/>
        </w:rPr>
        <w:t xml:space="preserve"> To ovšem nepředstavuje problém, neboť rozdíl oproti ostatním rokům je minimální a soud nemá větší problémy s vyřizováním své agendy. K poklesu v počtu soudců došlo především na trestním úseku soudu.</w:t>
      </w:r>
    </w:p>
    <w:p w14:paraId="008F6B8F" w14:textId="77777777" w:rsidR="008430BD" w:rsidRPr="001C3EC8" w:rsidRDefault="008430BD" w:rsidP="008430BD">
      <w:pPr>
        <w:pStyle w:val="OdstavecASR"/>
        <w:rPr>
          <w:color w:val="000000" w:themeColor="text1"/>
        </w:rPr>
      </w:pPr>
      <w:r w:rsidRPr="001C3EC8">
        <w:rPr>
          <w:color w:val="000000" w:themeColor="text1"/>
        </w:rPr>
        <w:t>Dále vidíme, že VS v Praze je asi dvakrát větší než soud v Olomouci. Tento fakt opět vyplývá z nápadu, který je ovlivněn počtem a velikostí krajských soudů, které spadají pod daný vrchní soud.</w:t>
      </w:r>
    </w:p>
    <w:p w14:paraId="191E0D2A" w14:textId="55B3DF8B" w:rsidR="008430BD" w:rsidRPr="001C3EC8" w:rsidRDefault="008430BD" w:rsidP="008430BD">
      <w:pPr>
        <w:pStyle w:val="OdstavecASR"/>
        <w:rPr>
          <w:color w:val="000000" w:themeColor="text1"/>
        </w:rPr>
      </w:pPr>
      <w:r w:rsidRPr="001C3EC8">
        <w:rPr>
          <w:color w:val="000000" w:themeColor="text1"/>
        </w:rPr>
        <w:t xml:space="preserve">V roce 2019 došlo k mírnému poklesu plánovaného počtu soudců </w:t>
      </w:r>
      <w:r w:rsidR="00021FDD" w:rsidRPr="001C3EC8">
        <w:rPr>
          <w:color w:val="000000" w:themeColor="text1"/>
        </w:rPr>
        <w:t>u</w:t>
      </w:r>
      <w:r w:rsidR="00021FDD">
        <w:rPr>
          <w:color w:val="000000" w:themeColor="text1"/>
        </w:rPr>
        <w:t> </w:t>
      </w:r>
      <w:r w:rsidRPr="001C3EC8">
        <w:rPr>
          <w:color w:val="000000" w:themeColor="text1"/>
        </w:rPr>
        <w:t xml:space="preserve">obou soudů, což je vzhledem k rychlému poklesu nápadu v některých agendách (viz níže) logické. </w:t>
      </w:r>
      <w:r w:rsidR="00021FDD" w:rsidRPr="001C3EC8">
        <w:rPr>
          <w:color w:val="000000" w:themeColor="text1"/>
        </w:rPr>
        <w:t>V</w:t>
      </w:r>
      <w:r w:rsidR="00021FDD">
        <w:rPr>
          <w:color w:val="000000" w:themeColor="text1"/>
        </w:rPr>
        <w:t> </w:t>
      </w:r>
      <w:r w:rsidRPr="001C3EC8">
        <w:rPr>
          <w:color w:val="000000" w:themeColor="text1"/>
        </w:rPr>
        <w:t>zásadě nulový reálný dopad této změny dokládá dlouhodobě nižší evidenční počet soudců oproti počtu plánovanému. V roce 2020 k žádné změně nedošlo.</w:t>
      </w:r>
    </w:p>
    <w:p w14:paraId="61C8B85E" w14:textId="34D31B71" w:rsidR="008430BD" w:rsidRPr="001C3EC8" w:rsidRDefault="008430BD" w:rsidP="008430BD">
      <w:pPr>
        <w:pStyle w:val="Podnadpis"/>
        <w:rPr>
          <w:color w:val="000000" w:themeColor="text1"/>
        </w:rPr>
      </w:pPr>
      <w:bookmarkStart w:id="707" w:name="_Toc43841460"/>
      <w:bookmarkStart w:id="708" w:name="_Toc7595226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83</w:t>
      </w:r>
      <w:r w:rsidRPr="001C3EC8">
        <w:rPr>
          <w:color w:val="000000" w:themeColor="text1"/>
        </w:rPr>
        <w:fldChar w:fldCharType="end"/>
      </w:r>
      <w:r w:rsidRPr="001C3EC8">
        <w:rPr>
          <w:color w:val="000000" w:themeColor="text1"/>
        </w:rPr>
        <w:t>: VS – evidenční počet soudců dle soudních úseků v letech 2008–2019</w:t>
      </w:r>
      <w:bookmarkEnd w:id="707"/>
      <w:bookmarkEnd w:id="708"/>
    </w:p>
    <w:p w14:paraId="6C55E458"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24E44AA2" wp14:editId="650FF607">
            <wp:extent cx="5114925" cy="3743325"/>
            <wp:effectExtent l="0" t="0" r="0" b="9525"/>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6260598" w14:textId="622F1E8F" w:rsidR="008430BD" w:rsidRPr="001C3EC8" w:rsidRDefault="008430BD" w:rsidP="008430BD">
      <w:pPr>
        <w:pStyle w:val="OdstavecASR"/>
        <w:rPr>
          <w:color w:val="000000" w:themeColor="text1"/>
        </w:rPr>
      </w:pPr>
      <w:r w:rsidRPr="001C3EC8">
        <w:rPr>
          <w:color w:val="000000" w:themeColor="text1"/>
        </w:rPr>
        <w:t xml:space="preserve">Graf ukazuje, že civilní a obchodní úsek je větší než úsek trestní, stejně </w:t>
      </w:r>
      <w:r w:rsidR="000D40D2" w:rsidRPr="001C3EC8">
        <w:rPr>
          <w:color w:val="000000" w:themeColor="text1"/>
        </w:rPr>
        <w:t xml:space="preserve">jako </w:t>
      </w:r>
      <w:r w:rsidRPr="001C3EC8">
        <w:rPr>
          <w:color w:val="000000" w:themeColor="text1"/>
        </w:rPr>
        <w:t>tomu je u okresních a krajských soudů. Rozdíl je však tentokrát výrazně menší. Poměr velikostí úseků se v čase mírně měnil. V</w:t>
      </w:r>
      <w:r w:rsidR="00135992" w:rsidRPr="001C3EC8">
        <w:rPr>
          <w:color w:val="000000" w:themeColor="text1"/>
        </w:rPr>
        <w:t> letech 2015 až 2018</w:t>
      </w:r>
      <w:r w:rsidR="00E10CA4">
        <w:rPr>
          <w:color w:val="000000" w:themeColor="text1"/>
        </w:rPr>
        <w:t xml:space="preserve"> </w:t>
      </w:r>
      <w:r w:rsidRPr="001C3EC8">
        <w:rPr>
          <w:color w:val="000000" w:themeColor="text1"/>
        </w:rPr>
        <w:t>se u </w:t>
      </w:r>
      <w:r w:rsidR="0069564D" w:rsidRPr="001C3EC8">
        <w:rPr>
          <w:color w:val="000000" w:themeColor="text1"/>
        </w:rPr>
        <w:t>V</w:t>
      </w:r>
      <w:r w:rsidRPr="001C3EC8">
        <w:rPr>
          <w:color w:val="000000" w:themeColor="text1"/>
        </w:rPr>
        <w:t>S </w:t>
      </w:r>
      <w:r w:rsidR="00E347FB">
        <w:rPr>
          <w:color w:val="000000" w:themeColor="text1"/>
        </w:rPr>
        <w:t>v</w:t>
      </w:r>
      <w:r w:rsidR="00E10CA4">
        <w:rPr>
          <w:color w:val="000000" w:themeColor="text1"/>
        </w:rPr>
        <w:t> </w:t>
      </w:r>
      <w:r w:rsidRPr="001C3EC8">
        <w:rPr>
          <w:color w:val="000000" w:themeColor="text1"/>
        </w:rPr>
        <w:t>Praze zmenšil civilní úsek</w:t>
      </w:r>
      <w:r w:rsidR="00E347FB">
        <w:rPr>
          <w:color w:val="000000" w:themeColor="text1"/>
        </w:rPr>
        <w:t xml:space="preserve"> </w:t>
      </w:r>
      <w:r w:rsidR="00021FDD">
        <w:rPr>
          <w:color w:val="000000" w:themeColor="text1"/>
        </w:rPr>
        <w:t>a </w:t>
      </w:r>
      <w:r w:rsidR="00E347FB">
        <w:rPr>
          <w:color w:val="000000" w:themeColor="text1"/>
        </w:rPr>
        <w:t>poslední 3</w:t>
      </w:r>
      <w:r w:rsidR="00E10CA4">
        <w:rPr>
          <w:color w:val="000000" w:themeColor="text1"/>
        </w:rPr>
        <w:t> </w:t>
      </w:r>
      <w:r w:rsidR="00E347FB">
        <w:rPr>
          <w:color w:val="000000" w:themeColor="text1"/>
        </w:rPr>
        <w:t>roky se ustálil na počtu 50 soudců (soudkyň)</w:t>
      </w:r>
      <w:r w:rsidRPr="001C3EC8">
        <w:rPr>
          <w:color w:val="000000" w:themeColor="text1"/>
        </w:rPr>
        <w:t>, což může souviset s klesajícím nápadem. Naopak ale narostl počet soudců na trestním úseku.</w:t>
      </w:r>
    </w:p>
    <w:p w14:paraId="6BB17B59" w14:textId="77777777" w:rsidR="008430BD" w:rsidRPr="001C3EC8" w:rsidRDefault="008430BD" w:rsidP="008430BD">
      <w:pPr>
        <w:pStyle w:val="OdstavecASR"/>
        <w:rPr>
          <w:color w:val="000000" w:themeColor="text1"/>
        </w:rPr>
      </w:pPr>
      <w:r w:rsidRPr="001C3EC8">
        <w:rPr>
          <w:color w:val="000000" w:themeColor="text1"/>
        </w:rPr>
        <w:t>Další graf zobrazuje složení soudců dle pohlaví a naznačuje, že výše zmíněný pokles počtu soudců u VS v Praze mezi roky 2015 a 2016 byl způsoben tím, že věku 70 let dovršily soudkyně. Pokles počtu soudkyň je tak velmi zřetelný. Dále vidíme, že k soudu byli následně přiděleni muži.</w:t>
      </w:r>
    </w:p>
    <w:p w14:paraId="12D5EB16" w14:textId="4FEB402F" w:rsidR="008430BD" w:rsidRPr="001C3EC8" w:rsidRDefault="008430BD" w:rsidP="008430BD">
      <w:pPr>
        <w:pStyle w:val="OdstavecASR"/>
        <w:rPr>
          <w:color w:val="000000" w:themeColor="text1"/>
        </w:rPr>
      </w:pPr>
      <w:r w:rsidRPr="001C3EC8">
        <w:rPr>
          <w:color w:val="000000" w:themeColor="text1"/>
        </w:rPr>
        <w:lastRenderedPageBreak/>
        <w:t xml:space="preserve">V roce 2015 (tedy před výše popsaným odchodem soudkyň) byl podíl žen u VS v Praze i VS v Olomouci asi 47 %. V roce 2018 dosáhl tento podíl u VS v Praze přibližně 42 % a u VS v Olomouci přibližně 49 %, tedy takřka polovinu. V roce 2020 byl podíl soudkyň </w:t>
      </w:r>
      <w:r w:rsidR="00021FDD" w:rsidRPr="001C3EC8">
        <w:rPr>
          <w:color w:val="000000" w:themeColor="text1"/>
        </w:rPr>
        <w:t>u</w:t>
      </w:r>
      <w:r w:rsidR="00021FDD">
        <w:rPr>
          <w:color w:val="000000" w:themeColor="text1"/>
        </w:rPr>
        <w:t> </w:t>
      </w:r>
      <w:r w:rsidRPr="001C3EC8">
        <w:rPr>
          <w:color w:val="000000" w:themeColor="text1"/>
        </w:rPr>
        <w:t xml:space="preserve">VS v Praze asi 43 % </w:t>
      </w:r>
      <w:r w:rsidR="00021FDD" w:rsidRPr="001C3EC8">
        <w:rPr>
          <w:color w:val="000000" w:themeColor="text1"/>
        </w:rPr>
        <w:t>a</w:t>
      </w:r>
      <w:r w:rsidR="00021FDD">
        <w:rPr>
          <w:color w:val="000000" w:themeColor="text1"/>
        </w:rPr>
        <w:t> </w:t>
      </w:r>
      <w:r w:rsidR="00021FDD" w:rsidRPr="001C3EC8">
        <w:rPr>
          <w:color w:val="000000" w:themeColor="text1"/>
        </w:rPr>
        <w:t>u</w:t>
      </w:r>
      <w:r w:rsidR="00021FDD">
        <w:rPr>
          <w:color w:val="000000" w:themeColor="text1"/>
        </w:rPr>
        <w:t> </w:t>
      </w:r>
      <w:r w:rsidRPr="001C3EC8">
        <w:rPr>
          <w:color w:val="000000" w:themeColor="text1"/>
        </w:rPr>
        <w:t>VS v Olomouci klesl na 44 %. Vzhledem k malému počtu osob ovlivní procentuální podíly už i změna o jednoho soudce nebo soudkyni. Na rozdíl od nižších článků soudní soustavy je tedy u vrchních soudů již více soudců než soudkyň.</w:t>
      </w:r>
    </w:p>
    <w:p w14:paraId="33A8783F" w14:textId="77777777" w:rsidR="008430BD" w:rsidRPr="001C3EC8" w:rsidRDefault="008430BD" w:rsidP="008430BD">
      <w:pPr>
        <w:pStyle w:val="OdstavecASR"/>
        <w:rPr>
          <w:color w:val="000000" w:themeColor="text1"/>
        </w:rPr>
      </w:pPr>
    </w:p>
    <w:p w14:paraId="6119C6C7" w14:textId="6C371569" w:rsidR="008430BD" w:rsidRPr="001C3EC8" w:rsidRDefault="008430BD" w:rsidP="008430BD">
      <w:pPr>
        <w:pStyle w:val="Podnadpis"/>
        <w:rPr>
          <w:color w:val="000000" w:themeColor="text1"/>
          <w:highlight w:val="yellow"/>
        </w:rPr>
      </w:pPr>
      <w:bookmarkStart w:id="709" w:name="_Toc43841461"/>
      <w:bookmarkStart w:id="710" w:name="_Toc7595226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84</w:t>
      </w:r>
      <w:r w:rsidRPr="001C3EC8">
        <w:rPr>
          <w:color w:val="000000" w:themeColor="text1"/>
        </w:rPr>
        <w:fldChar w:fldCharType="end"/>
      </w:r>
      <w:r w:rsidRPr="001C3EC8">
        <w:rPr>
          <w:color w:val="000000" w:themeColor="text1"/>
        </w:rPr>
        <w:t>: VS – evidenční počet soudců dle pohlaví v letech 2008–20</w:t>
      </w:r>
      <w:bookmarkEnd w:id="709"/>
      <w:r w:rsidRPr="001C3EC8">
        <w:rPr>
          <w:color w:val="000000" w:themeColor="text1"/>
        </w:rPr>
        <w:t>20</w:t>
      </w:r>
      <w:bookmarkEnd w:id="710"/>
    </w:p>
    <w:p w14:paraId="34EB9B7B"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05E47D4" wp14:editId="2BF66F53">
            <wp:extent cx="5114925" cy="3743325"/>
            <wp:effectExtent l="0" t="0" r="0" b="9525"/>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DB899B2" w14:textId="77777777" w:rsidR="008430BD" w:rsidRPr="001C3EC8" w:rsidRDefault="008430BD" w:rsidP="008430BD">
      <w:pPr>
        <w:spacing w:line="240" w:lineRule="auto"/>
        <w:jc w:val="left"/>
        <w:rPr>
          <w:color w:val="000000" w:themeColor="text1"/>
        </w:rPr>
      </w:pPr>
      <w:r w:rsidRPr="001C3EC8">
        <w:rPr>
          <w:color w:val="000000" w:themeColor="text1"/>
          <w:lang w:eastAsia="cs-CZ"/>
        </w:rPr>
        <w:t>Další dva grafy zobrazují věkové složení soudců.</w:t>
      </w:r>
    </w:p>
    <w:p w14:paraId="3DED1D9A" w14:textId="40951061" w:rsidR="008430BD" w:rsidRPr="001C3EC8" w:rsidRDefault="008430BD" w:rsidP="008430BD">
      <w:pPr>
        <w:pStyle w:val="Podnadpis"/>
        <w:rPr>
          <w:color w:val="000000" w:themeColor="text1"/>
        </w:rPr>
      </w:pPr>
      <w:bookmarkStart w:id="711" w:name="_Toc515871409"/>
      <w:bookmarkStart w:id="712" w:name="_Toc11135140"/>
      <w:bookmarkStart w:id="713" w:name="_Toc43841462"/>
      <w:bookmarkStart w:id="714" w:name="_Toc75952265"/>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85</w:t>
      </w:r>
      <w:r w:rsidRPr="001C3EC8">
        <w:rPr>
          <w:color w:val="000000" w:themeColor="text1"/>
        </w:rPr>
        <w:fldChar w:fldCharType="end"/>
      </w:r>
      <w:r w:rsidRPr="001C3EC8">
        <w:rPr>
          <w:color w:val="000000" w:themeColor="text1"/>
        </w:rPr>
        <w:t>: VS Praha – věkové složení soudců v letech 2008–20</w:t>
      </w:r>
      <w:bookmarkEnd w:id="711"/>
      <w:bookmarkEnd w:id="712"/>
      <w:bookmarkEnd w:id="713"/>
      <w:r w:rsidRPr="001C3EC8">
        <w:rPr>
          <w:color w:val="000000" w:themeColor="text1"/>
        </w:rPr>
        <w:t>20</w:t>
      </w:r>
      <w:bookmarkEnd w:id="714"/>
    </w:p>
    <w:p w14:paraId="4C9571EA"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8199ECB" wp14:editId="79ED8AD7">
            <wp:extent cx="5114925" cy="3743325"/>
            <wp:effectExtent l="0" t="0" r="0" b="9525"/>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1C3FF71A"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5CF752CC" w14:textId="716CD141" w:rsidR="008430BD" w:rsidRPr="001C3EC8" w:rsidRDefault="008430BD" w:rsidP="008430BD">
      <w:pPr>
        <w:pStyle w:val="Podnadpis"/>
        <w:rPr>
          <w:color w:val="000000" w:themeColor="text1"/>
        </w:rPr>
      </w:pPr>
      <w:bookmarkStart w:id="715" w:name="_Toc515871410"/>
      <w:bookmarkStart w:id="716" w:name="_Toc11135141"/>
      <w:bookmarkStart w:id="717" w:name="_Toc43841463"/>
      <w:bookmarkStart w:id="718" w:name="_Toc75952266"/>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86</w:t>
      </w:r>
      <w:r w:rsidRPr="001C3EC8">
        <w:rPr>
          <w:color w:val="000000" w:themeColor="text1"/>
        </w:rPr>
        <w:fldChar w:fldCharType="end"/>
      </w:r>
      <w:r w:rsidRPr="001C3EC8">
        <w:rPr>
          <w:color w:val="000000" w:themeColor="text1"/>
        </w:rPr>
        <w:t>: VS Olomouc – věkové složení soudců v letech 2008–20</w:t>
      </w:r>
      <w:bookmarkEnd w:id="715"/>
      <w:bookmarkEnd w:id="716"/>
      <w:bookmarkEnd w:id="717"/>
      <w:r w:rsidRPr="001C3EC8">
        <w:rPr>
          <w:color w:val="000000" w:themeColor="text1"/>
        </w:rPr>
        <w:t>20</w:t>
      </w:r>
      <w:bookmarkEnd w:id="718"/>
    </w:p>
    <w:p w14:paraId="17303859"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28F443AE" wp14:editId="3DD54181">
            <wp:extent cx="5114925" cy="3743325"/>
            <wp:effectExtent l="0" t="0" r="0" b="9525"/>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FEE78D0" w14:textId="77777777" w:rsidR="008430BD" w:rsidRPr="001C3EC8" w:rsidRDefault="008430BD" w:rsidP="008430BD">
      <w:pPr>
        <w:rPr>
          <w:color w:val="000000" w:themeColor="text1"/>
          <w:highlight w:val="yellow"/>
        </w:rPr>
      </w:pPr>
    </w:p>
    <w:p w14:paraId="6A9D8C2A" w14:textId="77777777" w:rsidR="008430BD" w:rsidRPr="001C3EC8" w:rsidRDefault="008430BD" w:rsidP="008430BD">
      <w:pPr>
        <w:pStyle w:val="OdstavecASR"/>
        <w:keepNext/>
        <w:rPr>
          <w:color w:val="000000" w:themeColor="text1"/>
          <w:lang w:eastAsia="cs-CZ"/>
        </w:rPr>
      </w:pPr>
      <w:r w:rsidRPr="001C3EC8">
        <w:rPr>
          <w:color w:val="000000" w:themeColor="text1"/>
          <w:lang w:eastAsia="cs-CZ"/>
        </w:rPr>
        <w:t>Z grafů vyplývají následující závěry:</w:t>
      </w:r>
    </w:p>
    <w:p w14:paraId="391727D6" w14:textId="1893370D" w:rsidR="008430BD" w:rsidRPr="001C3EC8" w:rsidRDefault="008430BD" w:rsidP="008430BD">
      <w:pPr>
        <w:pStyle w:val="OdstavecASR"/>
        <w:numPr>
          <w:ilvl w:val="0"/>
          <w:numId w:val="15"/>
        </w:numPr>
        <w:rPr>
          <w:color w:val="000000" w:themeColor="text1"/>
        </w:rPr>
      </w:pPr>
      <w:r w:rsidRPr="001C3EC8">
        <w:rPr>
          <w:color w:val="000000" w:themeColor="text1"/>
        </w:rPr>
        <w:t xml:space="preserve">Soudci u vrchních soudů jsou v průměru starší než soudci u soudů krajských, a tedy i okresních. Stejně jako u rozdílu mezi OS a KS je důvodem tohoto rozdílu kariérní postup soudců. V roce 2020 již </w:t>
      </w:r>
      <w:r w:rsidR="00021FDD" w:rsidRPr="001C3EC8">
        <w:rPr>
          <w:color w:val="000000" w:themeColor="text1"/>
        </w:rPr>
        <w:t>u</w:t>
      </w:r>
      <w:r w:rsidR="00021FDD">
        <w:rPr>
          <w:color w:val="000000" w:themeColor="text1"/>
        </w:rPr>
        <w:t> </w:t>
      </w:r>
      <w:r w:rsidRPr="001C3EC8">
        <w:rPr>
          <w:color w:val="000000" w:themeColor="text1"/>
        </w:rPr>
        <w:t xml:space="preserve">VS není žádný soudce pod 40 let. V roce 2019 byl jeden </w:t>
      </w:r>
      <w:r w:rsidR="00021FDD" w:rsidRPr="001C3EC8">
        <w:rPr>
          <w:color w:val="000000" w:themeColor="text1"/>
        </w:rPr>
        <w:t>u</w:t>
      </w:r>
      <w:r w:rsidR="00021FDD">
        <w:rPr>
          <w:color w:val="000000" w:themeColor="text1"/>
        </w:rPr>
        <w:t> </w:t>
      </w:r>
      <w:r w:rsidRPr="001C3EC8">
        <w:rPr>
          <w:color w:val="000000" w:themeColor="text1"/>
        </w:rPr>
        <w:t>VS v</w:t>
      </w:r>
      <w:r w:rsidR="000D40D2" w:rsidRPr="001C3EC8">
        <w:rPr>
          <w:color w:val="000000" w:themeColor="text1"/>
        </w:rPr>
        <w:t> </w:t>
      </w:r>
      <w:r w:rsidRPr="001C3EC8">
        <w:rPr>
          <w:color w:val="000000" w:themeColor="text1"/>
        </w:rPr>
        <w:t>Praze</w:t>
      </w:r>
      <w:r w:rsidR="000D40D2" w:rsidRPr="001C3EC8">
        <w:rPr>
          <w:color w:val="000000" w:themeColor="text1"/>
        </w:rPr>
        <w:t xml:space="preserve">, zřejmě </w:t>
      </w:r>
      <w:r w:rsidRPr="001C3EC8">
        <w:rPr>
          <w:color w:val="000000" w:themeColor="text1"/>
        </w:rPr>
        <w:t>ale „přešel“ do vyšší věkové skupiny.</w:t>
      </w:r>
    </w:p>
    <w:p w14:paraId="48600AE4" w14:textId="77777777" w:rsidR="008430BD" w:rsidRPr="001C3EC8" w:rsidRDefault="008430BD" w:rsidP="008430BD">
      <w:pPr>
        <w:pStyle w:val="OdstavecASR"/>
        <w:numPr>
          <w:ilvl w:val="0"/>
          <w:numId w:val="15"/>
        </w:numPr>
        <w:rPr>
          <w:color w:val="000000" w:themeColor="text1"/>
        </w:rPr>
      </w:pPr>
      <w:r w:rsidRPr="001C3EC8">
        <w:rPr>
          <w:color w:val="000000" w:themeColor="text1"/>
        </w:rPr>
        <w:t>Z porovnání obou soudů vidíme, že u VS v Praze jsou větší věkové rozdíly mezi soudci než u VS v Olomouci. U VS v Olomouci je zdaleka nejpočetnější věková skupina mezi 51 a 60 lety. U VS v Praze je tato věková skupina sice také nejpočetnější, citelné zastoupení zde ale mají i věkové skupiny 41 až 50 let a 61 až 70 let.</w:t>
      </w:r>
    </w:p>
    <w:p w14:paraId="278EB7FA" w14:textId="77777777" w:rsidR="008430BD" w:rsidRPr="001C3EC8" w:rsidRDefault="008430BD" w:rsidP="008430BD">
      <w:pPr>
        <w:pStyle w:val="OdstavecASR"/>
        <w:numPr>
          <w:ilvl w:val="0"/>
          <w:numId w:val="15"/>
        </w:numPr>
        <w:rPr>
          <w:color w:val="000000" w:themeColor="text1"/>
        </w:rPr>
      </w:pPr>
      <w:r w:rsidRPr="001C3EC8">
        <w:rPr>
          <w:color w:val="000000" w:themeColor="text1"/>
        </w:rPr>
        <w:t>U VS v Praze došlo v letech 2008 až 2012 k nárůstu podílu soudců ve věku 61 až 70 let. Od té doby se věková struktura příliš nemění. Není zde tedy patrný efekt, který jsme viděli u OS a KS.</w:t>
      </w:r>
    </w:p>
    <w:p w14:paraId="2934C1EC" w14:textId="0D2A774E" w:rsidR="008430BD" w:rsidRPr="001C3EC8" w:rsidRDefault="008430BD" w:rsidP="008430BD">
      <w:pPr>
        <w:pStyle w:val="OdstavecASR"/>
        <w:numPr>
          <w:ilvl w:val="0"/>
          <w:numId w:val="15"/>
        </w:numPr>
        <w:rPr>
          <w:color w:val="000000" w:themeColor="text1"/>
        </w:rPr>
      </w:pPr>
      <w:r w:rsidRPr="001C3EC8">
        <w:rPr>
          <w:color w:val="000000" w:themeColor="text1"/>
        </w:rPr>
        <w:t xml:space="preserve">U VS v Olomouci je situace jiná. Na grafu je patrný velmi výrazný nárůst ve věku soudců. Zdůvodnění je prakticky stejné jako u okresních soudů. Ve sledovaném období se již celkový počet soudců příliš nemění. Po roce 2000 se počet soudců rychle zvyšoval, počet nově příchozích soudců k VS Olomouc za rok byl tedy výrazně vyšší než v posledních letech </w:t>
      </w:r>
      <w:r w:rsidR="00021FDD" w:rsidRPr="001C3EC8">
        <w:rPr>
          <w:color w:val="000000" w:themeColor="text1"/>
        </w:rPr>
        <w:t>a</w:t>
      </w:r>
      <w:r w:rsidR="00021FDD">
        <w:rPr>
          <w:color w:val="000000" w:themeColor="text1"/>
        </w:rPr>
        <w:t> </w:t>
      </w:r>
      <w:r w:rsidRPr="001C3EC8">
        <w:rPr>
          <w:color w:val="000000" w:themeColor="text1"/>
        </w:rPr>
        <w:t>nově příchozí soudci byli relativně mladí. Právě tato rozsáhlá generace soudců se ve sledovaném období postupně přesouvá do vyšší věkové skupiny. Průměrný věk příchozích soudců se stále zvyšuje, což opět plyne ze změny věkové struktury u nižších článků soudní soustavy. Teprve v roce 2018 přišli na soud mladší soudci ve věkové skupině 41 až 50 let.</w:t>
      </w:r>
    </w:p>
    <w:p w14:paraId="680034E0" w14:textId="77777777" w:rsidR="008430BD" w:rsidRPr="001C3EC8" w:rsidRDefault="008430BD" w:rsidP="008430BD">
      <w:pPr>
        <w:pStyle w:val="Nadpis3"/>
        <w:numPr>
          <w:ilvl w:val="2"/>
          <w:numId w:val="1"/>
        </w:numPr>
        <w:rPr>
          <w:color w:val="000000" w:themeColor="text1"/>
          <w:lang w:eastAsia="cs-CZ"/>
        </w:rPr>
      </w:pPr>
      <w:bookmarkStart w:id="719" w:name="_Toc515871280"/>
      <w:bookmarkStart w:id="720" w:name="_Toc75952126"/>
      <w:r w:rsidRPr="001C3EC8">
        <w:rPr>
          <w:color w:val="000000" w:themeColor="text1"/>
          <w:lang w:eastAsia="cs-CZ"/>
        </w:rPr>
        <w:lastRenderedPageBreak/>
        <w:t>Zaměstnanci ve výkonu</w:t>
      </w:r>
      <w:bookmarkEnd w:id="719"/>
      <w:bookmarkEnd w:id="720"/>
    </w:p>
    <w:p w14:paraId="6AF973C7" w14:textId="26736317" w:rsidR="008430BD" w:rsidRPr="001C3EC8" w:rsidRDefault="008430BD" w:rsidP="008430BD">
      <w:pPr>
        <w:pStyle w:val="OdstavecASR"/>
        <w:rPr>
          <w:color w:val="000000" w:themeColor="text1"/>
        </w:rPr>
      </w:pPr>
      <w:r w:rsidRPr="001C3EC8">
        <w:rPr>
          <w:color w:val="000000" w:themeColor="text1"/>
        </w:rPr>
        <w:t>Popis pracovní náplně a význam použitých zkratek je součástí podkapitoly </w:t>
      </w:r>
      <w:r w:rsidRPr="001C3EC8">
        <w:rPr>
          <w:color w:val="000000" w:themeColor="text1"/>
        </w:rPr>
        <w:fldChar w:fldCharType="begin"/>
      </w:r>
      <w:r w:rsidRPr="001C3EC8">
        <w:rPr>
          <w:color w:val="000000" w:themeColor="text1"/>
        </w:rPr>
        <w:instrText xml:space="preserve"> REF _Ref10813793 \r \h  \* MERGEFORMAT </w:instrText>
      </w:r>
      <w:r w:rsidRPr="001C3EC8">
        <w:rPr>
          <w:color w:val="000000" w:themeColor="text1"/>
        </w:rPr>
      </w:r>
      <w:r w:rsidRPr="001C3EC8">
        <w:rPr>
          <w:color w:val="000000" w:themeColor="text1"/>
        </w:rPr>
        <w:fldChar w:fldCharType="separate"/>
      </w:r>
      <w:r w:rsidR="009C575D">
        <w:rPr>
          <w:color w:val="000000" w:themeColor="text1"/>
        </w:rPr>
        <w:t>2.1.2</w:t>
      </w:r>
      <w:r w:rsidRPr="001C3EC8">
        <w:rPr>
          <w:color w:val="000000" w:themeColor="text1"/>
        </w:rPr>
        <w:fldChar w:fldCharType="end"/>
      </w:r>
      <w:r w:rsidRPr="001C3EC8">
        <w:rPr>
          <w:color w:val="000000" w:themeColor="text1"/>
        </w:rPr>
        <w:t>.</w:t>
      </w:r>
    </w:p>
    <w:p w14:paraId="7EDB838A" w14:textId="7E37F631" w:rsidR="008430BD" w:rsidRPr="001C3EC8" w:rsidRDefault="008430BD" w:rsidP="008430BD">
      <w:pPr>
        <w:pStyle w:val="Podnadpis"/>
        <w:rPr>
          <w:color w:val="000000" w:themeColor="text1"/>
        </w:rPr>
      </w:pPr>
      <w:bookmarkStart w:id="721" w:name="_Toc515871502"/>
      <w:bookmarkStart w:id="722" w:name="_Toc11133268"/>
      <w:bookmarkStart w:id="723" w:name="_Toc43931250"/>
      <w:bookmarkStart w:id="724" w:name="_Toc75952384"/>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81</w:t>
      </w:r>
      <w:r w:rsidRPr="001C3EC8">
        <w:rPr>
          <w:color w:val="000000" w:themeColor="text1"/>
        </w:rPr>
        <w:fldChar w:fldCharType="end"/>
      </w:r>
      <w:r w:rsidRPr="001C3EC8">
        <w:rPr>
          <w:color w:val="000000" w:themeColor="text1"/>
        </w:rPr>
        <w:t>: VS – počet zaměstnanců ve výkonu dle soudů</w:t>
      </w:r>
      <w:bookmarkEnd w:id="721"/>
      <w:bookmarkEnd w:id="722"/>
      <w:bookmarkEnd w:id="723"/>
      <w:bookmarkEnd w:id="724"/>
    </w:p>
    <w:tbl>
      <w:tblPr>
        <w:tblW w:w="7280"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8430BD" w:rsidRPr="001C3EC8" w14:paraId="6E475B52" w14:textId="77777777" w:rsidTr="00E077F3">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465234D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14:paraId="5AC2627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osob</w:t>
            </w:r>
          </w:p>
        </w:tc>
      </w:tr>
      <w:tr w:rsidR="008430BD" w:rsidRPr="001C3EC8" w14:paraId="2C1E48AC" w14:textId="77777777" w:rsidTr="00E077F3">
        <w:trPr>
          <w:trHeight w:val="330"/>
        </w:trPr>
        <w:tc>
          <w:tcPr>
            <w:tcW w:w="2080" w:type="dxa"/>
            <w:vMerge/>
            <w:tcBorders>
              <w:top w:val="double" w:sz="6" w:space="0" w:color="auto"/>
              <w:left w:val="nil"/>
              <w:bottom w:val="double" w:sz="6" w:space="0" w:color="000000"/>
              <w:right w:val="nil"/>
            </w:tcBorders>
            <w:vAlign w:val="center"/>
            <w:hideMark/>
          </w:tcPr>
          <w:p w14:paraId="42874390"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904" w:type="dxa"/>
            <w:tcBorders>
              <w:top w:val="nil"/>
              <w:left w:val="nil"/>
              <w:bottom w:val="double" w:sz="6" w:space="0" w:color="auto"/>
              <w:right w:val="nil"/>
            </w:tcBorders>
            <w:shd w:val="clear" w:color="auto" w:fill="auto"/>
            <w:noWrap/>
            <w:vAlign w:val="bottom"/>
            <w:hideMark/>
          </w:tcPr>
          <w:p w14:paraId="5A37BF0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VSÚ</w:t>
            </w:r>
          </w:p>
        </w:tc>
        <w:tc>
          <w:tcPr>
            <w:tcW w:w="581" w:type="dxa"/>
            <w:tcBorders>
              <w:top w:val="nil"/>
              <w:left w:val="nil"/>
              <w:bottom w:val="double" w:sz="6" w:space="0" w:color="auto"/>
              <w:right w:val="nil"/>
            </w:tcBorders>
            <w:shd w:val="clear" w:color="auto" w:fill="auto"/>
            <w:noWrap/>
            <w:vAlign w:val="bottom"/>
            <w:hideMark/>
          </w:tcPr>
          <w:p w14:paraId="27A7857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ST</w:t>
            </w:r>
          </w:p>
        </w:tc>
        <w:tc>
          <w:tcPr>
            <w:tcW w:w="466" w:type="dxa"/>
            <w:tcBorders>
              <w:top w:val="nil"/>
              <w:left w:val="nil"/>
              <w:bottom w:val="double" w:sz="6" w:space="0" w:color="auto"/>
              <w:right w:val="nil"/>
            </w:tcBorders>
            <w:shd w:val="clear" w:color="auto" w:fill="auto"/>
            <w:noWrap/>
            <w:vAlign w:val="bottom"/>
            <w:hideMark/>
          </w:tcPr>
          <w:p w14:paraId="60B7387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A</w:t>
            </w:r>
          </w:p>
        </w:tc>
        <w:tc>
          <w:tcPr>
            <w:tcW w:w="645" w:type="dxa"/>
            <w:tcBorders>
              <w:top w:val="nil"/>
              <w:left w:val="nil"/>
              <w:bottom w:val="double" w:sz="6" w:space="0" w:color="auto"/>
              <w:right w:val="nil"/>
            </w:tcBorders>
            <w:shd w:val="clear" w:color="auto" w:fill="auto"/>
            <w:noWrap/>
            <w:vAlign w:val="bottom"/>
            <w:hideMark/>
          </w:tcPr>
          <w:p w14:paraId="6FFDDCB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VK</w:t>
            </w:r>
          </w:p>
        </w:tc>
        <w:tc>
          <w:tcPr>
            <w:tcW w:w="658" w:type="dxa"/>
            <w:tcBorders>
              <w:top w:val="nil"/>
              <w:left w:val="nil"/>
              <w:bottom w:val="double" w:sz="6" w:space="0" w:color="auto"/>
              <w:right w:val="nil"/>
            </w:tcBorders>
            <w:shd w:val="clear" w:color="auto" w:fill="auto"/>
            <w:noWrap/>
            <w:vAlign w:val="bottom"/>
            <w:hideMark/>
          </w:tcPr>
          <w:p w14:paraId="7909F847"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PÚ</w:t>
            </w:r>
          </w:p>
        </w:tc>
        <w:tc>
          <w:tcPr>
            <w:tcW w:w="466" w:type="dxa"/>
            <w:tcBorders>
              <w:top w:val="nil"/>
              <w:left w:val="nil"/>
              <w:bottom w:val="double" w:sz="6" w:space="0" w:color="auto"/>
              <w:right w:val="nil"/>
            </w:tcBorders>
            <w:shd w:val="clear" w:color="auto" w:fill="auto"/>
            <w:noWrap/>
            <w:vAlign w:val="bottom"/>
            <w:hideMark/>
          </w:tcPr>
          <w:p w14:paraId="0E86AFDC"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Z</w:t>
            </w:r>
          </w:p>
        </w:tc>
        <w:tc>
          <w:tcPr>
            <w:tcW w:w="1480" w:type="dxa"/>
            <w:tcBorders>
              <w:top w:val="nil"/>
              <w:left w:val="nil"/>
              <w:bottom w:val="double" w:sz="6" w:space="0" w:color="auto"/>
              <w:right w:val="nil"/>
            </w:tcBorders>
            <w:shd w:val="clear" w:color="auto" w:fill="auto"/>
            <w:noWrap/>
            <w:vAlign w:val="bottom"/>
            <w:hideMark/>
          </w:tcPr>
          <w:p w14:paraId="60154C5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Celkem</w:t>
            </w:r>
          </w:p>
        </w:tc>
      </w:tr>
      <w:tr w:rsidR="008430BD" w:rsidRPr="001C3EC8" w14:paraId="307A7A3E" w14:textId="77777777" w:rsidTr="00E077F3">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20D6C8A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14:paraId="6ADB694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581" w:type="dxa"/>
            <w:tcBorders>
              <w:top w:val="single" w:sz="4" w:space="0" w:color="auto"/>
              <w:left w:val="nil"/>
              <w:bottom w:val="single" w:sz="4" w:space="0" w:color="auto"/>
              <w:right w:val="nil"/>
            </w:tcBorders>
            <w:shd w:val="clear" w:color="auto" w:fill="auto"/>
            <w:noWrap/>
            <w:vAlign w:val="bottom"/>
            <w:hideMark/>
          </w:tcPr>
          <w:p w14:paraId="7E63C49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p>
        </w:tc>
        <w:tc>
          <w:tcPr>
            <w:tcW w:w="466" w:type="dxa"/>
            <w:tcBorders>
              <w:top w:val="single" w:sz="4" w:space="0" w:color="auto"/>
              <w:left w:val="nil"/>
              <w:bottom w:val="single" w:sz="4" w:space="0" w:color="auto"/>
              <w:right w:val="nil"/>
            </w:tcBorders>
            <w:shd w:val="clear" w:color="auto" w:fill="auto"/>
            <w:noWrap/>
            <w:vAlign w:val="bottom"/>
            <w:hideMark/>
          </w:tcPr>
          <w:p w14:paraId="547A3E1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p>
        </w:tc>
        <w:tc>
          <w:tcPr>
            <w:tcW w:w="645" w:type="dxa"/>
            <w:tcBorders>
              <w:top w:val="single" w:sz="4" w:space="0" w:color="auto"/>
              <w:left w:val="nil"/>
              <w:bottom w:val="single" w:sz="4" w:space="0" w:color="auto"/>
              <w:right w:val="nil"/>
            </w:tcBorders>
            <w:shd w:val="clear" w:color="auto" w:fill="auto"/>
            <w:noWrap/>
            <w:vAlign w:val="bottom"/>
            <w:hideMark/>
          </w:tcPr>
          <w:p w14:paraId="70AD7CE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23</w:t>
            </w:r>
          </w:p>
        </w:tc>
        <w:tc>
          <w:tcPr>
            <w:tcW w:w="658" w:type="dxa"/>
            <w:tcBorders>
              <w:top w:val="single" w:sz="4" w:space="0" w:color="auto"/>
              <w:left w:val="nil"/>
              <w:bottom w:val="single" w:sz="4" w:space="0" w:color="auto"/>
              <w:right w:val="nil"/>
            </w:tcBorders>
            <w:shd w:val="clear" w:color="auto" w:fill="auto"/>
            <w:noWrap/>
            <w:vAlign w:val="bottom"/>
            <w:hideMark/>
          </w:tcPr>
          <w:p w14:paraId="4A9CB33B"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15</w:t>
            </w:r>
          </w:p>
        </w:tc>
        <w:tc>
          <w:tcPr>
            <w:tcW w:w="466" w:type="dxa"/>
            <w:tcBorders>
              <w:top w:val="single" w:sz="4" w:space="0" w:color="auto"/>
              <w:left w:val="nil"/>
              <w:bottom w:val="single" w:sz="4" w:space="0" w:color="auto"/>
              <w:right w:val="nil"/>
            </w:tcBorders>
            <w:shd w:val="clear" w:color="auto" w:fill="auto"/>
            <w:noWrap/>
            <w:vAlign w:val="bottom"/>
            <w:hideMark/>
          </w:tcPr>
          <w:p w14:paraId="7894C30F"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17</w:t>
            </w:r>
          </w:p>
        </w:tc>
        <w:tc>
          <w:tcPr>
            <w:tcW w:w="1480" w:type="dxa"/>
            <w:tcBorders>
              <w:top w:val="single" w:sz="4" w:space="0" w:color="auto"/>
              <w:left w:val="nil"/>
              <w:bottom w:val="single" w:sz="4" w:space="0" w:color="auto"/>
              <w:right w:val="nil"/>
            </w:tcBorders>
            <w:shd w:val="clear" w:color="auto" w:fill="auto"/>
            <w:noWrap/>
            <w:vAlign w:val="bottom"/>
            <w:hideMark/>
          </w:tcPr>
          <w:p w14:paraId="7E0C147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91</w:t>
            </w:r>
          </w:p>
        </w:tc>
      </w:tr>
      <w:tr w:rsidR="008430BD" w:rsidRPr="001C3EC8" w14:paraId="4C8483E7" w14:textId="77777777" w:rsidTr="00E077F3">
        <w:trPr>
          <w:trHeight w:val="330"/>
        </w:trPr>
        <w:tc>
          <w:tcPr>
            <w:tcW w:w="2080" w:type="dxa"/>
            <w:tcBorders>
              <w:top w:val="nil"/>
              <w:left w:val="nil"/>
              <w:bottom w:val="nil"/>
              <w:right w:val="nil"/>
            </w:tcBorders>
            <w:shd w:val="clear" w:color="auto" w:fill="auto"/>
            <w:noWrap/>
            <w:vAlign w:val="bottom"/>
            <w:hideMark/>
          </w:tcPr>
          <w:p w14:paraId="65B061FB"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 Olomouc</w:t>
            </w:r>
          </w:p>
        </w:tc>
        <w:tc>
          <w:tcPr>
            <w:tcW w:w="904" w:type="dxa"/>
            <w:tcBorders>
              <w:top w:val="nil"/>
              <w:left w:val="nil"/>
              <w:bottom w:val="nil"/>
              <w:right w:val="nil"/>
            </w:tcBorders>
            <w:shd w:val="clear" w:color="auto" w:fill="auto"/>
            <w:noWrap/>
            <w:vAlign w:val="bottom"/>
            <w:hideMark/>
          </w:tcPr>
          <w:p w14:paraId="3AABC2A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w:t>
            </w:r>
          </w:p>
        </w:tc>
        <w:tc>
          <w:tcPr>
            <w:tcW w:w="581" w:type="dxa"/>
            <w:tcBorders>
              <w:top w:val="nil"/>
              <w:left w:val="nil"/>
              <w:bottom w:val="nil"/>
              <w:right w:val="nil"/>
            </w:tcBorders>
            <w:shd w:val="clear" w:color="auto" w:fill="auto"/>
            <w:noWrap/>
            <w:vAlign w:val="bottom"/>
            <w:hideMark/>
          </w:tcPr>
          <w:p w14:paraId="6A56A2A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0</w:t>
            </w:r>
          </w:p>
        </w:tc>
        <w:tc>
          <w:tcPr>
            <w:tcW w:w="466" w:type="dxa"/>
            <w:tcBorders>
              <w:top w:val="nil"/>
              <w:left w:val="nil"/>
              <w:bottom w:val="nil"/>
              <w:right w:val="nil"/>
            </w:tcBorders>
            <w:shd w:val="clear" w:color="auto" w:fill="auto"/>
            <w:noWrap/>
            <w:vAlign w:val="bottom"/>
            <w:hideMark/>
          </w:tcPr>
          <w:p w14:paraId="18A9FC44"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c>
          <w:tcPr>
            <w:tcW w:w="645" w:type="dxa"/>
            <w:tcBorders>
              <w:top w:val="nil"/>
              <w:left w:val="nil"/>
              <w:bottom w:val="nil"/>
              <w:right w:val="nil"/>
            </w:tcBorders>
            <w:shd w:val="clear" w:color="auto" w:fill="auto"/>
            <w:noWrap/>
            <w:vAlign w:val="bottom"/>
            <w:hideMark/>
          </w:tcPr>
          <w:p w14:paraId="4C3F8742"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c>
          <w:tcPr>
            <w:tcW w:w="658" w:type="dxa"/>
            <w:tcBorders>
              <w:top w:val="nil"/>
              <w:left w:val="nil"/>
              <w:bottom w:val="nil"/>
              <w:right w:val="nil"/>
            </w:tcBorders>
            <w:shd w:val="clear" w:color="auto" w:fill="auto"/>
            <w:noWrap/>
            <w:vAlign w:val="bottom"/>
            <w:hideMark/>
          </w:tcPr>
          <w:p w14:paraId="3C34BE8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w:t>
            </w:r>
          </w:p>
        </w:tc>
        <w:tc>
          <w:tcPr>
            <w:tcW w:w="466" w:type="dxa"/>
            <w:tcBorders>
              <w:top w:val="nil"/>
              <w:left w:val="nil"/>
              <w:bottom w:val="nil"/>
              <w:right w:val="nil"/>
            </w:tcBorders>
            <w:shd w:val="clear" w:color="auto" w:fill="auto"/>
            <w:noWrap/>
            <w:vAlign w:val="bottom"/>
            <w:hideMark/>
          </w:tcPr>
          <w:p w14:paraId="4E7EFD51"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p>
        </w:tc>
        <w:tc>
          <w:tcPr>
            <w:tcW w:w="1480" w:type="dxa"/>
            <w:tcBorders>
              <w:top w:val="nil"/>
              <w:left w:val="nil"/>
              <w:bottom w:val="single" w:sz="4" w:space="0" w:color="auto"/>
              <w:right w:val="nil"/>
            </w:tcBorders>
            <w:shd w:val="clear" w:color="auto" w:fill="auto"/>
            <w:noWrap/>
            <w:vAlign w:val="bottom"/>
            <w:hideMark/>
          </w:tcPr>
          <w:p w14:paraId="78C8DAF3"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36</w:t>
            </w:r>
          </w:p>
        </w:tc>
      </w:tr>
      <w:tr w:rsidR="008430BD" w:rsidRPr="001C3EC8" w14:paraId="439C8261" w14:textId="77777777" w:rsidTr="00E077F3">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12C516DA"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14:paraId="2E0A6C2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w:t>
            </w:r>
          </w:p>
        </w:tc>
        <w:tc>
          <w:tcPr>
            <w:tcW w:w="581" w:type="dxa"/>
            <w:tcBorders>
              <w:top w:val="double" w:sz="6" w:space="0" w:color="auto"/>
              <w:left w:val="nil"/>
              <w:bottom w:val="double" w:sz="6" w:space="0" w:color="auto"/>
              <w:right w:val="nil"/>
            </w:tcBorders>
            <w:shd w:val="clear" w:color="auto" w:fill="auto"/>
            <w:noWrap/>
            <w:vAlign w:val="bottom"/>
            <w:hideMark/>
          </w:tcPr>
          <w:p w14:paraId="60E5096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w:t>
            </w:r>
          </w:p>
        </w:tc>
        <w:tc>
          <w:tcPr>
            <w:tcW w:w="466" w:type="dxa"/>
            <w:tcBorders>
              <w:top w:val="double" w:sz="6" w:space="0" w:color="auto"/>
              <w:left w:val="nil"/>
              <w:bottom w:val="double" w:sz="6" w:space="0" w:color="auto"/>
              <w:right w:val="nil"/>
            </w:tcBorders>
            <w:shd w:val="clear" w:color="auto" w:fill="auto"/>
            <w:noWrap/>
            <w:vAlign w:val="bottom"/>
            <w:hideMark/>
          </w:tcPr>
          <w:p w14:paraId="4DA5EB4A"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43</w:t>
            </w:r>
          </w:p>
        </w:tc>
        <w:tc>
          <w:tcPr>
            <w:tcW w:w="645" w:type="dxa"/>
            <w:tcBorders>
              <w:top w:val="double" w:sz="6" w:space="0" w:color="auto"/>
              <w:left w:val="nil"/>
              <w:bottom w:val="double" w:sz="6" w:space="0" w:color="auto"/>
              <w:right w:val="nil"/>
            </w:tcBorders>
            <w:shd w:val="clear" w:color="auto" w:fill="auto"/>
            <w:noWrap/>
            <w:vAlign w:val="bottom"/>
            <w:hideMark/>
          </w:tcPr>
          <w:p w14:paraId="714044E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30</w:t>
            </w:r>
          </w:p>
        </w:tc>
        <w:tc>
          <w:tcPr>
            <w:tcW w:w="658" w:type="dxa"/>
            <w:tcBorders>
              <w:top w:val="double" w:sz="6" w:space="0" w:color="auto"/>
              <w:left w:val="nil"/>
              <w:bottom w:val="double" w:sz="6" w:space="0" w:color="auto"/>
              <w:right w:val="nil"/>
            </w:tcBorders>
            <w:shd w:val="clear" w:color="auto" w:fill="auto"/>
            <w:noWrap/>
            <w:vAlign w:val="bottom"/>
            <w:hideMark/>
          </w:tcPr>
          <w:p w14:paraId="49A1508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21</w:t>
            </w:r>
          </w:p>
        </w:tc>
        <w:tc>
          <w:tcPr>
            <w:tcW w:w="466" w:type="dxa"/>
            <w:tcBorders>
              <w:top w:val="double" w:sz="6" w:space="0" w:color="auto"/>
              <w:left w:val="nil"/>
              <w:bottom w:val="double" w:sz="6" w:space="0" w:color="auto"/>
              <w:right w:val="nil"/>
            </w:tcBorders>
            <w:shd w:val="clear" w:color="auto" w:fill="auto"/>
            <w:noWrap/>
            <w:vAlign w:val="bottom"/>
            <w:hideMark/>
          </w:tcPr>
          <w:p w14:paraId="4C9A2A0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25</w:t>
            </w:r>
          </w:p>
        </w:tc>
        <w:tc>
          <w:tcPr>
            <w:tcW w:w="1480" w:type="dxa"/>
            <w:tcBorders>
              <w:top w:val="double" w:sz="6" w:space="0" w:color="auto"/>
              <w:left w:val="nil"/>
              <w:bottom w:val="double" w:sz="6" w:space="0" w:color="auto"/>
              <w:right w:val="nil"/>
            </w:tcBorders>
            <w:shd w:val="clear" w:color="auto" w:fill="auto"/>
            <w:noWrap/>
            <w:vAlign w:val="bottom"/>
            <w:hideMark/>
          </w:tcPr>
          <w:p w14:paraId="514AF4C1"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127</w:t>
            </w:r>
          </w:p>
        </w:tc>
      </w:tr>
    </w:tbl>
    <w:p w14:paraId="66429D26" w14:textId="77777777" w:rsidR="008430BD" w:rsidRPr="001C3EC8" w:rsidRDefault="008430BD" w:rsidP="008430BD">
      <w:pPr>
        <w:spacing w:line="240" w:lineRule="auto"/>
        <w:jc w:val="left"/>
        <w:rPr>
          <w:color w:val="000000" w:themeColor="text1"/>
          <w:highlight w:val="yellow"/>
        </w:rPr>
      </w:pPr>
    </w:p>
    <w:p w14:paraId="2493B9CF" w14:textId="2FB84051" w:rsidR="008430BD" w:rsidRPr="001C3EC8" w:rsidRDefault="008430BD" w:rsidP="008430BD">
      <w:pPr>
        <w:pStyle w:val="OdstavecASR"/>
        <w:rPr>
          <w:color w:val="000000" w:themeColor="text1"/>
        </w:rPr>
      </w:pPr>
      <w:r w:rsidRPr="001C3EC8">
        <w:rPr>
          <w:color w:val="000000" w:themeColor="text1"/>
        </w:rPr>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došlo k malým změnám. Markantnější je pouze zvýšení počt</w:t>
      </w:r>
      <w:r w:rsidR="00FF5673" w:rsidRPr="001C3EC8">
        <w:rPr>
          <w:color w:val="000000" w:themeColor="text1"/>
        </w:rPr>
        <w:t>u</w:t>
      </w:r>
      <w:r w:rsidRPr="001C3EC8">
        <w:rPr>
          <w:color w:val="000000" w:themeColor="text1"/>
        </w:rPr>
        <w:t xml:space="preserve"> asistentů </w:t>
      </w:r>
      <w:r w:rsidR="00021FDD" w:rsidRPr="001C3EC8">
        <w:rPr>
          <w:color w:val="000000" w:themeColor="text1"/>
        </w:rPr>
        <w:t>u</w:t>
      </w:r>
      <w:r w:rsidR="00021FDD">
        <w:rPr>
          <w:color w:val="000000" w:themeColor="text1"/>
        </w:rPr>
        <w:t> </w:t>
      </w:r>
      <w:r w:rsidRPr="001C3EC8">
        <w:rPr>
          <w:color w:val="000000" w:themeColor="text1"/>
        </w:rPr>
        <w:t>VS v Praze ze 24 na 31.</w:t>
      </w:r>
    </w:p>
    <w:p w14:paraId="524C0F78"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4AFA3D31" w14:textId="77777777" w:rsidR="008430BD" w:rsidRPr="001C3EC8" w:rsidRDefault="008430BD" w:rsidP="008430BD">
      <w:pPr>
        <w:pStyle w:val="Nadpis2"/>
        <w:numPr>
          <w:ilvl w:val="1"/>
          <w:numId w:val="1"/>
        </w:numPr>
        <w:spacing w:before="120"/>
      </w:pPr>
      <w:bookmarkStart w:id="725" w:name="_Toc487791283"/>
      <w:bookmarkStart w:id="726" w:name="_Toc515871281"/>
      <w:bookmarkStart w:id="727" w:name="_Toc75952127"/>
      <w:r w:rsidRPr="001C3EC8">
        <w:lastRenderedPageBreak/>
        <w:t>Civilní a obchodní odvolací agenda</w:t>
      </w:r>
      <w:bookmarkEnd w:id="725"/>
      <w:bookmarkEnd w:id="726"/>
      <w:bookmarkEnd w:id="727"/>
    </w:p>
    <w:p w14:paraId="7D0A6F64" w14:textId="77777777" w:rsidR="008430BD" w:rsidRPr="001C3EC8" w:rsidRDefault="008430BD" w:rsidP="008430BD">
      <w:pPr>
        <w:pStyle w:val="OdstavecASR"/>
        <w:rPr>
          <w:color w:val="000000" w:themeColor="text1"/>
        </w:rPr>
      </w:pPr>
      <w:r w:rsidRPr="001C3EC8">
        <w:rPr>
          <w:color w:val="000000" w:themeColor="text1"/>
        </w:rPr>
        <w:t xml:space="preserve">Jak již bylo uvedeno, vrchní soudy nevyřizují prvostupňovou civilní a obchodní agendu. Zabývají se agendou odvolací, což jsou </w:t>
      </w:r>
      <w:proofErr w:type="gramStart"/>
      <w:r w:rsidRPr="001C3EC8">
        <w:rPr>
          <w:color w:val="000000" w:themeColor="text1"/>
        </w:rPr>
        <w:t>rejstříky</w:t>
      </w:r>
      <w:proofErr w:type="gramEnd"/>
      <w:r w:rsidRPr="001C3EC8">
        <w:rPr>
          <w:color w:val="000000" w:themeColor="text1"/>
        </w:rPr>
        <w:t xml:space="preserve"> Co a </w:t>
      </w:r>
      <w:proofErr w:type="spellStart"/>
      <w:r w:rsidRPr="001C3EC8">
        <w:rPr>
          <w:color w:val="000000" w:themeColor="text1"/>
        </w:rPr>
        <w:t>Cmo</w:t>
      </w:r>
      <w:proofErr w:type="spellEnd"/>
      <w:r w:rsidRPr="001C3EC8">
        <w:rPr>
          <w:color w:val="000000" w:themeColor="text1"/>
        </w:rPr>
        <w:t>. Ve způsobu vedení statistik nedošlo k žádným výrazným změnám.</w:t>
      </w:r>
    </w:p>
    <w:p w14:paraId="1460536E" w14:textId="77777777" w:rsidR="008430BD" w:rsidRPr="001C3EC8" w:rsidRDefault="008430BD" w:rsidP="008430BD">
      <w:pPr>
        <w:pStyle w:val="Nadpis3"/>
        <w:numPr>
          <w:ilvl w:val="2"/>
          <w:numId w:val="1"/>
        </w:numPr>
        <w:rPr>
          <w:color w:val="000000" w:themeColor="text1"/>
          <w:lang w:eastAsia="cs-CZ"/>
        </w:rPr>
      </w:pPr>
      <w:bookmarkStart w:id="728" w:name="_Toc515871282"/>
      <w:bookmarkStart w:id="729" w:name="_Toc43903094"/>
      <w:bookmarkStart w:id="730" w:name="_Toc75952128"/>
      <w:r w:rsidRPr="001C3EC8">
        <w:rPr>
          <w:color w:val="000000" w:themeColor="text1"/>
          <w:lang w:eastAsia="cs-CZ"/>
        </w:rPr>
        <w:t>Délka řízení</w:t>
      </w:r>
      <w:bookmarkEnd w:id="728"/>
      <w:bookmarkEnd w:id="729"/>
      <w:bookmarkEnd w:id="730"/>
    </w:p>
    <w:p w14:paraId="4E6D5F6D" w14:textId="77777777" w:rsidR="008430BD" w:rsidRPr="001C3EC8" w:rsidRDefault="008430BD" w:rsidP="008430BD">
      <w:pPr>
        <w:pStyle w:val="OdstavecASR"/>
        <w:rPr>
          <w:color w:val="000000" w:themeColor="text1"/>
        </w:rPr>
      </w:pPr>
      <w:r w:rsidRPr="001C3EC8">
        <w:rPr>
          <w:color w:val="000000" w:themeColor="text1"/>
        </w:rPr>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54F2C8D7" w14:textId="7D8BCAD8" w:rsidR="008430BD" w:rsidRPr="001C3EC8" w:rsidRDefault="008430BD" w:rsidP="008430BD">
      <w:pPr>
        <w:pStyle w:val="Podnadpis"/>
        <w:rPr>
          <w:color w:val="000000" w:themeColor="text1"/>
        </w:rPr>
      </w:pPr>
      <w:bookmarkStart w:id="731" w:name="_Toc515871411"/>
      <w:bookmarkStart w:id="732" w:name="_Toc11135142"/>
      <w:bookmarkStart w:id="733" w:name="_Toc43841464"/>
      <w:bookmarkStart w:id="734" w:name="_Toc75952267"/>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87</w:t>
      </w:r>
      <w:r w:rsidRPr="001C3EC8">
        <w:rPr>
          <w:color w:val="000000" w:themeColor="text1"/>
        </w:rPr>
        <w:fldChar w:fldCharType="end"/>
      </w:r>
      <w:r w:rsidRPr="001C3EC8">
        <w:rPr>
          <w:color w:val="000000" w:themeColor="text1"/>
        </w:rPr>
        <w:t>: VS – délka civilního odvolacího řízení u VS v letech 2010–20</w:t>
      </w:r>
      <w:bookmarkEnd w:id="731"/>
      <w:bookmarkEnd w:id="732"/>
      <w:bookmarkEnd w:id="733"/>
      <w:r w:rsidRPr="001C3EC8">
        <w:rPr>
          <w:color w:val="000000" w:themeColor="text1"/>
        </w:rPr>
        <w:t>20</w:t>
      </w:r>
      <w:bookmarkEnd w:id="734"/>
    </w:p>
    <w:p w14:paraId="010FBDB2" w14:textId="77777777" w:rsidR="008430BD" w:rsidRPr="001C3EC8" w:rsidRDefault="008430BD" w:rsidP="008430BD">
      <w:pPr>
        <w:rPr>
          <w:color w:val="000000" w:themeColor="text1"/>
        </w:rPr>
      </w:pPr>
    </w:p>
    <w:p w14:paraId="53ED041E"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93EBCCB" wp14:editId="36DD83CD">
            <wp:extent cx="5114925" cy="3743325"/>
            <wp:effectExtent l="0" t="0" r="0" b="9525"/>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6C3E46A" w14:textId="3825F8DB" w:rsidR="008430BD" w:rsidRPr="001C3EC8" w:rsidRDefault="008430BD" w:rsidP="008430BD">
      <w:pPr>
        <w:pStyle w:val="OdstavecASR"/>
        <w:rPr>
          <w:color w:val="000000" w:themeColor="text1"/>
        </w:rPr>
      </w:pPr>
      <w:r w:rsidRPr="001C3EC8">
        <w:rPr>
          <w:color w:val="000000" w:themeColor="text1"/>
        </w:rPr>
        <w:t xml:space="preserve">Z grafu jasně vyplývá, že VS Olomouc vyřizuje věci mnohem rychleji než VS Praha. Devadesátý percentil délky řízení u VS v Olomouci bývá pravidelně nižší než průměr u VS v Praze, </w:t>
      </w:r>
      <w:r w:rsidR="00021FDD" w:rsidRPr="001C3EC8">
        <w:rPr>
          <w:color w:val="000000" w:themeColor="text1"/>
        </w:rPr>
        <w:t>v</w:t>
      </w:r>
      <w:r w:rsidR="00021FDD">
        <w:rPr>
          <w:color w:val="000000" w:themeColor="text1"/>
        </w:rPr>
        <w:t> </w:t>
      </w:r>
      <w:r w:rsidRPr="001C3EC8">
        <w:rPr>
          <w:color w:val="000000" w:themeColor="text1"/>
        </w:rPr>
        <w:t xml:space="preserve">roce 2019 byl dokonce na úrovni mediánu </w:t>
      </w:r>
      <w:r w:rsidR="00021FDD" w:rsidRPr="001C3EC8">
        <w:rPr>
          <w:color w:val="000000" w:themeColor="text1"/>
        </w:rPr>
        <w:t>u</w:t>
      </w:r>
      <w:r w:rsidR="00021FDD">
        <w:rPr>
          <w:color w:val="000000" w:themeColor="text1"/>
        </w:rPr>
        <w:t> </w:t>
      </w:r>
      <w:r w:rsidRPr="001C3EC8">
        <w:rPr>
          <w:color w:val="000000" w:themeColor="text1"/>
        </w:rPr>
        <w:t xml:space="preserve">VS v Praze. Rozdíl můžeme zčásti připsat odlišnostem ve vyřizované agendě, nicméně předpokládáme, že se na něm podílí i další faktory. Délky řízení u VS v Praze ale po několika letech klesly. Je možné, že se klesající nápad </w:t>
      </w:r>
      <w:r w:rsidR="00021FDD" w:rsidRPr="001C3EC8">
        <w:rPr>
          <w:color w:val="000000" w:themeColor="text1"/>
        </w:rPr>
        <w:t>a</w:t>
      </w:r>
      <w:r w:rsidR="00021FDD">
        <w:rPr>
          <w:color w:val="000000" w:themeColor="text1"/>
        </w:rPr>
        <w:t> </w:t>
      </w:r>
      <w:r w:rsidRPr="001C3EC8">
        <w:rPr>
          <w:color w:val="000000" w:themeColor="text1"/>
        </w:rPr>
        <w:t xml:space="preserve">počet nevyřízených věcí projevil </w:t>
      </w:r>
      <w:r w:rsidR="00021FDD" w:rsidRPr="001C3EC8">
        <w:rPr>
          <w:color w:val="000000" w:themeColor="text1"/>
        </w:rPr>
        <w:t>i</w:t>
      </w:r>
      <w:r w:rsidR="00021FDD">
        <w:rPr>
          <w:color w:val="000000" w:themeColor="text1"/>
        </w:rPr>
        <w:t> </w:t>
      </w:r>
      <w:r w:rsidRPr="001C3EC8">
        <w:rPr>
          <w:color w:val="000000" w:themeColor="text1"/>
        </w:rPr>
        <w:t>v délkách řízení.</w:t>
      </w:r>
    </w:p>
    <w:p w14:paraId="641EA2ED" w14:textId="7BD6DCB5" w:rsidR="008430BD" w:rsidRPr="001C3EC8" w:rsidRDefault="008430BD" w:rsidP="008430BD">
      <w:pPr>
        <w:pStyle w:val="OdstavecASR"/>
        <w:rPr>
          <w:color w:val="000000" w:themeColor="text1"/>
          <w:highlight w:val="yellow"/>
        </w:rPr>
      </w:pPr>
      <w:r w:rsidRPr="001C3EC8">
        <w:rPr>
          <w:color w:val="000000" w:themeColor="text1"/>
        </w:rPr>
        <w:t xml:space="preserve">Graf také ukazuje zajímavý jev, kdy medián </w:t>
      </w:r>
      <w:r w:rsidR="00021FDD" w:rsidRPr="001C3EC8">
        <w:rPr>
          <w:color w:val="000000" w:themeColor="text1"/>
        </w:rPr>
        <w:t>a</w:t>
      </w:r>
      <w:r w:rsidR="00021FDD">
        <w:rPr>
          <w:color w:val="000000" w:themeColor="text1"/>
        </w:rPr>
        <w:t> </w:t>
      </w:r>
      <w:r w:rsidRPr="001C3EC8">
        <w:rPr>
          <w:color w:val="000000" w:themeColor="text1"/>
        </w:rPr>
        <w:t>90.</w:t>
      </w:r>
      <w:r w:rsidR="00021FDD">
        <w:rPr>
          <w:color w:val="000000" w:themeColor="text1"/>
        </w:rPr>
        <w:t> </w:t>
      </w:r>
      <w:r w:rsidRPr="001C3EC8">
        <w:rPr>
          <w:color w:val="000000" w:themeColor="text1"/>
        </w:rPr>
        <w:t xml:space="preserve">percentil </w:t>
      </w:r>
      <w:r w:rsidR="00021FDD" w:rsidRPr="001C3EC8">
        <w:rPr>
          <w:color w:val="000000" w:themeColor="text1"/>
        </w:rPr>
        <w:t>u</w:t>
      </w:r>
      <w:r w:rsidR="00021FDD">
        <w:rPr>
          <w:color w:val="000000" w:themeColor="text1"/>
        </w:rPr>
        <w:t> </w:t>
      </w:r>
      <w:r w:rsidRPr="001C3EC8">
        <w:rPr>
          <w:color w:val="000000" w:themeColor="text1"/>
        </w:rPr>
        <w:t>VS Olomouc jsou celkem stabilní, zatímco průměr kolísá.</w:t>
      </w:r>
    </w:p>
    <w:p w14:paraId="065D57EF" w14:textId="7E5F758F" w:rsidR="008430BD" w:rsidRPr="001C3EC8" w:rsidRDefault="008430BD" w:rsidP="008430BD">
      <w:pPr>
        <w:pStyle w:val="OdstavecASR"/>
        <w:rPr>
          <w:color w:val="000000" w:themeColor="text1"/>
        </w:rPr>
      </w:pPr>
      <w:r w:rsidRPr="001C3EC8">
        <w:rPr>
          <w:color w:val="000000" w:themeColor="text1"/>
        </w:rPr>
        <w:t xml:space="preserve">V histogramu níže srovnáváme délky řízení. Opět </w:t>
      </w:r>
      <w:r w:rsidR="000D40D2" w:rsidRPr="001C3EC8">
        <w:rPr>
          <w:color w:val="000000" w:themeColor="text1"/>
        </w:rPr>
        <w:t>vidíme</w:t>
      </w:r>
      <w:r w:rsidRPr="001C3EC8">
        <w:rPr>
          <w:color w:val="000000" w:themeColor="text1"/>
        </w:rPr>
        <w:t xml:space="preserve"> zcela jasný rozdíl mezi oběma soudy. Graf například ukazuje, že podíl věcí vyřízených do 75 dnů je u VS v Olomouci více než dvojnásobný ve srovnání s VS v Praze.</w:t>
      </w:r>
    </w:p>
    <w:p w14:paraId="46032CA3"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02D447A1" w14:textId="3E6AECF8" w:rsidR="008430BD" w:rsidRPr="001C3EC8" w:rsidRDefault="008430BD" w:rsidP="008430BD">
      <w:pPr>
        <w:pStyle w:val="Podnadpis"/>
        <w:rPr>
          <w:color w:val="000000" w:themeColor="text1"/>
          <w:highlight w:val="yellow"/>
        </w:rPr>
      </w:pPr>
      <w:bookmarkStart w:id="735" w:name="_Toc515871412"/>
      <w:bookmarkStart w:id="736" w:name="_Toc11135143"/>
      <w:bookmarkStart w:id="737" w:name="_Toc43841465"/>
      <w:bookmarkStart w:id="738" w:name="_Toc75952268"/>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88</w:t>
      </w:r>
      <w:r w:rsidRPr="001C3EC8">
        <w:rPr>
          <w:color w:val="000000" w:themeColor="text1"/>
        </w:rPr>
        <w:fldChar w:fldCharType="end"/>
      </w:r>
      <w:r w:rsidRPr="001C3EC8">
        <w:rPr>
          <w:color w:val="000000" w:themeColor="text1"/>
        </w:rPr>
        <w:t>: VS – distribuce délek civilního odvolacího řízení</w:t>
      </w:r>
      <w:bookmarkEnd w:id="735"/>
      <w:bookmarkEnd w:id="736"/>
      <w:bookmarkEnd w:id="737"/>
      <w:bookmarkEnd w:id="738"/>
    </w:p>
    <w:p w14:paraId="24CC99DF"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6B1610F5" wp14:editId="48957DC4">
            <wp:extent cx="5114925" cy="3743325"/>
            <wp:effectExtent l="0" t="0" r="0" b="9525"/>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837C433" w14:textId="77777777" w:rsidR="008430BD" w:rsidRPr="001C3EC8" w:rsidRDefault="008430BD" w:rsidP="008430BD">
      <w:pPr>
        <w:pStyle w:val="Nadpis3"/>
        <w:numPr>
          <w:ilvl w:val="2"/>
          <w:numId w:val="1"/>
        </w:numPr>
        <w:rPr>
          <w:color w:val="000000" w:themeColor="text1"/>
          <w:lang w:eastAsia="cs-CZ"/>
        </w:rPr>
      </w:pPr>
      <w:bookmarkStart w:id="739" w:name="_Toc515871283"/>
      <w:bookmarkStart w:id="740" w:name="_Toc75952129"/>
      <w:r w:rsidRPr="001C3EC8">
        <w:rPr>
          <w:color w:val="000000" w:themeColor="text1"/>
          <w:lang w:eastAsia="cs-CZ"/>
        </w:rPr>
        <w:t>Vyřizování věcí</w:t>
      </w:r>
      <w:bookmarkEnd w:id="739"/>
      <w:bookmarkEnd w:id="740"/>
    </w:p>
    <w:p w14:paraId="6E6EAE3E" w14:textId="69668456" w:rsidR="008430BD" w:rsidRPr="001C3EC8" w:rsidRDefault="008430BD" w:rsidP="008430BD">
      <w:pPr>
        <w:pStyle w:val="Podnadpis"/>
        <w:rPr>
          <w:color w:val="000000" w:themeColor="text1"/>
        </w:rPr>
      </w:pPr>
      <w:bookmarkStart w:id="741" w:name="_Ref511821018"/>
      <w:bookmarkStart w:id="742" w:name="_Toc515871413"/>
      <w:bookmarkStart w:id="743" w:name="_Toc11135144"/>
      <w:bookmarkStart w:id="744" w:name="_Toc43841466"/>
      <w:bookmarkStart w:id="745" w:name="_Toc7595226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89</w:t>
      </w:r>
      <w:r w:rsidRPr="001C3EC8">
        <w:rPr>
          <w:color w:val="000000" w:themeColor="text1"/>
        </w:rPr>
        <w:fldChar w:fldCharType="end"/>
      </w:r>
      <w:bookmarkEnd w:id="741"/>
      <w:r w:rsidRPr="001C3EC8">
        <w:rPr>
          <w:color w:val="000000" w:themeColor="text1"/>
        </w:rPr>
        <w:t>: VS – vyřizování odvolacích civilních věcí v letech 2008–20</w:t>
      </w:r>
      <w:bookmarkEnd w:id="742"/>
      <w:bookmarkEnd w:id="743"/>
      <w:bookmarkEnd w:id="744"/>
      <w:r w:rsidRPr="001C3EC8">
        <w:rPr>
          <w:color w:val="000000" w:themeColor="text1"/>
        </w:rPr>
        <w:t>20</w:t>
      </w:r>
      <w:bookmarkEnd w:id="745"/>
    </w:p>
    <w:p w14:paraId="271F78EF"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2A069E4C" wp14:editId="78BCA540">
            <wp:extent cx="5114925" cy="3743325"/>
            <wp:effectExtent l="0" t="0" r="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D6F3EC3" w14:textId="77777777" w:rsidR="008430BD" w:rsidRPr="001C3EC8" w:rsidRDefault="008430BD" w:rsidP="008430BD">
      <w:pPr>
        <w:rPr>
          <w:color w:val="000000" w:themeColor="text1"/>
          <w:lang w:eastAsia="cs-CZ"/>
        </w:rPr>
      </w:pPr>
    </w:p>
    <w:p w14:paraId="2FC7CC28" w14:textId="433D307E" w:rsidR="008430BD" w:rsidRPr="001C3EC8" w:rsidRDefault="008430BD" w:rsidP="008430BD">
      <w:pPr>
        <w:pStyle w:val="OdstavecASR"/>
        <w:rPr>
          <w:color w:val="000000" w:themeColor="text1"/>
        </w:rPr>
      </w:pPr>
      <w:bookmarkStart w:id="746" w:name="_Hlk69213758"/>
      <w:r w:rsidRPr="001C3EC8">
        <w:rPr>
          <w:color w:val="000000" w:themeColor="text1"/>
        </w:rPr>
        <w:lastRenderedPageBreak/>
        <w:t xml:space="preserve">Na první pohled zaujme jasný pokles nápadu u obou soudů v posledních letech, který je nepochybně způsoben přesunem prvostupňové obchodní agendy z krajských soudů na soudy okresní. Od roku 2012 klesl počet příchozích věcí </w:t>
      </w:r>
      <w:r w:rsidR="00021FDD" w:rsidRPr="001C3EC8">
        <w:rPr>
          <w:color w:val="000000" w:themeColor="text1"/>
        </w:rPr>
        <w:t>u</w:t>
      </w:r>
      <w:r w:rsidR="00021FDD">
        <w:rPr>
          <w:color w:val="000000" w:themeColor="text1"/>
        </w:rPr>
        <w:t> </w:t>
      </w:r>
      <w:r w:rsidRPr="001C3EC8">
        <w:rPr>
          <w:color w:val="000000" w:themeColor="text1"/>
        </w:rPr>
        <w:t xml:space="preserve">obou soudů více než </w:t>
      </w:r>
      <w:r w:rsidR="00021FDD" w:rsidRPr="001C3EC8">
        <w:rPr>
          <w:color w:val="000000" w:themeColor="text1"/>
        </w:rPr>
        <w:t>o</w:t>
      </w:r>
      <w:r w:rsidR="00021FDD">
        <w:rPr>
          <w:color w:val="000000" w:themeColor="text1"/>
        </w:rPr>
        <w:t> </w:t>
      </w:r>
      <w:r w:rsidRPr="001C3EC8">
        <w:rPr>
          <w:color w:val="000000" w:themeColor="text1"/>
        </w:rPr>
        <w:t xml:space="preserve">polovinu </w:t>
      </w:r>
      <w:r w:rsidR="000D40D2" w:rsidRPr="001C3EC8">
        <w:rPr>
          <w:color w:val="000000" w:themeColor="text1"/>
        </w:rPr>
        <w:t xml:space="preserve">– </w:t>
      </w:r>
      <w:r w:rsidR="00021FDD" w:rsidRPr="001C3EC8">
        <w:rPr>
          <w:color w:val="000000" w:themeColor="text1"/>
        </w:rPr>
        <w:t>u</w:t>
      </w:r>
      <w:r w:rsidR="00021FDD">
        <w:rPr>
          <w:color w:val="000000" w:themeColor="text1"/>
        </w:rPr>
        <w:t> </w:t>
      </w:r>
      <w:r w:rsidRPr="001C3EC8">
        <w:rPr>
          <w:color w:val="000000" w:themeColor="text1"/>
        </w:rPr>
        <w:t xml:space="preserve">VS v Praze </w:t>
      </w:r>
      <w:r w:rsidR="00021FDD" w:rsidRPr="001C3EC8">
        <w:rPr>
          <w:color w:val="000000" w:themeColor="text1"/>
        </w:rPr>
        <w:t>o</w:t>
      </w:r>
      <w:r w:rsidR="00021FDD">
        <w:rPr>
          <w:color w:val="000000" w:themeColor="text1"/>
        </w:rPr>
        <w:t> </w:t>
      </w:r>
      <w:r w:rsidRPr="001C3EC8">
        <w:rPr>
          <w:color w:val="000000" w:themeColor="text1"/>
        </w:rPr>
        <w:t>58</w:t>
      </w:r>
      <w:r w:rsidR="00021FDD">
        <w:rPr>
          <w:color w:val="000000" w:themeColor="text1"/>
        </w:rPr>
        <w:t> </w:t>
      </w:r>
      <w:r w:rsidRPr="001C3EC8">
        <w:rPr>
          <w:color w:val="000000" w:themeColor="text1"/>
        </w:rPr>
        <w:t>%, u</w:t>
      </w:r>
      <w:r w:rsidR="00021FDD">
        <w:rPr>
          <w:color w:val="000000" w:themeColor="text1"/>
        </w:rPr>
        <w:t> </w:t>
      </w:r>
      <w:r w:rsidRPr="001C3EC8">
        <w:rPr>
          <w:color w:val="000000" w:themeColor="text1"/>
        </w:rPr>
        <w:t>VS v Olomouci dokonce o</w:t>
      </w:r>
      <w:r w:rsidR="00021FDD">
        <w:rPr>
          <w:color w:val="000000" w:themeColor="text1"/>
        </w:rPr>
        <w:t> </w:t>
      </w:r>
      <w:r w:rsidRPr="001C3EC8">
        <w:rPr>
          <w:color w:val="000000" w:themeColor="text1"/>
        </w:rPr>
        <w:t>68</w:t>
      </w:r>
      <w:r w:rsidR="00021FDD">
        <w:rPr>
          <w:color w:val="000000" w:themeColor="text1"/>
        </w:rPr>
        <w:t> </w:t>
      </w:r>
      <w:r w:rsidRPr="001C3EC8">
        <w:rPr>
          <w:color w:val="000000" w:themeColor="text1"/>
        </w:rPr>
        <w:t>%.</w:t>
      </w:r>
      <w:r w:rsidR="00E10CA4">
        <w:rPr>
          <w:color w:val="000000" w:themeColor="text1"/>
        </w:rPr>
        <w:t xml:space="preserve"> </w:t>
      </w:r>
      <w:r w:rsidRPr="001C3EC8">
        <w:rPr>
          <w:color w:val="000000" w:themeColor="text1"/>
        </w:rPr>
        <w:t xml:space="preserve">V roce 2020 tento trend pokračuje </w:t>
      </w:r>
      <w:r w:rsidR="00021FDD" w:rsidRPr="001C3EC8">
        <w:rPr>
          <w:color w:val="000000" w:themeColor="text1"/>
        </w:rPr>
        <w:t>u</w:t>
      </w:r>
      <w:r w:rsidR="00021FDD">
        <w:rPr>
          <w:color w:val="000000" w:themeColor="text1"/>
        </w:rPr>
        <w:t> </w:t>
      </w:r>
      <w:r w:rsidRPr="001C3EC8">
        <w:rPr>
          <w:color w:val="000000" w:themeColor="text1"/>
        </w:rPr>
        <w:t>obou soudů.</w:t>
      </w:r>
    </w:p>
    <w:p w14:paraId="09A67C69" w14:textId="35CF56E4" w:rsidR="00B07E76" w:rsidRDefault="008430BD" w:rsidP="008430BD">
      <w:pPr>
        <w:pStyle w:val="OdstavecASR"/>
        <w:rPr>
          <w:color w:val="000000" w:themeColor="text1"/>
        </w:rPr>
      </w:pPr>
      <w:r w:rsidRPr="001C3EC8">
        <w:rPr>
          <w:color w:val="000000" w:themeColor="text1"/>
        </w:rPr>
        <w:t>Z poklesu v nápadu logicky vyplývá pokles v počtu vyřízených věcí. Díky klesajícímu nápadu se oběma soudům nicméně daří vyřizovat více věcí, než napadne a obživne, a úspěšně se jim tak daří snižovat počet nedodělků.</w:t>
      </w:r>
      <w:bookmarkEnd w:id="746"/>
    </w:p>
    <w:p w14:paraId="7411CE1D" w14:textId="170A853F" w:rsidR="008430BD" w:rsidRPr="001C3EC8" w:rsidRDefault="008430BD" w:rsidP="008430BD">
      <w:pPr>
        <w:pStyle w:val="Nadpis3"/>
        <w:numPr>
          <w:ilvl w:val="2"/>
          <w:numId w:val="1"/>
        </w:numPr>
        <w:rPr>
          <w:color w:val="000000" w:themeColor="text1"/>
          <w:lang w:eastAsia="cs-CZ"/>
        </w:rPr>
      </w:pPr>
      <w:bookmarkStart w:id="747" w:name="_Toc515871284"/>
      <w:bookmarkStart w:id="748" w:name="_Toc75952130"/>
      <w:r w:rsidRPr="001C3EC8">
        <w:rPr>
          <w:color w:val="000000" w:themeColor="text1"/>
          <w:lang w:eastAsia="cs-CZ"/>
        </w:rPr>
        <w:t>Vyřizování v přepočtu na soudce</w:t>
      </w:r>
      <w:bookmarkEnd w:id="747"/>
      <w:bookmarkEnd w:id="748"/>
    </w:p>
    <w:p w14:paraId="6A1D3614" w14:textId="1334F48B" w:rsidR="008430BD" w:rsidRPr="001C3EC8" w:rsidRDefault="008430BD" w:rsidP="008430BD">
      <w:pPr>
        <w:pStyle w:val="OdstavecASR"/>
        <w:rPr>
          <w:color w:val="000000" w:themeColor="text1"/>
        </w:rPr>
      </w:pPr>
      <w:r w:rsidRPr="001C3EC8">
        <w:rPr>
          <w:color w:val="000000" w:themeColor="text1"/>
        </w:rPr>
        <w:t>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w:t>
      </w:r>
      <w:proofErr w:type="spellStart"/>
      <w:r w:rsidRPr="001C3EC8">
        <w:rPr>
          <w:color w:val="000000" w:themeColor="text1"/>
        </w:rPr>
        <w:t>Cmo</w:t>
      </w:r>
      <w:proofErr w:type="spellEnd"/>
      <w:r w:rsidRPr="001C3EC8">
        <w:rPr>
          <w:color w:val="000000" w:themeColor="text1"/>
        </w:rPr>
        <w:t xml:space="preserve">. Záleží také na zapojení dalších soudních zaměstnanců ve výkonu i na poměru počtu věcí v rejstříku Co k počtu věcí v rejstříku </w:t>
      </w:r>
      <w:proofErr w:type="spellStart"/>
      <w:r w:rsidRPr="001C3EC8">
        <w:rPr>
          <w:color w:val="000000" w:themeColor="text1"/>
        </w:rPr>
        <w:t>Cmo</w:t>
      </w:r>
      <w:proofErr w:type="spellEnd"/>
      <w:r w:rsidRPr="001C3EC8">
        <w:rPr>
          <w:color w:val="000000" w:themeColor="text1"/>
        </w:rPr>
        <w:t xml:space="preserve">. Počet nevyřízených věcí na jednoho soudce je ale u VS v Praze zcela bezpochyby vyšší než u soudu v Olomouci, což plyne především z dřívějších let. Rozdíl je opravdu velký – </w:t>
      </w:r>
      <w:r w:rsidR="00021FDD" w:rsidRPr="001C3EC8">
        <w:rPr>
          <w:color w:val="000000" w:themeColor="text1"/>
        </w:rPr>
        <w:t>u</w:t>
      </w:r>
      <w:r w:rsidR="00021FDD">
        <w:rPr>
          <w:color w:val="000000" w:themeColor="text1"/>
        </w:rPr>
        <w:t> </w:t>
      </w:r>
      <w:r w:rsidRPr="001C3EC8">
        <w:rPr>
          <w:color w:val="000000" w:themeColor="text1"/>
        </w:rPr>
        <w:t xml:space="preserve">VS v Praze připadá na soudce asi šestinásobek nevyřízených věcí oproti VS v Olomouci. Počet nevyřízených věcí na soudce </w:t>
      </w:r>
      <w:r w:rsidR="00021FDD" w:rsidRPr="001C3EC8">
        <w:rPr>
          <w:color w:val="000000" w:themeColor="text1"/>
        </w:rPr>
        <w:t>u</w:t>
      </w:r>
      <w:r w:rsidR="00021FDD">
        <w:rPr>
          <w:color w:val="000000" w:themeColor="text1"/>
        </w:rPr>
        <w:t> </w:t>
      </w:r>
      <w:r w:rsidRPr="001C3EC8">
        <w:rPr>
          <w:color w:val="000000" w:themeColor="text1"/>
        </w:rPr>
        <w:t>obou soudů klesl, což plyne z poklesu celkového počtu nevyřízených věcí, který zase plyne z poklesu v počtu příchozích věcí. Jak vyplývá z </w:t>
      </w:r>
      <w:r w:rsidR="000D40D2" w:rsidRPr="001C3EC8">
        <w:rPr>
          <w:color w:val="000000" w:themeColor="text1"/>
        </w:rPr>
        <w:t>těchto dat</w:t>
      </w:r>
      <w:r w:rsidRPr="001C3EC8">
        <w:rPr>
          <w:color w:val="000000" w:themeColor="text1"/>
        </w:rPr>
        <w:t xml:space="preserve">, </w:t>
      </w:r>
      <w:r w:rsidR="000D40D2" w:rsidRPr="001C3EC8">
        <w:rPr>
          <w:color w:val="000000" w:themeColor="text1"/>
        </w:rPr>
        <w:t xml:space="preserve">došlo </w:t>
      </w:r>
      <w:r w:rsidR="00021FDD" w:rsidRPr="001C3EC8">
        <w:rPr>
          <w:color w:val="000000" w:themeColor="text1"/>
        </w:rPr>
        <w:t>i</w:t>
      </w:r>
      <w:r w:rsidR="00021FDD">
        <w:rPr>
          <w:color w:val="000000" w:themeColor="text1"/>
        </w:rPr>
        <w:t> </w:t>
      </w:r>
      <w:r w:rsidR="00021FDD" w:rsidRPr="001C3EC8">
        <w:rPr>
          <w:color w:val="000000" w:themeColor="text1"/>
        </w:rPr>
        <w:t>k</w:t>
      </w:r>
      <w:r w:rsidR="00021FDD">
        <w:rPr>
          <w:color w:val="000000" w:themeColor="text1"/>
        </w:rPr>
        <w:t> </w:t>
      </w:r>
      <w:r w:rsidRPr="001C3EC8">
        <w:rPr>
          <w:color w:val="000000" w:themeColor="text1"/>
        </w:rPr>
        <w:t>pokles</w:t>
      </w:r>
      <w:r w:rsidR="000D40D2" w:rsidRPr="001C3EC8">
        <w:rPr>
          <w:color w:val="000000" w:themeColor="text1"/>
        </w:rPr>
        <w:t>u</w:t>
      </w:r>
      <w:r w:rsidRPr="001C3EC8">
        <w:rPr>
          <w:color w:val="000000" w:themeColor="text1"/>
        </w:rPr>
        <w:t xml:space="preserve"> poč</w:t>
      </w:r>
      <w:r w:rsidR="00FF5673" w:rsidRPr="001C3EC8">
        <w:rPr>
          <w:color w:val="000000" w:themeColor="text1"/>
        </w:rPr>
        <w:t>tu</w:t>
      </w:r>
      <w:r w:rsidRPr="001C3EC8">
        <w:rPr>
          <w:color w:val="000000" w:themeColor="text1"/>
        </w:rPr>
        <w:t xml:space="preserve"> příchozích věcí na soudce, </w:t>
      </w:r>
      <w:r w:rsidR="00021FDD" w:rsidRPr="001C3EC8">
        <w:rPr>
          <w:color w:val="000000" w:themeColor="text1"/>
        </w:rPr>
        <w:t>a</w:t>
      </w:r>
      <w:r w:rsidR="00021FDD">
        <w:rPr>
          <w:color w:val="000000" w:themeColor="text1"/>
        </w:rPr>
        <w:t> </w:t>
      </w:r>
      <w:r w:rsidRPr="001C3EC8">
        <w:rPr>
          <w:color w:val="000000" w:themeColor="text1"/>
        </w:rPr>
        <w:t xml:space="preserve">to především </w:t>
      </w:r>
      <w:r w:rsidR="00021FDD" w:rsidRPr="001C3EC8">
        <w:rPr>
          <w:color w:val="000000" w:themeColor="text1"/>
        </w:rPr>
        <w:t>u</w:t>
      </w:r>
      <w:r w:rsidR="00021FDD">
        <w:rPr>
          <w:color w:val="000000" w:themeColor="text1"/>
        </w:rPr>
        <w:t> </w:t>
      </w:r>
      <w:r w:rsidRPr="001C3EC8">
        <w:rPr>
          <w:color w:val="000000" w:themeColor="text1"/>
        </w:rPr>
        <w:t xml:space="preserve">VS v Olomouci, kde klesl téměř </w:t>
      </w:r>
      <w:r w:rsidR="00021FDD" w:rsidRPr="001C3EC8">
        <w:rPr>
          <w:color w:val="000000" w:themeColor="text1"/>
        </w:rPr>
        <w:t>o</w:t>
      </w:r>
      <w:r w:rsidR="00021FDD">
        <w:rPr>
          <w:color w:val="000000" w:themeColor="text1"/>
        </w:rPr>
        <w:t> </w:t>
      </w:r>
      <w:r w:rsidRPr="001C3EC8">
        <w:rPr>
          <w:color w:val="000000" w:themeColor="text1"/>
        </w:rPr>
        <w:t>čtvrtinu.</w:t>
      </w:r>
    </w:p>
    <w:p w14:paraId="7DB08DBB" w14:textId="1B388813" w:rsidR="008430BD" w:rsidRPr="001C3EC8" w:rsidRDefault="008430BD" w:rsidP="008430BD">
      <w:pPr>
        <w:pStyle w:val="Podnadpis"/>
        <w:rPr>
          <w:color w:val="000000" w:themeColor="text1"/>
        </w:rPr>
      </w:pPr>
      <w:bookmarkStart w:id="749" w:name="_Toc43931251"/>
      <w:bookmarkStart w:id="750" w:name="_Toc75952385"/>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82</w:t>
      </w:r>
      <w:r w:rsidRPr="001C3EC8">
        <w:rPr>
          <w:color w:val="000000" w:themeColor="text1"/>
        </w:rPr>
        <w:fldChar w:fldCharType="end"/>
      </w:r>
      <w:r w:rsidRPr="001C3EC8">
        <w:rPr>
          <w:color w:val="000000" w:themeColor="text1"/>
        </w:rPr>
        <w:t>: VS – vyřizování odvolacích civilních věcí na soudce</w:t>
      </w:r>
      <w:bookmarkEnd w:id="749"/>
      <w:bookmarkEnd w:id="750"/>
    </w:p>
    <w:tbl>
      <w:tblPr>
        <w:tblW w:w="7720" w:type="dxa"/>
        <w:tblCellMar>
          <w:left w:w="70" w:type="dxa"/>
          <w:right w:w="70" w:type="dxa"/>
        </w:tblCellMar>
        <w:tblLook w:val="04A0" w:firstRow="1" w:lastRow="0" w:firstColumn="1" w:lastColumn="0" w:noHBand="0" w:noVBand="1"/>
      </w:tblPr>
      <w:tblGrid>
        <w:gridCol w:w="2020"/>
        <w:gridCol w:w="673"/>
        <w:gridCol w:w="1304"/>
        <w:gridCol w:w="672"/>
        <w:gridCol w:w="1304"/>
        <w:gridCol w:w="672"/>
        <w:gridCol w:w="1075"/>
      </w:tblGrid>
      <w:tr w:rsidR="008430BD" w:rsidRPr="001C3EC8" w14:paraId="7AF4446F"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93A316C" w14:textId="34C1F238"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700" w:type="dxa"/>
            <w:gridSpan w:val="6"/>
            <w:tcBorders>
              <w:top w:val="double" w:sz="6" w:space="0" w:color="auto"/>
              <w:left w:val="nil"/>
              <w:bottom w:val="nil"/>
              <w:right w:val="nil"/>
            </w:tcBorders>
            <w:shd w:val="clear" w:color="auto" w:fill="auto"/>
            <w:noWrap/>
            <w:vAlign w:val="center"/>
            <w:hideMark/>
          </w:tcPr>
          <w:p w14:paraId="4886EB0E"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 na soudce</w:t>
            </w:r>
          </w:p>
        </w:tc>
      </w:tr>
      <w:tr w:rsidR="008430BD" w:rsidRPr="001C3EC8" w14:paraId="18832E7B"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07F25A0D"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977" w:type="dxa"/>
            <w:gridSpan w:val="2"/>
            <w:tcBorders>
              <w:top w:val="nil"/>
              <w:left w:val="nil"/>
              <w:bottom w:val="double" w:sz="6" w:space="0" w:color="auto"/>
              <w:right w:val="nil"/>
            </w:tcBorders>
            <w:shd w:val="clear" w:color="auto" w:fill="auto"/>
            <w:noWrap/>
            <w:vAlign w:val="center"/>
            <w:hideMark/>
          </w:tcPr>
          <w:p w14:paraId="777564C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7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DA85878"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747" w:type="dxa"/>
            <w:gridSpan w:val="2"/>
            <w:tcBorders>
              <w:top w:val="nil"/>
              <w:left w:val="nil"/>
              <w:bottom w:val="double" w:sz="6" w:space="0" w:color="auto"/>
              <w:right w:val="nil"/>
            </w:tcBorders>
            <w:shd w:val="clear" w:color="auto" w:fill="auto"/>
            <w:noWrap/>
            <w:vAlign w:val="center"/>
            <w:hideMark/>
          </w:tcPr>
          <w:p w14:paraId="6E56F1B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8430BD" w:rsidRPr="001C3EC8" w14:paraId="5974E5A8"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B9ADF0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 Praha</w:t>
            </w:r>
          </w:p>
        </w:tc>
        <w:tc>
          <w:tcPr>
            <w:tcW w:w="673" w:type="dxa"/>
            <w:tcBorders>
              <w:top w:val="single" w:sz="4" w:space="0" w:color="auto"/>
              <w:left w:val="nil"/>
              <w:bottom w:val="single" w:sz="4" w:space="0" w:color="auto"/>
              <w:right w:val="nil"/>
            </w:tcBorders>
            <w:shd w:val="clear" w:color="auto" w:fill="auto"/>
            <w:noWrap/>
            <w:vAlign w:val="bottom"/>
            <w:hideMark/>
          </w:tcPr>
          <w:p w14:paraId="7F6BE2A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60</w:t>
            </w:r>
          </w:p>
        </w:tc>
        <w:tc>
          <w:tcPr>
            <w:tcW w:w="1304" w:type="dxa"/>
            <w:tcBorders>
              <w:top w:val="single" w:sz="4" w:space="0" w:color="auto"/>
              <w:left w:val="nil"/>
              <w:bottom w:val="single" w:sz="4" w:space="0" w:color="auto"/>
              <w:right w:val="nil"/>
            </w:tcBorders>
            <w:shd w:val="clear" w:color="auto" w:fill="auto"/>
            <w:noWrap/>
            <w:vAlign w:val="center"/>
            <w:hideMark/>
          </w:tcPr>
          <w:p w14:paraId="68E39827" w14:textId="1A8FA533"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6</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672" w:type="dxa"/>
            <w:tcBorders>
              <w:top w:val="single" w:sz="4" w:space="0" w:color="auto"/>
              <w:left w:val="single" w:sz="4" w:space="0" w:color="auto"/>
              <w:bottom w:val="single" w:sz="4" w:space="0" w:color="auto"/>
              <w:right w:val="nil"/>
            </w:tcBorders>
            <w:shd w:val="clear" w:color="auto" w:fill="auto"/>
            <w:noWrap/>
            <w:vAlign w:val="bottom"/>
            <w:hideMark/>
          </w:tcPr>
          <w:p w14:paraId="7E510EDE"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63</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14:paraId="06B460C6" w14:textId="1E543C9E"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4</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672" w:type="dxa"/>
            <w:tcBorders>
              <w:top w:val="single" w:sz="4" w:space="0" w:color="auto"/>
              <w:left w:val="nil"/>
              <w:bottom w:val="single" w:sz="4" w:space="0" w:color="auto"/>
              <w:right w:val="nil"/>
            </w:tcBorders>
            <w:shd w:val="clear" w:color="auto" w:fill="auto"/>
            <w:noWrap/>
            <w:vAlign w:val="bottom"/>
            <w:hideMark/>
          </w:tcPr>
          <w:p w14:paraId="50F144C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31</w:t>
            </w:r>
          </w:p>
        </w:tc>
        <w:tc>
          <w:tcPr>
            <w:tcW w:w="1075" w:type="dxa"/>
            <w:tcBorders>
              <w:top w:val="single" w:sz="4" w:space="0" w:color="auto"/>
              <w:left w:val="nil"/>
              <w:bottom w:val="single" w:sz="4" w:space="0" w:color="auto"/>
              <w:right w:val="nil"/>
            </w:tcBorders>
            <w:shd w:val="clear" w:color="auto" w:fill="auto"/>
            <w:noWrap/>
            <w:vAlign w:val="center"/>
            <w:hideMark/>
          </w:tcPr>
          <w:p w14:paraId="52E94124" w14:textId="55E60ED1"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9</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r>
      <w:tr w:rsidR="008430BD" w:rsidRPr="001C3EC8" w14:paraId="5B5D4FD7" w14:textId="77777777" w:rsidTr="00E077F3">
        <w:trPr>
          <w:trHeight w:val="330"/>
        </w:trPr>
        <w:tc>
          <w:tcPr>
            <w:tcW w:w="2020" w:type="dxa"/>
            <w:tcBorders>
              <w:top w:val="nil"/>
              <w:left w:val="nil"/>
              <w:bottom w:val="nil"/>
              <w:right w:val="nil"/>
            </w:tcBorders>
            <w:shd w:val="clear" w:color="auto" w:fill="auto"/>
            <w:noWrap/>
            <w:vAlign w:val="bottom"/>
            <w:hideMark/>
          </w:tcPr>
          <w:p w14:paraId="749B473A"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 Olomouc</w:t>
            </w:r>
          </w:p>
        </w:tc>
        <w:tc>
          <w:tcPr>
            <w:tcW w:w="673" w:type="dxa"/>
            <w:tcBorders>
              <w:top w:val="nil"/>
              <w:left w:val="nil"/>
              <w:bottom w:val="nil"/>
              <w:right w:val="nil"/>
            </w:tcBorders>
            <w:shd w:val="clear" w:color="auto" w:fill="auto"/>
            <w:noWrap/>
            <w:vAlign w:val="bottom"/>
            <w:hideMark/>
          </w:tcPr>
          <w:p w14:paraId="04087D2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1304" w:type="dxa"/>
            <w:tcBorders>
              <w:top w:val="nil"/>
              <w:left w:val="nil"/>
              <w:bottom w:val="nil"/>
              <w:right w:val="nil"/>
            </w:tcBorders>
            <w:shd w:val="clear" w:color="auto" w:fill="auto"/>
            <w:noWrap/>
            <w:vAlign w:val="center"/>
            <w:hideMark/>
          </w:tcPr>
          <w:p w14:paraId="54B6D9A0" w14:textId="6C94C9B4"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-24 </w:t>
            </w:r>
            <w:r w:rsidR="00B07E76">
              <w:rPr>
                <w:rFonts w:eastAsia="Times New Roman"/>
                <w:color w:val="000000" w:themeColor="text1"/>
                <w:sz w:val="20"/>
                <w:szCs w:val="20"/>
                <w:lang w:eastAsia="cs-CZ"/>
              </w:rPr>
              <w:t>%</w:t>
            </w:r>
          </w:p>
        </w:tc>
        <w:tc>
          <w:tcPr>
            <w:tcW w:w="672" w:type="dxa"/>
            <w:tcBorders>
              <w:top w:val="nil"/>
              <w:left w:val="single" w:sz="4" w:space="0" w:color="auto"/>
              <w:bottom w:val="nil"/>
              <w:right w:val="nil"/>
            </w:tcBorders>
            <w:shd w:val="clear" w:color="auto" w:fill="auto"/>
            <w:noWrap/>
            <w:vAlign w:val="bottom"/>
            <w:hideMark/>
          </w:tcPr>
          <w:p w14:paraId="05C7A46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40</w:t>
            </w:r>
          </w:p>
        </w:tc>
        <w:tc>
          <w:tcPr>
            <w:tcW w:w="1304" w:type="dxa"/>
            <w:tcBorders>
              <w:top w:val="nil"/>
              <w:left w:val="nil"/>
              <w:bottom w:val="nil"/>
              <w:right w:val="single" w:sz="4" w:space="0" w:color="auto"/>
            </w:tcBorders>
            <w:shd w:val="clear" w:color="auto" w:fill="auto"/>
            <w:noWrap/>
            <w:vAlign w:val="center"/>
            <w:hideMark/>
          </w:tcPr>
          <w:p w14:paraId="56FA854A" w14:textId="7415CA28"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-28 </w:t>
            </w:r>
            <w:r w:rsidR="00B07E76">
              <w:rPr>
                <w:rFonts w:eastAsia="Times New Roman"/>
                <w:color w:val="000000" w:themeColor="text1"/>
                <w:sz w:val="20"/>
                <w:szCs w:val="20"/>
                <w:lang w:eastAsia="cs-CZ"/>
              </w:rPr>
              <w:t>%</w:t>
            </w:r>
          </w:p>
        </w:tc>
        <w:tc>
          <w:tcPr>
            <w:tcW w:w="672" w:type="dxa"/>
            <w:tcBorders>
              <w:top w:val="nil"/>
              <w:left w:val="nil"/>
              <w:bottom w:val="nil"/>
              <w:right w:val="nil"/>
            </w:tcBorders>
            <w:shd w:val="clear" w:color="auto" w:fill="auto"/>
            <w:noWrap/>
            <w:vAlign w:val="bottom"/>
            <w:hideMark/>
          </w:tcPr>
          <w:p w14:paraId="63D8567A"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5</w:t>
            </w:r>
          </w:p>
        </w:tc>
        <w:tc>
          <w:tcPr>
            <w:tcW w:w="1075" w:type="dxa"/>
            <w:tcBorders>
              <w:top w:val="nil"/>
              <w:left w:val="nil"/>
              <w:bottom w:val="nil"/>
              <w:right w:val="nil"/>
            </w:tcBorders>
            <w:shd w:val="clear" w:color="auto" w:fill="auto"/>
            <w:noWrap/>
            <w:vAlign w:val="center"/>
            <w:hideMark/>
          </w:tcPr>
          <w:p w14:paraId="7D7A640D" w14:textId="76926EB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3</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r>
      <w:tr w:rsidR="008430BD" w:rsidRPr="001C3EC8" w14:paraId="5C3F8343" w14:textId="77777777" w:rsidTr="00E077F3">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25CCD488"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673" w:type="dxa"/>
            <w:tcBorders>
              <w:top w:val="double" w:sz="6" w:space="0" w:color="auto"/>
              <w:left w:val="nil"/>
              <w:bottom w:val="double" w:sz="6" w:space="0" w:color="auto"/>
              <w:right w:val="nil"/>
            </w:tcBorders>
            <w:shd w:val="clear" w:color="auto" w:fill="auto"/>
            <w:noWrap/>
            <w:vAlign w:val="bottom"/>
            <w:hideMark/>
          </w:tcPr>
          <w:p w14:paraId="3E022EB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54</w:t>
            </w:r>
          </w:p>
        </w:tc>
        <w:tc>
          <w:tcPr>
            <w:tcW w:w="1304" w:type="dxa"/>
            <w:tcBorders>
              <w:top w:val="double" w:sz="6" w:space="0" w:color="auto"/>
              <w:left w:val="nil"/>
              <w:bottom w:val="double" w:sz="6" w:space="0" w:color="auto"/>
              <w:right w:val="nil"/>
            </w:tcBorders>
            <w:shd w:val="clear" w:color="auto" w:fill="auto"/>
            <w:noWrap/>
            <w:vAlign w:val="center"/>
            <w:hideMark/>
          </w:tcPr>
          <w:p w14:paraId="74C5E223" w14:textId="1606EB59"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-10 </w:t>
            </w:r>
            <w:r w:rsidR="00B07E76">
              <w:rPr>
                <w:rFonts w:eastAsia="Times New Roman"/>
                <w:b/>
                <w:bCs/>
                <w:color w:val="000000" w:themeColor="text1"/>
                <w:sz w:val="20"/>
                <w:szCs w:val="20"/>
                <w:lang w:eastAsia="cs-CZ"/>
              </w:rPr>
              <w:t>%</w:t>
            </w:r>
          </w:p>
        </w:tc>
        <w:tc>
          <w:tcPr>
            <w:tcW w:w="672" w:type="dxa"/>
            <w:tcBorders>
              <w:top w:val="double" w:sz="6" w:space="0" w:color="auto"/>
              <w:left w:val="single" w:sz="4" w:space="0" w:color="auto"/>
              <w:bottom w:val="double" w:sz="6" w:space="0" w:color="auto"/>
              <w:right w:val="nil"/>
            </w:tcBorders>
            <w:shd w:val="clear" w:color="auto" w:fill="auto"/>
            <w:noWrap/>
            <w:vAlign w:val="bottom"/>
            <w:hideMark/>
          </w:tcPr>
          <w:p w14:paraId="66814E80"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56</w:t>
            </w:r>
          </w:p>
        </w:tc>
        <w:tc>
          <w:tcPr>
            <w:tcW w:w="1304" w:type="dxa"/>
            <w:tcBorders>
              <w:top w:val="double" w:sz="6" w:space="0" w:color="auto"/>
              <w:left w:val="nil"/>
              <w:bottom w:val="double" w:sz="6" w:space="0" w:color="auto"/>
              <w:right w:val="single" w:sz="4" w:space="0" w:color="auto"/>
            </w:tcBorders>
            <w:shd w:val="clear" w:color="auto" w:fill="auto"/>
            <w:noWrap/>
            <w:vAlign w:val="center"/>
            <w:hideMark/>
          </w:tcPr>
          <w:p w14:paraId="09AD7306" w14:textId="0D7A182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-11 </w:t>
            </w:r>
            <w:r w:rsidR="00B07E76">
              <w:rPr>
                <w:rFonts w:eastAsia="Times New Roman"/>
                <w:b/>
                <w:bCs/>
                <w:color w:val="000000" w:themeColor="text1"/>
                <w:sz w:val="20"/>
                <w:szCs w:val="20"/>
                <w:lang w:eastAsia="cs-CZ"/>
              </w:rPr>
              <w:t>%</w:t>
            </w:r>
          </w:p>
        </w:tc>
        <w:tc>
          <w:tcPr>
            <w:tcW w:w="672" w:type="dxa"/>
            <w:tcBorders>
              <w:top w:val="double" w:sz="6" w:space="0" w:color="auto"/>
              <w:left w:val="nil"/>
              <w:bottom w:val="double" w:sz="6" w:space="0" w:color="auto"/>
              <w:right w:val="nil"/>
            </w:tcBorders>
            <w:shd w:val="clear" w:color="auto" w:fill="auto"/>
            <w:noWrap/>
            <w:vAlign w:val="bottom"/>
            <w:hideMark/>
          </w:tcPr>
          <w:p w14:paraId="5E225D95"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23</w:t>
            </w:r>
          </w:p>
        </w:tc>
        <w:tc>
          <w:tcPr>
            <w:tcW w:w="1075" w:type="dxa"/>
            <w:tcBorders>
              <w:top w:val="double" w:sz="6" w:space="0" w:color="auto"/>
              <w:left w:val="nil"/>
              <w:bottom w:val="double" w:sz="6" w:space="0" w:color="auto"/>
              <w:right w:val="nil"/>
            </w:tcBorders>
            <w:shd w:val="clear" w:color="auto" w:fill="auto"/>
            <w:noWrap/>
            <w:vAlign w:val="center"/>
            <w:hideMark/>
          </w:tcPr>
          <w:p w14:paraId="676D0401" w14:textId="3D2055BB"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021FDD" w:rsidRPr="001C3EC8">
              <w:rPr>
                <w:rFonts w:eastAsia="Times New Roman"/>
                <w:b/>
                <w:bCs/>
                <w:color w:val="000000" w:themeColor="text1"/>
                <w:sz w:val="20"/>
                <w:szCs w:val="20"/>
                <w:lang w:eastAsia="cs-CZ"/>
              </w:rPr>
              <w:t>8</w:t>
            </w:r>
            <w:r w:rsidR="00021FDD">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r>
    </w:tbl>
    <w:p w14:paraId="0B9B8692" w14:textId="77777777" w:rsidR="008430BD" w:rsidRPr="001C3EC8" w:rsidRDefault="008430BD" w:rsidP="008430BD">
      <w:pPr>
        <w:pStyle w:val="Nadpis3"/>
        <w:numPr>
          <w:ilvl w:val="2"/>
          <w:numId w:val="1"/>
        </w:numPr>
        <w:rPr>
          <w:color w:val="000000" w:themeColor="text1"/>
          <w:lang w:eastAsia="cs-CZ"/>
        </w:rPr>
      </w:pPr>
      <w:bookmarkStart w:id="751" w:name="_Toc515871285"/>
      <w:bookmarkStart w:id="752" w:name="_Toc75952131"/>
      <w:proofErr w:type="spellStart"/>
      <w:r w:rsidRPr="001C3EC8">
        <w:rPr>
          <w:color w:val="000000" w:themeColor="text1"/>
          <w:lang w:eastAsia="cs-CZ"/>
        </w:rPr>
        <w:t>Disposition</w:t>
      </w:r>
      <w:proofErr w:type="spellEnd"/>
      <w:r w:rsidRPr="001C3EC8">
        <w:rPr>
          <w:color w:val="000000" w:themeColor="text1"/>
          <w:lang w:eastAsia="cs-CZ"/>
        </w:rPr>
        <w:t xml:space="preserve"> </w:t>
      </w:r>
      <w:proofErr w:type="spellStart"/>
      <w:r w:rsidRPr="001C3EC8">
        <w:rPr>
          <w:color w:val="000000" w:themeColor="text1"/>
          <w:lang w:eastAsia="cs-CZ"/>
        </w:rPr>
        <w:t>time</w:t>
      </w:r>
      <w:bookmarkEnd w:id="751"/>
      <w:proofErr w:type="spellEnd"/>
      <w:r w:rsidRPr="001C3EC8">
        <w:rPr>
          <w:color w:val="000000" w:themeColor="text1"/>
          <w:lang w:eastAsia="cs-CZ"/>
        </w:rPr>
        <w:t xml:space="preserve"> (dispoziční čas)</w:t>
      </w:r>
      <w:bookmarkEnd w:id="752"/>
    </w:p>
    <w:p w14:paraId="688651B9" w14:textId="35D9F403" w:rsidR="008430BD" w:rsidRPr="001C3EC8" w:rsidRDefault="008430BD" w:rsidP="008430BD">
      <w:pPr>
        <w:pStyle w:val="OdstavecASR"/>
        <w:rPr>
          <w:color w:val="000000" w:themeColor="text1"/>
        </w:rPr>
      </w:pP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a jeho vývoj vyplývá z výše uvedených faktů a ukazatelů. Vrchní soud v Olomouci vykazuje výrazně nižší DT než Vrchní soud v Praze. DT Vrchního soudu v Olomouci v roce 2010 výrazně klesl díky poklesu v počtu nevyřízených věcí. Naopak DT u VS Praha v letech 2011 až 2013 narostl díky většímu počtu nevyřízených věcí. DT u obou soudů v následujících letech stagnoval, protože podobným tempem klesal počet vyřízených i nevyřízených věcí. V roce 2017 (a v roce 2016 u VS Olomouc) DT stoupl, protože počet vyřízených věcí klesal rychleji než počet nevyřízených věcí. V roce 2018 DT klesl především </w:t>
      </w:r>
      <w:r w:rsidR="00021FDD" w:rsidRPr="001C3EC8">
        <w:rPr>
          <w:color w:val="000000" w:themeColor="text1"/>
        </w:rPr>
        <w:t>u</w:t>
      </w:r>
      <w:r w:rsidR="00021FDD">
        <w:rPr>
          <w:color w:val="000000" w:themeColor="text1"/>
        </w:rPr>
        <w:t> </w:t>
      </w:r>
      <w:r w:rsidRPr="001C3EC8">
        <w:rPr>
          <w:color w:val="000000" w:themeColor="text1"/>
        </w:rPr>
        <w:t xml:space="preserve">VS Praha, </w:t>
      </w:r>
      <w:r w:rsidR="00021FDD" w:rsidRPr="001C3EC8">
        <w:rPr>
          <w:color w:val="000000" w:themeColor="text1"/>
        </w:rPr>
        <w:t>a</w:t>
      </w:r>
      <w:r w:rsidR="00021FDD">
        <w:rPr>
          <w:color w:val="000000" w:themeColor="text1"/>
        </w:rPr>
        <w:t> </w:t>
      </w:r>
      <w:r w:rsidRPr="001C3EC8">
        <w:rPr>
          <w:color w:val="000000" w:themeColor="text1"/>
        </w:rPr>
        <w:t xml:space="preserve">to díky poklesu v počtu nevyřízených věcí. V roce 2019 se rozdíl mezi soudy opět výrazně zvětšil, </w:t>
      </w:r>
      <w:r w:rsidR="00021FDD" w:rsidRPr="001C3EC8">
        <w:rPr>
          <w:color w:val="000000" w:themeColor="text1"/>
        </w:rPr>
        <w:t>a</w:t>
      </w:r>
      <w:r w:rsidR="00021FDD">
        <w:rPr>
          <w:color w:val="000000" w:themeColor="text1"/>
        </w:rPr>
        <w:t> </w:t>
      </w:r>
      <w:r w:rsidRPr="001C3EC8">
        <w:rPr>
          <w:color w:val="000000" w:themeColor="text1"/>
        </w:rPr>
        <w:t xml:space="preserve">to hlavně díky poklesu DT </w:t>
      </w:r>
      <w:r w:rsidR="00021FDD" w:rsidRPr="001C3EC8">
        <w:rPr>
          <w:color w:val="000000" w:themeColor="text1"/>
        </w:rPr>
        <w:t>u</w:t>
      </w:r>
      <w:r w:rsidR="00021FDD">
        <w:rPr>
          <w:color w:val="000000" w:themeColor="text1"/>
        </w:rPr>
        <w:t> </w:t>
      </w:r>
      <w:r w:rsidRPr="001C3EC8">
        <w:rPr>
          <w:color w:val="000000" w:themeColor="text1"/>
        </w:rPr>
        <w:t xml:space="preserve">VS v Olomouci. Ten klesl díky výše zmíněnému signifikantnímu poklesu v počtu nevyřízených věcí. V roce 2020 DT mírně klesl </w:t>
      </w:r>
      <w:r w:rsidR="00021FDD" w:rsidRPr="001C3EC8">
        <w:rPr>
          <w:color w:val="000000" w:themeColor="text1"/>
        </w:rPr>
        <w:t>u</w:t>
      </w:r>
      <w:r w:rsidR="00021FDD">
        <w:rPr>
          <w:color w:val="000000" w:themeColor="text1"/>
        </w:rPr>
        <w:t> </w:t>
      </w:r>
      <w:r w:rsidRPr="001C3EC8">
        <w:rPr>
          <w:color w:val="000000" w:themeColor="text1"/>
        </w:rPr>
        <w:t xml:space="preserve">VS v Praze </w:t>
      </w:r>
      <w:r w:rsidR="00021FDD" w:rsidRPr="001C3EC8">
        <w:rPr>
          <w:color w:val="000000" w:themeColor="text1"/>
        </w:rPr>
        <w:t>a</w:t>
      </w:r>
      <w:r w:rsidR="00021FDD">
        <w:rPr>
          <w:color w:val="000000" w:themeColor="text1"/>
        </w:rPr>
        <w:t> </w:t>
      </w:r>
      <w:r w:rsidRPr="001C3EC8">
        <w:rPr>
          <w:color w:val="000000" w:themeColor="text1"/>
        </w:rPr>
        <w:t xml:space="preserve">mírně stoupl </w:t>
      </w:r>
      <w:r w:rsidR="00021FDD" w:rsidRPr="001C3EC8">
        <w:rPr>
          <w:color w:val="000000" w:themeColor="text1"/>
        </w:rPr>
        <w:t>u</w:t>
      </w:r>
      <w:r w:rsidR="00021FDD">
        <w:rPr>
          <w:color w:val="000000" w:themeColor="text1"/>
        </w:rPr>
        <w:t> </w:t>
      </w:r>
      <w:r w:rsidRPr="001C3EC8">
        <w:rPr>
          <w:color w:val="000000" w:themeColor="text1"/>
        </w:rPr>
        <w:t xml:space="preserve">VS v Olomouci, což plyne z vývoje vyřízených </w:t>
      </w:r>
      <w:r w:rsidR="00021FDD" w:rsidRPr="001C3EC8">
        <w:rPr>
          <w:color w:val="000000" w:themeColor="text1"/>
        </w:rPr>
        <w:t>a</w:t>
      </w:r>
      <w:r w:rsidR="00021FDD">
        <w:rPr>
          <w:color w:val="000000" w:themeColor="text1"/>
        </w:rPr>
        <w:t> </w:t>
      </w:r>
      <w:r w:rsidRPr="001C3EC8">
        <w:rPr>
          <w:color w:val="000000" w:themeColor="text1"/>
        </w:rPr>
        <w:t xml:space="preserve">nevyřízených věcí. Nejedná se </w:t>
      </w:r>
      <w:r w:rsidR="000D40D2" w:rsidRPr="001C3EC8">
        <w:rPr>
          <w:color w:val="000000" w:themeColor="text1"/>
        </w:rPr>
        <w:t xml:space="preserve">však </w:t>
      </w:r>
      <w:r w:rsidR="00021FDD" w:rsidRPr="001C3EC8">
        <w:rPr>
          <w:color w:val="000000" w:themeColor="text1"/>
        </w:rPr>
        <w:t>o</w:t>
      </w:r>
      <w:r w:rsidR="00021FDD">
        <w:rPr>
          <w:color w:val="000000" w:themeColor="text1"/>
        </w:rPr>
        <w:t> </w:t>
      </w:r>
      <w:r w:rsidRPr="001C3EC8">
        <w:rPr>
          <w:color w:val="000000" w:themeColor="text1"/>
        </w:rPr>
        <w:t>výrazné změny.</w:t>
      </w:r>
    </w:p>
    <w:p w14:paraId="03FA1960" w14:textId="77777777" w:rsidR="008430BD" w:rsidRPr="001C3EC8" w:rsidRDefault="008430BD" w:rsidP="008430BD">
      <w:pPr>
        <w:rPr>
          <w:color w:val="000000" w:themeColor="text1"/>
          <w:lang w:eastAsia="cs-CZ"/>
        </w:rPr>
      </w:pPr>
    </w:p>
    <w:p w14:paraId="2CAC3252" w14:textId="073B3EA7" w:rsidR="008430BD" w:rsidRPr="001C3EC8" w:rsidRDefault="008430BD" w:rsidP="008430BD">
      <w:pPr>
        <w:pStyle w:val="Podnadpis"/>
        <w:rPr>
          <w:color w:val="000000" w:themeColor="text1"/>
        </w:rPr>
      </w:pPr>
      <w:bookmarkStart w:id="753" w:name="_Toc515871414"/>
      <w:bookmarkStart w:id="754" w:name="_Toc11135145"/>
      <w:bookmarkStart w:id="755" w:name="_Toc43841467"/>
      <w:bookmarkStart w:id="756" w:name="_Toc75952270"/>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90</w:t>
      </w:r>
      <w:r w:rsidRPr="001C3EC8">
        <w:rPr>
          <w:color w:val="000000" w:themeColor="text1"/>
        </w:rPr>
        <w:fldChar w:fldCharType="end"/>
      </w:r>
      <w:r w:rsidRPr="001C3EC8">
        <w:rPr>
          <w:color w:val="000000" w:themeColor="text1"/>
        </w:rPr>
        <w:t>: VS – DT civilního odvolacího řízení v letech 2008–20</w:t>
      </w:r>
      <w:bookmarkEnd w:id="753"/>
      <w:bookmarkEnd w:id="754"/>
      <w:bookmarkEnd w:id="755"/>
      <w:r w:rsidRPr="001C3EC8">
        <w:rPr>
          <w:color w:val="000000" w:themeColor="text1"/>
        </w:rPr>
        <w:t>20</w:t>
      </w:r>
      <w:bookmarkEnd w:id="756"/>
    </w:p>
    <w:p w14:paraId="65134157"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4E2037FA" wp14:editId="451053AD">
            <wp:extent cx="5114925" cy="3743325"/>
            <wp:effectExtent l="0" t="0" r="0" b="9525"/>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r w:rsidRPr="001C3EC8">
        <w:rPr>
          <w:color w:val="000000" w:themeColor="text1"/>
          <w:highlight w:val="yellow"/>
        </w:rPr>
        <w:br w:type="page"/>
      </w:r>
    </w:p>
    <w:p w14:paraId="2EBE805F" w14:textId="77777777" w:rsidR="008430BD" w:rsidRPr="001C3EC8" w:rsidRDefault="008430BD" w:rsidP="008430BD">
      <w:pPr>
        <w:pStyle w:val="Nadpis2"/>
        <w:numPr>
          <w:ilvl w:val="1"/>
          <w:numId w:val="1"/>
        </w:numPr>
        <w:spacing w:before="120"/>
        <w:rPr>
          <w:lang w:eastAsia="cs-CZ"/>
        </w:rPr>
      </w:pPr>
      <w:bookmarkStart w:id="757" w:name="_Toc515871286"/>
      <w:bookmarkStart w:id="758" w:name="_Toc75952132"/>
      <w:r w:rsidRPr="001C3EC8">
        <w:rPr>
          <w:lang w:eastAsia="cs-CZ"/>
        </w:rPr>
        <w:lastRenderedPageBreak/>
        <w:t>Trestní odvolací agenda</w:t>
      </w:r>
      <w:bookmarkEnd w:id="757"/>
      <w:bookmarkEnd w:id="758"/>
    </w:p>
    <w:p w14:paraId="5D4F8737" w14:textId="77777777" w:rsidR="008430BD" w:rsidRPr="001C3EC8" w:rsidRDefault="008430BD" w:rsidP="008430BD">
      <w:pPr>
        <w:pStyle w:val="OdstavecASR"/>
        <w:rPr>
          <w:color w:val="000000" w:themeColor="text1"/>
        </w:rPr>
      </w:pPr>
      <w:r w:rsidRPr="001C3EC8">
        <w:rPr>
          <w:color w:val="000000" w:themeColor="text1"/>
        </w:rPr>
        <w:t>Vrchní soud vyřizuje věci, v nichž bylo podáno odvolání proti rozhodnutí prvostupňového krajského soudu. Jedná se o rejstříky označené jako To a Tmo.</w:t>
      </w:r>
    </w:p>
    <w:p w14:paraId="4F03267E" w14:textId="77777777" w:rsidR="008430BD" w:rsidRPr="001C3EC8" w:rsidRDefault="008430BD" w:rsidP="008430BD">
      <w:pPr>
        <w:pStyle w:val="Nadpis3"/>
        <w:numPr>
          <w:ilvl w:val="2"/>
          <w:numId w:val="1"/>
        </w:numPr>
        <w:rPr>
          <w:color w:val="000000" w:themeColor="text1"/>
          <w:lang w:eastAsia="cs-CZ"/>
        </w:rPr>
      </w:pPr>
      <w:bookmarkStart w:id="759" w:name="_Toc515871287"/>
      <w:bookmarkStart w:id="760" w:name="_Toc75952133"/>
      <w:r w:rsidRPr="001C3EC8">
        <w:rPr>
          <w:color w:val="000000" w:themeColor="text1"/>
          <w:lang w:eastAsia="cs-CZ"/>
        </w:rPr>
        <w:t>Délka řízení</w:t>
      </w:r>
      <w:bookmarkEnd w:id="759"/>
      <w:bookmarkEnd w:id="760"/>
    </w:p>
    <w:p w14:paraId="46E87DA0" w14:textId="1EC2B26B" w:rsidR="008430BD" w:rsidRPr="001C3EC8" w:rsidRDefault="000D40D2" w:rsidP="008430BD">
      <w:pPr>
        <w:pStyle w:val="OdstavecASR"/>
        <w:rPr>
          <w:color w:val="000000" w:themeColor="text1"/>
        </w:rPr>
      </w:pPr>
      <w:r w:rsidRPr="001C3EC8">
        <w:rPr>
          <w:color w:val="000000" w:themeColor="text1"/>
        </w:rPr>
        <w:t>D</w:t>
      </w:r>
      <w:r w:rsidR="008430BD" w:rsidRPr="001C3EC8">
        <w:rPr>
          <w:color w:val="000000" w:themeColor="text1"/>
        </w:rPr>
        <w:t xml:space="preserve">élka řízení je tentokrát </w:t>
      </w:r>
      <w:r w:rsidRPr="001C3EC8">
        <w:rPr>
          <w:color w:val="000000" w:themeColor="text1"/>
        </w:rPr>
        <w:t xml:space="preserve">uváděna </w:t>
      </w:r>
      <w:r w:rsidR="008430BD" w:rsidRPr="001C3EC8">
        <w:rPr>
          <w:color w:val="000000" w:themeColor="text1"/>
        </w:rPr>
        <w:t>od</w:t>
      </w:r>
      <w:r w:rsidRPr="001C3EC8">
        <w:rPr>
          <w:color w:val="000000" w:themeColor="text1"/>
        </w:rPr>
        <w:t>e</w:t>
      </w:r>
      <w:r w:rsidR="008430BD" w:rsidRPr="001C3EC8">
        <w:rPr>
          <w:color w:val="000000" w:themeColor="text1"/>
        </w:rPr>
        <w:t xml:space="preserve"> dne nápadu do dne právní moci, protože dnem konečného vyřízení odvolacím soudem se věc stane pravomocnou. </w:t>
      </w:r>
      <w:r w:rsidR="00021FDD" w:rsidRPr="001C3EC8">
        <w:rPr>
          <w:color w:val="000000" w:themeColor="text1"/>
        </w:rPr>
        <w:t>V</w:t>
      </w:r>
      <w:r w:rsidR="00021FDD">
        <w:rPr>
          <w:color w:val="000000" w:themeColor="text1"/>
        </w:rPr>
        <w:t> </w:t>
      </w:r>
      <w:r w:rsidR="008430BD" w:rsidRPr="001C3EC8">
        <w:rPr>
          <w:color w:val="000000" w:themeColor="text1"/>
        </w:rPr>
        <w:t xml:space="preserve">grafu níže vidíme, že délky řízení v trestní agendě jsou mezi soudy mnohem vyrovnanější než v agendě civilní, ne-li </w:t>
      </w:r>
      <w:r w:rsidRPr="001C3EC8">
        <w:rPr>
          <w:color w:val="000000" w:themeColor="text1"/>
        </w:rPr>
        <w:t xml:space="preserve">přímo </w:t>
      </w:r>
      <w:r w:rsidR="008430BD" w:rsidRPr="001C3EC8">
        <w:rPr>
          <w:color w:val="000000" w:themeColor="text1"/>
        </w:rPr>
        <w:t>vyrovnané. Do roku 2013 vykazoval VS v Olomouci vyšší průměrnou délku řízení. V roce 2014 narostla délka řízení u VS v Praze, takže se situace obrátila. V roce 2018 opět vykázal větší mediánovou délku VS</w:t>
      </w:r>
      <w:r w:rsidR="005D25EE">
        <w:rPr>
          <w:color w:val="000000" w:themeColor="text1"/>
        </w:rPr>
        <w:t> </w:t>
      </w:r>
      <w:r w:rsidR="008430BD" w:rsidRPr="001C3EC8">
        <w:rPr>
          <w:color w:val="000000" w:themeColor="text1"/>
        </w:rPr>
        <w:t xml:space="preserve">v Olomouci. Medián je ale u obou soudů stále velmi podobný. Pozornost může upoutat kolísání devadesátého percentilu především u VS v Olomouci. To je dáno malým počtem pozorování. V roce 2017 </w:t>
      </w:r>
      <w:r w:rsidRPr="001C3EC8">
        <w:rPr>
          <w:color w:val="000000" w:themeColor="text1"/>
        </w:rPr>
        <w:t>tak</w:t>
      </w:r>
      <w:r w:rsidR="008430BD" w:rsidRPr="001C3EC8">
        <w:rPr>
          <w:color w:val="000000" w:themeColor="text1"/>
        </w:rPr>
        <w:t xml:space="preserve"> došlo k náhlému a obrovskému nárůstu devadesátého percentilu, značnému růstu průměru a mírnému zvýšení mediánu. U obou soudů </w:t>
      </w:r>
      <w:r w:rsidRPr="001C3EC8">
        <w:rPr>
          <w:color w:val="000000" w:themeColor="text1"/>
        </w:rPr>
        <w:t>totiž</w:t>
      </w:r>
      <w:r w:rsidR="008430BD" w:rsidRPr="001C3EC8">
        <w:rPr>
          <w:color w:val="000000" w:themeColor="text1"/>
        </w:rPr>
        <w:t xml:space="preserve"> v tomto roce skončilo několik rozsáhlých a dlouhotrvající kauz. To pak ovlivnilo především devadesátý percentil, v menší míře i průměr a medián. Růst délek řízení ale u VS v Olomouci pokračoval </w:t>
      </w:r>
      <w:r w:rsidR="00021FDD" w:rsidRPr="001C3EC8">
        <w:rPr>
          <w:color w:val="000000" w:themeColor="text1"/>
        </w:rPr>
        <w:t>i</w:t>
      </w:r>
      <w:r w:rsidR="00021FDD">
        <w:rPr>
          <w:color w:val="000000" w:themeColor="text1"/>
        </w:rPr>
        <w:t> </w:t>
      </w:r>
      <w:r w:rsidR="008430BD" w:rsidRPr="001C3EC8">
        <w:rPr>
          <w:color w:val="000000" w:themeColor="text1"/>
        </w:rPr>
        <w:t xml:space="preserve">v roce 2018. V roce 2019 došlo k nezanedbatelnému poklesu v délkách řízení </w:t>
      </w:r>
      <w:r w:rsidR="00021FDD" w:rsidRPr="001C3EC8">
        <w:rPr>
          <w:color w:val="000000" w:themeColor="text1"/>
        </w:rPr>
        <w:t>u</w:t>
      </w:r>
      <w:r w:rsidR="00021FDD">
        <w:rPr>
          <w:color w:val="000000" w:themeColor="text1"/>
        </w:rPr>
        <w:t> </w:t>
      </w:r>
      <w:r w:rsidR="008430BD" w:rsidRPr="001C3EC8">
        <w:rPr>
          <w:color w:val="000000" w:themeColor="text1"/>
        </w:rPr>
        <w:t xml:space="preserve">obou soudů. Velmi výrazně klesl především percentil 90 </w:t>
      </w:r>
      <w:r w:rsidR="00021FDD" w:rsidRPr="001C3EC8">
        <w:rPr>
          <w:color w:val="000000" w:themeColor="text1"/>
        </w:rPr>
        <w:t>u</w:t>
      </w:r>
      <w:r w:rsidR="00021FDD">
        <w:rPr>
          <w:color w:val="000000" w:themeColor="text1"/>
        </w:rPr>
        <w:t> </w:t>
      </w:r>
      <w:r w:rsidR="008430BD" w:rsidRPr="001C3EC8">
        <w:rPr>
          <w:color w:val="000000" w:themeColor="text1"/>
        </w:rPr>
        <w:t xml:space="preserve">VS v Olomouci. V roce 2020 mírně narostl medián </w:t>
      </w:r>
      <w:r w:rsidR="00021FDD" w:rsidRPr="001C3EC8">
        <w:rPr>
          <w:color w:val="000000" w:themeColor="text1"/>
        </w:rPr>
        <w:t>u</w:t>
      </w:r>
      <w:r w:rsidR="00021FDD">
        <w:rPr>
          <w:color w:val="000000" w:themeColor="text1"/>
        </w:rPr>
        <w:t> </w:t>
      </w:r>
      <w:r w:rsidR="008430BD" w:rsidRPr="001C3EC8">
        <w:rPr>
          <w:color w:val="000000" w:themeColor="text1"/>
        </w:rPr>
        <w:t xml:space="preserve">obou soudů. Co se týče délek řízení v trestní agendě, je situace v roce 2020 velmi podobná </w:t>
      </w:r>
      <w:r w:rsidR="00021FDD" w:rsidRPr="001C3EC8">
        <w:rPr>
          <w:color w:val="000000" w:themeColor="text1"/>
        </w:rPr>
        <w:t>u</w:t>
      </w:r>
      <w:r w:rsidR="00021FDD">
        <w:rPr>
          <w:color w:val="000000" w:themeColor="text1"/>
        </w:rPr>
        <w:t> </w:t>
      </w:r>
      <w:r w:rsidR="008430BD" w:rsidRPr="001C3EC8">
        <w:rPr>
          <w:color w:val="000000" w:themeColor="text1"/>
        </w:rPr>
        <w:t xml:space="preserve">obou soudů. V mediánu je rozdíl </w:t>
      </w:r>
      <w:r w:rsidR="00021FDD" w:rsidRPr="001C3EC8">
        <w:rPr>
          <w:color w:val="000000" w:themeColor="text1"/>
        </w:rPr>
        <w:t>5</w:t>
      </w:r>
      <w:r w:rsidR="00021FDD">
        <w:rPr>
          <w:color w:val="000000" w:themeColor="text1"/>
        </w:rPr>
        <w:t> </w:t>
      </w:r>
      <w:r w:rsidR="008430BD" w:rsidRPr="001C3EC8">
        <w:rPr>
          <w:color w:val="000000" w:themeColor="text1"/>
        </w:rPr>
        <w:t xml:space="preserve">dnů, v průměru </w:t>
      </w:r>
      <w:r w:rsidR="00021FDD" w:rsidRPr="001C3EC8">
        <w:rPr>
          <w:color w:val="000000" w:themeColor="text1"/>
        </w:rPr>
        <w:t>9</w:t>
      </w:r>
      <w:r w:rsidR="00021FDD">
        <w:rPr>
          <w:color w:val="000000" w:themeColor="text1"/>
        </w:rPr>
        <w:t> </w:t>
      </w:r>
      <w:r w:rsidR="008430BD" w:rsidRPr="001C3EC8">
        <w:rPr>
          <w:color w:val="000000" w:themeColor="text1"/>
        </w:rPr>
        <w:t xml:space="preserve">dnů </w:t>
      </w:r>
      <w:r w:rsidR="00021FDD" w:rsidRPr="001C3EC8">
        <w:rPr>
          <w:color w:val="000000" w:themeColor="text1"/>
        </w:rPr>
        <w:t>a</w:t>
      </w:r>
      <w:r w:rsidR="00021FDD">
        <w:rPr>
          <w:color w:val="000000" w:themeColor="text1"/>
        </w:rPr>
        <w:t> </w:t>
      </w:r>
      <w:r w:rsidR="008430BD" w:rsidRPr="001C3EC8">
        <w:rPr>
          <w:color w:val="000000" w:themeColor="text1"/>
        </w:rPr>
        <w:t xml:space="preserve">v percentilu 90 pouze </w:t>
      </w:r>
      <w:r w:rsidR="00021FDD" w:rsidRPr="001C3EC8">
        <w:rPr>
          <w:color w:val="000000" w:themeColor="text1"/>
        </w:rPr>
        <w:t>4</w:t>
      </w:r>
      <w:r w:rsidR="00021FDD">
        <w:rPr>
          <w:color w:val="000000" w:themeColor="text1"/>
        </w:rPr>
        <w:t> </w:t>
      </w:r>
      <w:r w:rsidR="008430BD" w:rsidRPr="001C3EC8">
        <w:rPr>
          <w:color w:val="000000" w:themeColor="text1"/>
        </w:rPr>
        <w:t>dny. Stejně jako u nižších článků soudní soustavy je délka trestního řízení výrazně nižší než délka civilního řízení.</w:t>
      </w:r>
    </w:p>
    <w:p w14:paraId="60283266" w14:textId="69F6E25E" w:rsidR="008430BD" w:rsidRPr="001C3EC8" w:rsidRDefault="00713FE7" w:rsidP="008430BD">
      <w:pPr>
        <w:rPr>
          <w:color w:val="000000" w:themeColor="text1"/>
          <w:lang w:eastAsia="cs-CZ"/>
        </w:rPr>
      </w:pPr>
      <w:r>
        <w:rPr>
          <w:color w:val="000000" w:themeColor="text1"/>
        </w:rPr>
        <w:t>Zbývá</w:t>
      </w:r>
      <w:r w:rsidRPr="001C3EC8">
        <w:rPr>
          <w:color w:val="000000" w:themeColor="text1"/>
        </w:rPr>
        <w:t xml:space="preserve"> </w:t>
      </w:r>
      <w:r w:rsidR="008430BD" w:rsidRPr="001C3EC8">
        <w:rPr>
          <w:color w:val="000000" w:themeColor="text1"/>
        </w:rPr>
        <w:t>dodat, že složení agendy u VS je logicky velmi podobné složení prvostupňové agendy u krajských soudů</w:t>
      </w:r>
      <w:r w:rsidR="003A2C95">
        <w:rPr>
          <w:color w:val="000000" w:themeColor="text1"/>
        </w:rPr>
        <w:t>.</w:t>
      </w:r>
    </w:p>
    <w:p w14:paraId="012253A4" w14:textId="66DAA379" w:rsidR="008430BD" w:rsidRPr="001C3EC8" w:rsidRDefault="008430BD" w:rsidP="008430BD">
      <w:pPr>
        <w:pStyle w:val="Podnadpis"/>
        <w:rPr>
          <w:color w:val="000000" w:themeColor="text1"/>
        </w:rPr>
      </w:pPr>
      <w:bookmarkStart w:id="761" w:name="_Toc515871415"/>
      <w:bookmarkStart w:id="762" w:name="_Toc11135146"/>
      <w:bookmarkStart w:id="763" w:name="_Toc43841468"/>
      <w:bookmarkStart w:id="764" w:name="_Toc7595227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91</w:t>
      </w:r>
      <w:r w:rsidRPr="001C3EC8">
        <w:rPr>
          <w:color w:val="000000" w:themeColor="text1"/>
        </w:rPr>
        <w:fldChar w:fldCharType="end"/>
      </w:r>
      <w:r w:rsidRPr="001C3EC8">
        <w:rPr>
          <w:color w:val="000000" w:themeColor="text1"/>
        </w:rPr>
        <w:t>: VS – délka trestního odvolacího řízení v letech 2010–</w:t>
      </w:r>
      <w:bookmarkEnd w:id="761"/>
      <w:r w:rsidRPr="001C3EC8">
        <w:rPr>
          <w:color w:val="000000" w:themeColor="text1"/>
        </w:rPr>
        <w:t>20</w:t>
      </w:r>
      <w:bookmarkEnd w:id="762"/>
      <w:bookmarkEnd w:id="763"/>
      <w:r w:rsidRPr="001C3EC8">
        <w:rPr>
          <w:color w:val="000000" w:themeColor="text1"/>
        </w:rPr>
        <w:t>20</w:t>
      </w:r>
      <w:bookmarkEnd w:id="764"/>
    </w:p>
    <w:p w14:paraId="1CEF733A"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1E66F63B" wp14:editId="6F00FBDD">
            <wp:extent cx="5114925" cy="3743325"/>
            <wp:effectExtent l="0" t="0" r="0" b="9525"/>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92437D6" w14:textId="4EA06DE6" w:rsidR="008430BD" w:rsidRPr="001C3EC8" w:rsidRDefault="008430BD" w:rsidP="008430BD">
      <w:pPr>
        <w:pStyle w:val="Podnadpis"/>
        <w:rPr>
          <w:color w:val="000000" w:themeColor="text1"/>
        </w:rPr>
      </w:pPr>
      <w:bookmarkStart w:id="765" w:name="_Toc515871416"/>
      <w:bookmarkStart w:id="766" w:name="_Toc11135147"/>
      <w:bookmarkStart w:id="767" w:name="_Toc43841469"/>
      <w:bookmarkStart w:id="768" w:name="_Toc75952272"/>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92</w:t>
      </w:r>
      <w:r w:rsidRPr="001C3EC8">
        <w:rPr>
          <w:color w:val="000000" w:themeColor="text1"/>
        </w:rPr>
        <w:fldChar w:fldCharType="end"/>
      </w:r>
      <w:r w:rsidRPr="001C3EC8">
        <w:rPr>
          <w:color w:val="000000" w:themeColor="text1"/>
        </w:rPr>
        <w:t>: VS – distribuce délek trestního odvolacího řízení</w:t>
      </w:r>
      <w:bookmarkEnd w:id="765"/>
      <w:bookmarkEnd w:id="766"/>
      <w:bookmarkEnd w:id="767"/>
      <w:bookmarkEnd w:id="768"/>
    </w:p>
    <w:p w14:paraId="6D7EE1D2"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13CB439A" wp14:editId="77ED173A">
            <wp:extent cx="5114925" cy="3743325"/>
            <wp:effectExtent l="0" t="0" r="0" b="952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7AA2C04" w14:textId="450005B0" w:rsidR="008430BD" w:rsidRPr="001C3EC8" w:rsidRDefault="008430BD" w:rsidP="008430BD">
      <w:pPr>
        <w:pStyle w:val="OdstavecASR"/>
        <w:rPr>
          <w:color w:val="000000" w:themeColor="text1"/>
          <w:lang w:eastAsia="cs-CZ"/>
        </w:rPr>
      </w:pPr>
      <w:r w:rsidRPr="001C3EC8">
        <w:rPr>
          <w:color w:val="000000" w:themeColor="text1"/>
          <w:lang w:eastAsia="cs-CZ"/>
        </w:rPr>
        <w:t>Malý počet pozorování se projevuje i v histogramu. Distribuce délek řízení se liší mezi soudy</w:t>
      </w:r>
      <w:r w:rsidR="002D3FA6">
        <w:rPr>
          <w:color w:val="000000" w:themeColor="text1"/>
          <w:lang w:eastAsia="cs-CZ"/>
        </w:rPr>
        <w:t xml:space="preserve"> </w:t>
      </w:r>
      <w:r w:rsidR="00021FDD">
        <w:rPr>
          <w:color w:val="000000" w:themeColor="text1"/>
          <w:lang w:eastAsia="cs-CZ"/>
        </w:rPr>
        <w:t>i </w:t>
      </w:r>
      <w:r w:rsidRPr="001C3EC8">
        <w:rPr>
          <w:color w:val="000000" w:themeColor="text1"/>
          <w:lang w:eastAsia="cs-CZ"/>
        </w:rPr>
        <w:t xml:space="preserve">mezi jednotlivými roky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stejného soudu; při vyšším počtu pozorování by zřejmě byla podobnější. Vzhledem k počtu pozorování jsou výkyvy běžné, přesto je však rozhodně pozitivní, že počet věcí s délkou řízení nad 400 dnů je minimální.</w:t>
      </w:r>
    </w:p>
    <w:p w14:paraId="166754EC" w14:textId="77777777" w:rsidR="008430BD" w:rsidRPr="001C3EC8" w:rsidRDefault="008430BD" w:rsidP="008430BD">
      <w:pPr>
        <w:pStyle w:val="Nadpis3"/>
        <w:numPr>
          <w:ilvl w:val="2"/>
          <w:numId w:val="1"/>
        </w:numPr>
        <w:rPr>
          <w:color w:val="000000" w:themeColor="text1"/>
          <w:lang w:eastAsia="cs-CZ"/>
        </w:rPr>
      </w:pPr>
      <w:bookmarkStart w:id="769" w:name="_Toc515871288"/>
      <w:bookmarkStart w:id="770" w:name="_Toc75952134"/>
      <w:r w:rsidRPr="001C3EC8">
        <w:rPr>
          <w:color w:val="000000" w:themeColor="text1"/>
          <w:lang w:eastAsia="cs-CZ"/>
        </w:rPr>
        <w:t>Vyřizování věcí</w:t>
      </w:r>
      <w:bookmarkEnd w:id="769"/>
      <w:bookmarkEnd w:id="770"/>
    </w:p>
    <w:p w14:paraId="056038E3" w14:textId="6F51E11B" w:rsidR="00B07E76" w:rsidRDefault="008430BD" w:rsidP="008430BD">
      <w:pPr>
        <w:pStyle w:val="OdstavecASR"/>
        <w:rPr>
          <w:color w:val="000000" w:themeColor="text1"/>
        </w:rPr>
      </w:pPr>
      <w:r w:rsidRPr="001C3EC8">
        <w:rPr>
          <w:color w:val="000000" w:themeColor="text1"/>
        </w:rPr>
        <w:t xml:space="preserve">Počet věcí opět ilustruje rozdíl ve velikosti soudů. V nápadu je vidět jisté kolísání, ale od roku 2010 </w:t>
      </w:r>
      <w:r w:rsidR="00ED2B50" w:rsidRPr="001C3EC8">
        <w:rPr>
          <w:color w:val="000000" w:themeColor="text1"/>
        </w:rPr>
        <w:t xml:space="preserve">se </w:t>
      </w:r>
      <w:r w:rsidR="00021FDD" w:rsidRPr="001C3EC8">
        <w:rPr>
          <w:color w:val="000000" w:themeColor="text1"/>
        </w:rPr>
        <w:t>v</w:t>
      </w:r>
      <w:r w:rsidR="00021FDD">
        <w:rPr>
          <w:color w:val="000000" w:themeColor="text1"/>
        </w:rPr>
        <w:t> </w:t>
      </w:r>
      <w:r w:rsidR="00ED2B50" w:rsidRPr="001C3EC8">
        <w:rPr>
          <w:color w:val="000000" w:themeColor="text1"/>
        </w:rPr>
        <w:t>zásadě</w:t>
      </w:r>
      <w:r w:rsidRPr="001C3EC8">
        <w:rPr>
          <w:color w:val="000000" w:themeColor="text1"/>
        </w:rPr>
        <w:t xml:space="preserve"> nezměnil, což souvisí s tím, že v nápadu prvostupňové agendy u krajských soudů také nedošlo k žádné výraznější změně. V roce 2016 došlo k nárůstu v počtu nevyřízených věcí především u VS v Olomouci. Ačkoliv počet nevyřízených věcí vzrostl asi o 50 %, v absolutních číslech představuje pouze několik desítek věcí a celkový počet nevyřízených věcí je velmi malý. Jak je již uvedeno výše, počet nevyřízených věcí v roce 2018 klesl </w:t>
      </w:r>
      <w:r w:rsidR="00021FDD" w:rsidRPr="001C3EC8">
        <w:rPr>
          <w:color w:val="000000" w:themeColor="text1"/>
        </w:rPr>
        <w:t>u</w:t>
      </w:r>
      <w:r w:rsidR="00021FDD">
        <w:rPr>
          <w:color w:val="000000" w:themeColor="text1"/>
        </w:rPr>
        <w:t> </w:t>
      </w:r>
      <w:r w:rsidRPr="001C3EC8">
        <w:rPr>
          <w:color w:val="000000" w:themeColor="text1"/>
        </w:rPr>
        <w:t xml:space="preserve">obou soudů, </w:t>
      </w:r>
      <w:r w:rsidR="00021FDD" w:rsidRPr="001C3EC8">
        <w:rPr>
          <w:color w:val="000000" w:themeColor="text1"/>
        </w:rPr>
        <w:t>u</w:t>
      </w:r>
      <w:r w:rsidR="00021FDD">
        <w:rPr>
          <w:color w:val="000000" w:themeColor="text1"/>
        </w:rPr>
        <w:t> </w:t>
      </w:r>
      <w:r w:rsidRPr="001C3EC8">
        <w:rPr>
          <w:color w:val="000000" w:themeColor="text1"/>
        </w:rPr>
        <w:t xml:space="preserve">VS v Praze </w:t>
      </w:r>
      <w:r w:rsidR="00021FDD" w:rsidRPr="001C3EC8">
        <w:rPr>
          <w:color w:val="000000" w:themeColor="text1"/>
        </w:rPr>
        <w:t>i</w:t>
      </w:r>
      <w:r w:rsidR="00021FDD">
        <w:rPr>
          <w:color w:val="000000" w:themeColor="text1"/>
        </w:rPr>
        <w:t> </w:t>
      </w:r>
      <w:r w:rsidRPr="001C3EC8">
        <w:rPr>
          <w:color w:val="000000" w:themeColor="text1"/>
        </w:rPr>
        <w:t>přes nárůst v počtu věcí příchozích. V roce 2019 došlo k velkému poklesu v počtu příchozích věcí</w:t>
      </w:r>
      <w:r w:rsidR="004561FE" w:rsidRPr="001C3EC8">
        <w:rPr>
          <w:color w:val="000000" w:themeColor="text1"/>
        </w:rPr>
        <w:t xml:space="preserve"> </w:t>
      </w:r>
      <w:r w:rsidR="00021FDD" w:rsidRPr="001C3EC8">
        <w:rPr>
          <w:color w:val="000000" w:themeColor="text1"/>
        </w:rPr>
        <w:t>u</w:t>
      </w:r>
      <w:r w:rsidR="00021FDD">
        <w:rPr>
          <w:color w:val="000000" w:themeColor="text1"/>
        </w:rPr>
        <w:t> </w:t>
      </w:r>
      <w:r w:rsidR="004561FE" w:rsidRPr="001C3EC8">
        <w:rPr>
          <w:color w:val="000000" w:themeColor="text1"/>
        </w:rPr>
        <w:t>VS</w:t>
      </w:r>
      <w:r w:rsidR="005D25EE">
        <w:rPr>
          <w:color w:val="000000" w:themeColor="text1"/>
        </w:rPr>
        <w:t> </w:t>
      </w:r>
      <w:r w:rsidR="004561FE" w:rsidRPr="001C3EC8">
        <w:rPr>
          <w:color w:val="000000" w:themeColor="text1"/>
        </w:rPr>
        <w:t>v </w:t>
      </w:r>
      <w:proofErr w:type="spellStart"/>
      <w:r w:rsidR="004561FE" w:rsidRPr="001C3EC8">
        <w:rPr>
          <w:color w:val="000000" w:themeColor="text1"/>
        </w:rPr>
        <w:t>Praze</w:t>
      </w:r>
      <w:r w:rsidRPr="001C3EC8">
        <w:rPr>
          <w:color w:val="000000" w:themeColor="text1"/>
        </w:rPr>
        <w:t>I</w:t>
      </w:r>
      <w:proofErr w:type="spellEnd"/>
      <w:r w:rsidRPr="001C3EC8">
        <w:rPr>
          <w:color w:val="000000" w:themeColor="text1"/>
        </w:rPr>
        <w:t xml:space="preserve"> přes pokles v počtu příchozích </w:t>
      </w:r>
      <w:proofErr w:type="gramStart"/>
      <w:r w:rsidRPr="001C3EC8">
        <w:rPr>
          <w:color w:val="000000" w:themeColor="text1"/>
        </w:rPr>
        <w:t>věcí</w:t>
      </w:r>
      <w:proofErr w:type="gramEnd"/>
      <w:r w:rsidR="004561FE" w:rsidRPr="001C3EC8">
        <w:rPr>
          <w:color w:val="000000" w:themeColor="text1"/>
        </w:rPr>
        <w:t xml:space="preserve"> ale</w:t>
      </w:r>
      <w:r w:rsidRPr="001C3EC8">
        <w:rPr>
          <w:color w:val="000000" w:themeColor="text1"/>
        </w:rPr>
        <w:t xml:space="preserve"> nedošlo k poklesu v počtu nevyřízených věcí. To lze přisoudit tomu, že počet nevyřízených věcí je již tak malý a některé případy prostě není možné urychlit. Naopak </w:t>
      </w:r>
      <w:r w:rsidR="00021FDD" w:rsidRPr="001C3EC8">
        <w:rPr>
          <w:color w:val="000000" w:themeColor="text1"/>
        </w:rPr>
        <w:t>u</w:t>
      </w:r>
      <w:r w:rsidR="00021FDD">
        <w:rPr>
          <w:color w:val="000000" w:themeColor="text1"/>
        </w:rPr>
        <w:t> </w:t>
      </w:r>
      <w:r w:rsidRPr="001C3EC8">
        <w:rPr>
          <w:color w:val="000000" w:themeColor="text1"/>
        </w:rPr>
        <w:t xml:space="preserve">VS v Olomouc došlo k nárůstu v počtu nevyřízených věcí. V roce 2020 nedošlo </w:t>
      </w:r>
      <w:r w:rsidR="00021FDD" w:rsidRPr="001C3EC8">
        <w:rPr>
          <w:color w:val="000000" w:themeColor="text1"/>
        </w:rPr>
        <w:t>u</w:t>
      </w:r>
      <w:r w:rsidR="00021FDD">
        <w:rPr>
          <w:color w:val="000000" w:themeColor="text1"/>
        </w:rPr>
        <w:t> </w:t>
      </w:r>
      <w:r w:rsidRPr="001C3EC8">
        <w:rPr>
          <w:color w:val="000000" w:themeColor="text1"/>
        </w:rPr>
        <w:t xml:space="preserve">VS v Praze k prakticky žádné změně ve srovnání s rokem 2019. </w:t>
      </w:r>
      <w:r w:rsidR="00021FDD" w:rsidRPr="001C3EC8">
        <w:rPr>
          <w:color w:val="000000" w:themeColor="text1"/>
        </w:rPr>
        <w:t>U</w:t>
      </w:r>
      <w:r w:rsidR="00021FDD">
        <w:rPr>
          <w:color w:val="000000" w:themeColor="text1"/>
        </w:rPr>
        <w:t> </w:t>
      </w:r>
      <w:r w:rsidRPr="001C3EC8">
        <w:rPr>
          <w:color w:val="000000" w:themeColor="text1"/>
        </w:rPr>
        <w:t>VS v Olomouci došlo k pokles</w:t>
      </w:r>
      <w:r w:rsidR="00FF5673" w:rsidRPr="001C3EC8">
        <w:rPr>
          <w:color w:val="000000" w:themeColor="text1"/>
        </w:rPr>
        <w:t>u</w:t>
      </w:r>
      <w:r w:rsidRPr="001C3EC8">
        <w:rPr>
          <w:color w:val="000000" w:themeColor="text1"/>
        </w:rPr>
        <w:t xml:space="preserve"> počtu příchozích </w:t>
      </w:r>
      <w:r w:rsidR="00021FDD" w:rsidRPr="001C3EC8">
        <w:rPr>
          <w:color w:val="000000" w:themeColor="text1"/>
        </w:rPr>
        <w:t>i</w:t>
      </w:r>
      <w:r w:rsidR="00021FDD">
        <w:rPr>
          <w:color w:val="000000" w:themeColor="text1"/>
        </w:rPr>
        <w:t> </w:t>
      </w:r>
      <w:r w:rsidRPr="001C3EC8">
        <w:rPr>
          <w:color w:val="000000" w:themeColor="text1"/>
        </w:rPr>
        <w:t xml:space="preserve">vyřízených věcí. Nejedná se ale </w:t>
      </w:r>
      <w:r w:rsidR="00021FDD" w:rsidRPr="001C3EC8">
        <w:rPr>
          <w:color w:val="000000" w:themeColor="text1"/>
        </w:rPr>
        <w:t>o</w:t>
      </w:r>
      <w:r w:rsidR="00021FDD">
        <w:rPr>
          <w:color w:val="000000" w:themeColor="text1"/>
        </w:rPr>
        <w:t> </w:t>
      </w:r>
      <w:r w:rsidRPr="001C3EC8">
        <w:rPr>
          <w:color w:val="000000" w:themeColor="text1"/>
        </w:rPr>
        <w:t xml:space="preserve">žádný trend, pohled na časovou řadu ukazuje, že počet příchozích věcí střídavě roste </w:t>
      </w:r>
      <w:r w:rsidR="00021FDD" w:rsidRPr="001C3EC8">
        <w:rPr>
          <w:color w:val="000000" w:themeColor="text1"/>
        </w:rPr>
        <w:t>a</w:t>
      </w:r>
      <w:r w:rsidR="00021FDD">
        <w:rPr>
          <w:color w:val="000000" w:themeColor="text1"/>
        </w:rPr>
        <w:t> </w:t>
      </w:r>
      <w:r w:rsidRPr="001C3EC8">
        <w:rPr>
          <w:color w:val="000000" w:themeColor="text1"/>
        </w:rPr>
        <w:t>klesá od roku 2012. Nicméně v tomto roce narostl počet nevyřízených věcí na 140, což je nejvyšší číslo za sledované období.</w:t>
      </w:r>
    </w:p>
    <w:p w14:paraId="3F85ECEC" w14:textId="7E4D8F3F" w:rsidR="008A3019" w:rsidRPr="001C3EC8" w:rsidRDefault="00021FDD" w:rsidP="008A3019">
      <w:pPr>
        <w:pStyle w:val="OdstavecASR"/>
        <w:rPr>
          <w:color w:val="000000" w:themeColor="text1"/>
        </w:rPr>
      </w:pPr>
      <w:r w:rsidRPr="001C3EC8">
        <w:rPr>
          <w:color w:val="000000" w:themeColor="text1"/>
        </w:rPr>
        <w:t>V</w:t>
      </w:r>
      <w:r>
        <w:rPr>
          <w:color w:val="000000" w:themeColor="text1"/>
        </w:rPr>
        <w:t> </w:t>
      </w:r>
      <w:r w:rsidR="008A3019" w:rsidRPr="001C3EC8">
        <w:rPr>
          <w:color w:val="000000" w:themeColor="text1"/>
        </w:rPr>
        <w:t xml:space="preserve">roce 2020 narostl počet nevyřízených věcí na trestním úseku Vrchního soudu </w:t>
      </w:r>
      <w:r w:rsidRPr="001C3EC8">
        <w:rPr>
          <w:color w:val="000000" w:themeColor="text1"/>
        </w:rPr>
        <w:t>v</w:t>
      </w:r>
      <w:r>
        <w:rPr>
          <w:color w:val="000000" w:themeColor="text1"/>
        </w:rPr>
        <w:t> </w:t>
      </w:r>
      <w:r w:rsidR="008A3019" w:rsidRPr="001C3EC8">
        <w:rPr>
          <w:color w:val="000000" w:themeColor="text1"/>
        </w:rPr>
        <w:t xml:space="preserve">Olomouci na 140, což je nejvyšší číslo za sledované období. Předně je třeba podotknout, že tento údaj </w:t>
      </w:r>
      <w:r w:rsidRPr="001C3EC8">
        <w:rPr>
          <w:color w:val="000000" w:themeColor="text1"/>
        </w:rPr>
        <w:t>v</w:t>
      </w:r>
      <w:r>
        <w:rPr>
          <w:color w:val="000000" w:themeColor="text1"/>
        </w:rPr>
        <w:t> </w:t>
      </w:r>
      <w:r w:rsidR="008A3019" w:rsidRPr="001C3EC8">
        <w:rPr>
          <w:color w:val="000000" w:themeColor="text1"/>
        </w:rPr>
        <w:t xml:space="preserve">sobě zahrnuje počet nevyřízených věcí </w:t>
      </w:r>
      <w:r w:rsidRPr="001C3EC8">
        <w:rPr>
          <w:color w:val="000000" w:themeColor="text1"/>
        </w:rPr>
        <w:t>v</w:t>
      </w:r>
      <w:r>
        <w:rPr>
          <w:color w:val="000000" w:themeColor="text1"/>
        </w:rPr>
        <w:t> </w:t>
      </w:r>
      <w:r w:rsidR="008A3019" w:rsidRPr="001C3EC8">
        <w:rPr>
          <w:color w:val="000000" w:themeColor="text1"/>
        </w:rPr>
        <w:t xml:space="preserve">odvolací </w:t>
      </w:r>
      <w:r w:rsidRPr="001C3EC8">
        <w:rPr>
          <w:color w:val="000000" w:themeColor="text1"/>
        </w:rPr>
        <w:t>i</w:t>
      </w:r>
      <w:r>
        <w:rPr>
          <w:color w:val="000000" w:themeColor="text1"/>
        </w:rPr>
        <w:t> </w:t>
      </w:r>
      <w:r w:rsidR="008A3019" w:rsidRPr="001C3EC8">
        <w:rPr>
          <w:color w:val="000000" w:themeColor="text1"/>
        </w:rPr>
        <w:t>stížnostní agendě.</w:t>
      </w:r>
    </w:p>
    <w:p w14:paraId="0FDEF0A8" w14:textId="77777777" w:rsidR="008A3019" w:rsidRPr="001C3EC8" w:rsidRDefault="008A3019" w:rsidP="008A3019">
      <w:pPr>
        <w:pStyle w:val="OdstavecASR"/>
        <w:rPr>
          <w:color w:val="000000" w:themeColor="text1"/>
        </w:rPr>
      </w:pPr>
    </w:p>
    <w:p w14:paraId="6324DFB7" w14:textId="26F0F000" w:rsidR="008A3019" w:rsidRPr="001C3EC8" w:rsidRDefault="008A3019" w:rsidP="008A3019">
      <w:pPr>
        <w:pStyle w:val="OdstavecASR"/>
        <w:rPr>
          <w:color w:val="000000" w:themeColor="text1"/>
        </w:rPr>
      </w:pPr>
      <w:r w:rsidRPr="001C3EC8">
        <w:rPr>
          <w:color w:val="000000" w:themeColor="text1"/>
        </w:rPr>
        <w:lastRenderedPageBreak/>
        <w:t xml:space="preserve">Ke dni 31. 12. 2020 byl celkový počet nevyřízených věcí </w:t>
      </w:r>
      <w:r w:rsidR="00021FDD" w:rsidRPr="001C3EC8">
        <w:rPr>
          <w:color w:val="000000" w:themeColor="text1"/>
        </w:rPr>
        <w:t>v</w:t>
      </w:r>
      <w:r w:rsidR="00021FDD">
        <w:rPr>
          <w:color w:val="000000" w:themeColor="text1"/>
        </w:rPr>
        <w:t> </w:t>
      </w:r>
      <w:r w:rsidRPr="001C3EC8">
        <w:rPr>
          <w:color w:val="000000" w:themeColor="text1"/>
        </w:rPr>
        <w:t xml:space="preserve">odvolací agendě 74 </w:t>
      </w:r>
      <w:r w:rsidR="00021FDD" w:rsidRPr="001C3EC8">
        <w:rPr>
          <w:color w:val="000000" w:themeColor="text1"/>
        </w:rPr>
        <w:t>a</w:t>
      </w:r>
      <w:r w:rsidR="00021FDD">
        <w:rPr>
          <w:color w:val="000000" w:themeColor="text1"/>
        </w:rPr>
        <w:t> </w:t>
      </w:r>
      <w:r w:rsidRPr="001C3EC8">
        <w:rPr>
          <w:color w:val="000000" w:themeColor="text1"/>
        </w:rPr>
        <w:t>ve stížnostní agendě 66. Velký zůstatek nevyřízených věcí byl způsoben zejména tou skutečností, že dne 21.</w:t>
      </w:r>
      <w:r w:rsidR="00021FDD">
        <w:rPr>
          <w:color w:val="000000" w:themeColor="text1"/>
        </w:rPr>
        <w:t> </w:t>
      </w:r>
      <w:r w:rsidRPr="001C3EC8">
        <w:rPr>
          <w:color w:val="000000" w:themeColor="text1"/>
        </w:rPr>
        <w:t>10.</w:t>
      </w:r>
      <w:r w:rsidR="00021FDD">
        <w:rPr>
          <w:color w:val="000000" w:themeColor="text1"/>
        </w:rPr>
        <w:t> </w:t>
      </w:r>
      <w:r w:rsidRPr="001C3EC8">
        <w:rPr>
          <w:color w:val="000000" w:themeColor="text1"/>
        </w:rPr>
        <w:t xml:space="preserve">2020 byla VS Olomouci předložena trestní věc </w:t>
      </w:r>
      <w:r w:rsidR="00021FDD" w:rsidRPr="001C3EC8">
        <w:rPr>
          <w:color w:val="000000" w:themeColor="text1"/>
        </w:rPr>
        <w:t>s</w:t>
      </w:r>
      <w:r w:rsidR="00021FDD">
        <w:rPr>
          <w:color w:val="000000" w:themeColor="text1"/>
        </w:rPr>
        <w:t> </w:t>
      </w:r>
      <w:r w:rsidRPr="001C3EC8">
        <w:rPr>
          <w:color w:val="000000" w:themeColor="text1"/>
        </w:rPr>
        <w:t xml:space="preserve">34 stížnostmi, které byly vrchním soudem rozhodnuty </w:t>
      </w:r>
      <w:r w:rsidR="00021FDD" w:rsidRPr="001C3EC8">
        <w:rPr>
          <w:color w:val="000000" w:themeColor="text1"/>
        </w:rPr>
        <w:t>v</w:t>
      </w:r>
      <w:r w:rsidR="00021FDD">
        <w:rPr>
          <w:color w:val="000000" w:themeColor="text1"/>
        </w:rPr>
        <w:t> </w:t>
      </w:r>
      <w:r w:rsidRPr="001C3EC8">
        <w:rPr>
          <w:color w:val="000000" w:themeColor="text1"/>
        </w:rPr>
        <w:t xml:space="preserve">měsíci únoru 2021. Tato skutečnost výrazně ovlivnila počet nevyřízených věcí </w:t>
      </w:r>
      <w:r w:rsidR="00021FDD" w:rsidRPr="001C3EC8">
        <w:rPr>
          <w:color w:val="000000" w:themeColor="text1"/>
        </w:rPr>
        <w:t>u</w:t>
      </w:r>
      <w:r w:rsidR="00021FDD">
        <w:rPr>
          <w:color w:val="000000" w:themeColor="text1"/>
        </w:rPr>
        <w:t> </w:t>
      </w:r>
      <w:r w:rsidRPr="001C3EC8">
        <w:rPr>
          <w:color w:val="000000" w:themeColor="text1"/>
        </w:rPr>
        <w:t xml:space="preserve">Vrchního soudu </w:t>
      </w:r>
      <w:r w:rsidR="00021FDD" w:rsidRPr="001C3EC8">
        <w:rPr>
          <w:color w:val="000000" w:themeColor="text1"/>
        </w:rPr>
        <w:t>v</w:t>
      </w:r>
      <w:r w:rsidR="00021FDD">
        <w:rPr>
          <w:color w:val="000000" w:themeColor="text1"/>
        </w:rPr>
        <w:t> </w:t>
      </w:r>
      <w:r w:rsidRPr="001C3EC8">
        <w:rPr>
          <w:color w:val="000000" w:themeColor="text1"/>
        </w:rPr>
        <w:t xml:space="preserve">Olomouci ke konci roku 2020 </w:t>
      </w:r>
      <w:r w:rsidR="00021FDD" w:rsidRPr="001C3EC8">
        <w:rPr>
          <w:color w:val="000000" w:themeColor="text1"/>
        </w:rPr>
        <w:t>a</w:t>
      </w:r>
      <w:r w:rsidR="00021FDD">
        <w:rPr>
          <w:color w:val="000000" w:themeColor="text1"/>
        </w:rPr>
        <w:t> </w:t>
      </w:r>
      <w:r w:rsidRPr="001C3EC8">
        <w:rPr>
          <w:color w:val="000000" w:themeColor="text1"/>
        </w:rPr>
        <w:t xml:space="preserve">tím způsobila </w:t>
      </w:r>
      <w:r w:rsidR="00021FDD" w:rsidRPr="001C3EC8">
        <w:rPr>
          <w:color w:val="000000" w:themeColor="text1"/>
        </w:rPr>
        <w:t>i</w:t>
      </w:r>
      <w:r w:rsidR="00021FDD">
        <w:rPr>
          <w:color w:val="000000" w:themeColor="text1"/>
        </w:rPr>
        <w:t> </w:t>
      </w:r>
      <w:r w:rsidRPr="001C3EC8">
        <w:rPr>
          <w:color w:val="000000" w:themeColor="text1"/>
        </w:rPr>
        <w:t xml:space="preserve">určité zkreslení výkonnosti zdejšího soudu. Pokud odečteme 34 stížností od celkového počtu nevyřízených věcí (140), ke konci roku 2020 činil zůstatek nevyřízených věcí na trestním úseku Vrchního soudu </w:t>
      </w:r>
      <w:r w:rsidR="00021FDD" w:rsidRPr="001C3EC8">
        <w:rPr>
          <w:color w:val="000000" w:themeColor="text1"/>
        </w:rPr>
        <w:t>v</w:t>
      </w:r>
      <w:r w:rsidR="00021FDD">
        <w:rPr>
          <w:color w:val="000000" w:themeColor="text1"/>
        </w:rPr>
        <w:t> </w:t>
      </w:r>
      <w:r w:rsidRPr="001C3EC8">
        <w:rPr>
          <w:color w:val="000000" w:themeColor="text1"/>
        </w:rPr>
        <w:t>Olomouci 106.</w:t>
      </w:r>
    </w:p>
    <w:p w14:paraId="2958B440" w14:textId="68300795" w:rsidR="008430BD" w:rsidRPr="001C3EC8" w:rsidRDefault="008A3019" w:rsidP="008A3019">
      <w:pPr>
        <w:rPr>
          <w:color w:val="000000" w:themeColor="text1"/>
          <w:lang w:eastAsia="cs-CZ"/>
        </w:rPr>
      </w:pPr>
      <w:r w:rsidRPr="001C3EC8">
        <w:rPr>
          <w:color w:val="000000" w:themeColor="text1"/>
        </w:rPr>
        <w:t xml:space="preserve">Rovněž </w:t>
      </w:r>
      <w:r w:rsidR="00021FDD" w:rsidRPr="001C3EC8">
        <w:rPr>
          <w:color w:val="000000" w:themeColor="text1"/>
        </w:rPr>
        <w:t>s</w:t>
      </w:r>
      <w:r w:rsidR="00021FDD">
        <w:rPr>
          <w:color w:val="000000" w:themeColor="text1"/>
        </w:rPr>
        <w:t> </w:t>
      </w:r>
      <w:r w:rsidRPr="001C3EC8">
        <w:rPr>
          <w:color w:val="000000" w:themeColor="text1"/>
        </w:rPr>
        <w:t xml:space="preserve">ohledem na vyhlášený nouzový stav </w:t>
      </w:r>
      <w:r w:rsidR="00021FDD" w:rsidRPr="001C3EC8">
        <w:rPr>
          <w:color w:val="000000" w:themeColor="text1"/>
        </w:rPr>
        <w:t>z</w:t>
      </w:r>
      <w:r w:rsidR="00021FDD">
        <w:rPr>
          <w:color w:val="000000" w:themeColor="text1"/>
        </w:rPr>
        <w:t> </w:t>
      </w:r>
      <w:r w:rsidRPr="001C3EC8">
        <w:rPr>
          <w:color w:val="000000" w:themeColor="text1"/>
        </w:rPr>
        <w:t xml:space="preserve">důvodu ohrožení zdraví </w:t>
      </w:r>
      <w:r w:rsidR="00021FDD" w:rsidRPr="001C3EC8">
        <w:rPr>
          <w:color w:val="000000" w:themeColor="text1"/>
        </w:rPr>
        <w:t>v</w:t>
      </w:r>
      <w:r w:rsidR="00021FDD">
        <w:rPr>
          <w:color w:val="000000" w:themeColor="text1"/>
        </w:rPr>
        <w:t> </w:t>
      </w:r>
      <w:r w:rsidRPr="001C3EC8">
        <w:rPr>
          <w:color w:val="000000" w:themeColor="text1"/>
        </w:rPr>
        <w:t xml:space="preserve">souvislosti </w:t>
      </w:r>
      <w:r w:rsidR="00021FDD" w:rsidRPr="001C3EC8">
        <w:rPr>
          <w:color w:val="000000" w:themeColor="text1"/>
        </w:rPr>
        <w:t>s</w:t>
      </w:r>
      <w:r w:rsidR="00021FDD">
        <w:rPr>
          <w:color w:val="000000" w:themeColor="text1"/>
        </w:rPr>
        <w:t> </w:t>
      </w:r>
      <w:r w:rsidRPr="001C3EC8">
        <w:rPr>
          <w:color w:val="000000" w:themeColor="text1"/>
        </w:rPr>
        <w:t xml:space="preserve">prokázáním výskytu onemocnění </w:t>
      </w:r>
      <w:r w:rsidR="000C3B1E">
        <w:rPr>
          <w:color w:val="000000" w:themeColor="text1"/>
        </w:rPr>
        <w:t>COVID</w:t>
      </w:r>
      <w:r w:rsidR="000C3B1E">
        <w:rPr>
          <w:color w:val="000000" w:themeColor="text1"/>
        </w:rPr>
        <w:noBreakHyphen/>
        <w:t>19</w:t>
      </w:r>
      <w:r w:rsidRPr="001C3EC8">
        <w:rPr>
          <w:color w:val="000000" w:themeColor="text1"/>
        </w:rPr>
        <w:t xml:space="preserve">, není možno tento konečný výsledek chápat jako výraznější zhoršení činnosti Vrchního soudu </w:t>
      </w:r>
      <w:r w:rsidR="00021FDD" w:rsidRPr="001C3EC8">
        <w:rPr>
          <w:color w:val="000000" w:themeColor="text1"/>
        </w:rPr>
        <w:t>v</w:t>
      </w:r>
      <w:r w:rsidR="00021FDD">
        <w:rPr>
          <w:color w:val="000000" w:themeColor="text1"/>
        </w:rPr>
        <w:t> </w:t>
      </w:r>
      <w:r w:rsidRPr="001C3EC8">
        <w:rPr>
          <w:color w:val="000000" w:themeColor="text1"/>
        </w:rPr>
        <w:t xml:space="preserve">Olomouci </w:t>
      </w:r>
      <w:r w:rsidR="00021FDD" w:rsidRPr="001C3EC8">
        <w:rPr>
          <w:color w:val="000000" w:themeColor="text1"/>
        </w:rPr>
        <w:t>v</w:t>
      </w:r>
      <w:r w:rsidR="00021FDD">
        <w:rPr>
          <w:color w:val="000000" w:themeColor="text1"/>
        </w:rPr>
        <w:t> </w:t>
      </w:r>
      <w:r w:rsidRPr="001C3EC8">
        <w:rPr>
          <w:color w:val="000000" w:themeColor="text1"/>
        </w:rPr>
        <w:t>trestní odvolací agendě.</w:t>
      </w:r>
    </w:p>
    <w:p w14:paraId="4B07B8B1" w14:textId="2F03924E" w:rsidR="008430BD" w:rsidRPr="001C3EC8" w:rsidRDefault="008430BD" w:rsidP="008430BD">
      <w:pPr>
        <w:pStyle w:val="Podnadpis"/>
        <w:rPr>
          <w:color w:val="000000" w:themeColor="text1"/>
        </w:rPr>
      </w:pPr>
      <w:bookmarkStart w:id="771" w:name="_Toc515871417"/>
      <w:bookmarkStart w:id="772" w:name="_Toc11135148"/>
      <w:bookmarkStart w:id="773" w:name="_Toc43841470"/>
      <w:bookmarkStart w:id="774" w:name="_Toc7595227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93</w:t>
      </w:r>
      <w:r w:rsidRPr="001C3EC8">
        <w:rPr>
          <w:color w:val="000000" w:themeColor="text1"/>
        </w:rPr>
        <w:fldChar w:fldCharType="end"/>
      </w:r>
      <w:r w:rsidRPr="001C3EC8">
        <w:rPr>
          <w:color w:val="000000" w:themeColor="text1"/>
        </w:rPr>
        <w:t>: VS – vyřizování odvolacích trestních věcí v letech 2008–20</w:t>
      </w:r>
      <w:bookmarkEnd w:id="771"/>
      <w:bookmarkEnd w:id="772"/>
      <w:bookmarkEnd w:id="773"/>
      <w:r w:rsidRPr="001C3EC8">
        <w:rPr>
          <w:color w:val="000000" w:themeColor="text1"/>
        </w:rPr>
        <w:t>20</w:t>
      </w:r>
      <w:bookmarkEnd w:id="774"/>
    </w:p>
    <w:p w14:paraId="0245360C"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5DA0F352" wp14:editId="02A37652">
            <wp:extent cx="5114925" cy="3743325"/>
            <wp:effectExtent l="0" t="0" r="0" b="9525"/>
            <wp:docPr id="176" name="Obráze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437125F" w14:textId="77777777" w:rsidR="008430BD" w:rsidRPr="001C3EC8" w:rsidRDefault="008430BD" w:rsidP="008430BD">
      <w:pPr>
        <w:pStyle w:val="Nadpis3"/>
        <w:numPr>
          <w:ilvl w:val="2"/>
          <w:numId w:val="1"/>
        </w:numPr>
        <w:rPr>
          <w:color w:val="000000" w:themeColor="text1"/>
          <w:lang w:eastAsia="cs-CZ"/>
        </w:rPr>
      </w:pPr>
      <w:bookmarkStart w:id="775" w:name="_Toc515871289"/>
      <w:bookmarkStart w:id="776" w:name="_Toc43903101"/>
      <w:bookmarkStart w:id="777" w:name="_Toc75952135"/>
      <w:r w:rsidRPr="001C3EC8">
        <w:rPr>
          <w:color w:val="000000" w:themeColor="text1"/>
          <w:lang w:eastAsia="cs-CZ"/>
        </w:rPr>
        <w:t>Vyřizování věcí v přepočtu na soudce</w:t>
      </w:r>
      <w:bookmarkEnd w:id="775"/>
      <w:bookmarkEnd w:id="776"/>
      <w:bookmarkEnd w:id="777"/>
    </w:p>
    <w:p w14:paraId="76E0A392" w14:textId="5E56D49C" w:rsidR="00B07E76" w:rsidRDefault="008430BD" w:rsidP="008430BD">
      <w:pPr>
        <w:pStyle w:val="OdstavecASR"/>
        <w:rPr>
          <w:color w:val="000000" w:themeColor="text1"/>
          <w:lang w:eastAsia="cs-CZ"/>
        </w:rPr>
      </w:pPr>
      <w:r w:rsidRPr="001C3EC8">
        <w:rPr>
          <w:color w:val="000000" w:themeColor="text1"/>
          <w:lang w:eastAsia="cs-CZ"/>
        </w:rPr>
        <w:t xml:space="preserve">Počet příchozích, vyřízených i nevyřízených věcí na soudce vždy byl u obou soudů velmi podobný. To koresponduje s tvrzením založeným na délkách řízení – oba soudy si ve vyřizování trestní odvolací agendy vedly obdobně. V posledních dvou letech ale výrazně narostl počet nevyřízených věcí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VS v Olomouci</w:t>
      </w:r>
      <w:r w:rsidR="00ED2B50" w:rsidRPr="001C3EC8">
        <w:rPr>
          <w:color w:val="000000" w:themeColor="text1"/>
          <w:lang w:eastAsia="cs-CZ"/>
        </w:rPr>
        <w:t>;</w:t>
      </w:r>
      <w:r w:rsidRPr="001C3EC8">
        <w:rPr>
          <w:color w:val="000000" w:themeColor="text1"/>
          <w:lang w:eastAsia="cs-CZ"/>
        </w:rPr>
        <w:t xml:space="preserve"> počet nevyřízených věcí na soudce je tam nyní téměř dvojnásobný ve srovnání s VS Praze.</w:t>
      </w:r>
    </w:p>
    <w:p w14:paraId="0EB6C5A2" w14:textId="577321B3" w:rsidR="008430BD" w:rsidRPr="001C3EC8" w:rsidRDefault="008430BD" w:rsidP="00280F81">
      <w:pPr>
        <w:pStyle w:val="Podnadpis"/>
        <w:pageBreakBefore/>
        <w:rPr>
          <w:color w:val="000000" w:themeColor="text1"/>
        </w:rPr>
      </w:pPr>
      <w:bookmarkStart w:id="778" w:name="_Toc515871504"/>
      <w:bookmarkStart w:id="779" w:name="_Toc11133270"/>
      <w:bookmarkStart w:id="780" w:name="_Toc43931252"/>
      <w:bookmarkStart w:id="781" w:name="_Toc75952386"/>
      <w:r w:rsidRPr="001C3EC8">
        <w:rPr>
          <w:color w:val="000000" w:themeColor="text1"/>
        </w:rPr>
        <w:lastRenderedPageBreak/>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83</w:t>
      </w:r>
      <w:r w:rsidRPr="001C3EC8">
        <w:rPr>
          <w:color w:val="000000" w:themeColor="text1"/>
        </w:rPr>
        <w:fldChar w:fldCharType="end"/>
      </w:r>
      <w:r w:rsidRPr="001C3EC8">
        <w:rPr>
          <w:color w:val="000000" w:themeColor="text1"/>
        </w:rPr>
        <w:t>: VS – vyřizování odvolacích trestních věcí na soudce</w:t>
      </w:r>
      <w:bookmarkEnd w:id="778"/>
      <w:bookmarkEnd w:id="779"/>
      <w:bookmarkEnd w:id="780"/>
      <w:bookmarkEnd w:id="781"/>
    </w:p>
    <w:tbl>
      <w:tblPr>
        <w:tblW w:w="7720" w:type="dxa"/>
        <w:tblCellMar>
          <w:left w:w="70" w:type="dxa"/>
          <w:right w:w="70" w:type="dxa"/>
        </w:tblCellMar>
        <w:tblLook w:val="04A0" w:firstRow="1" w:lastRow="0" w:firstColumn="1" w:lastColumn="0" w:noHBand="0" w:noVBand="1"/>
      </w:tblPr>
      <w:tblGrid>
        <w:gridCol w:w="2020"/>
        <w:gridCol w:w="1023"/>
        <w:gridCol w:w="892"/>
        <w:gridCol w:w="1022"/>
        <w:gridCol w:w="889"/>
        <w:gridCol w:w="809"/>
        <w:gridCol w:w="1065"/>
      </w:tblGrid>
      <w:tr w:rsidR="008430BD" w:rsidRPr="001C3EC8" w14:paraId="7B25EDAF" w14:textId="77777777" w:rsidTr="00E077F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4C88A0E" w14:textId="1108FAF3"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5700" w:type="dxa"/>
            <w:gridSpan w:val="6"/>
            <w:tcBorders>
              <w:top w:val="double" w:sz="6" w:space="0" w:color="auto"/>
              <w:left w:val="nil"/>
              <w:bottom w:val="nil"/>
              <w:right w:val="nil"/>
            </w:tcBorders>
            <w:shd w:val="clear" w:color="auto" w:fill="auto"/>
            <w:noWrap/>
            <w:vAlign w:val="center"/>
            <w:hideMark/>
          </w:tcPr>
          <w:p w14:paraId="6C650962"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věcí</w:t>
            </w:r>
          </w:p>
        </w:tc>
      </w:tr>
      <w:tr w:rsidR="008430BD" w:rsidRPr="001C3EC8" w14:paraId="04EAC5B3" w14:textId="77777777" w:rsidTr="00E077F3">
        <w:trPr>
          <w:trHeight w:val="330"/>
        </w:trPr>
        <w:tc>
          <w:tcPr>
            <w:tcW w:w="2020" w:type="dxa"/>
            <w:vMerge/>
            <w:tcBorders>
              <w:top w:val="double" w:sz="6" w:space="0" w:color="auto"/>
              <w:left w:val="nil"/>
              <w:bottom w:val="double" w:sz="6" w:space="0" w:color="000000"/>
              <w:right w:val="nil"/>
            </w:tcBorders>
            <w:vAlign w:val="center"/>
            <w:hideMark/>
          </w:tcPr>
          <w:p w14:paraId="791C40CA" w14:textId="77777777" w:rsidR="008430BD" w:rsidRPr="001C3EC8" w:rsidRDefault="008430BD" w:rsidP="00E077F3">
            <w:pPr>
              <w:spacing w:line="240" w:lineRule="auto"/>
              <w:jc w:val="left"/>
              <w:rPr>
                <w:rFonts w:eastAsia="Times New Roman"/>
                <w:b/>
                <w:bCs/>
                <w:color w:val="000000" w:themeColor="text1"/>
                <w:szCs w:val="24"/>
                <w:lang w:eastAsia="cs-CZ"/>
              </w:rPr>
            </w:pPr>
          </w:p>
        </w:tc>
        <w:tc>
          <w:tcPr>
            <w:tcW w:w="1915" w:type="dxa"/>
            <w:gridSpan w:val="2"/>
            <w:tcBorders>
              <w:top w:val="nil"/>
              <w:left w:val="nil"/>
              <w:bottom w:val="double" w:sz="6" w:space="0" w:color="auto"/>
              <w:right w:val="nil"/>
            </w:tcBorders>
            <w:shd w:val="clear" w:color="auto" w:fill="auto"/>
            <w:noWrap/>
            <w:vAlign w:val="center"/>
            <w:hideMark/>
          </w:tcPr>
          <w:p w14:paraId="4BEE8D14"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Nápad + obživa</w:t>
            </w:r>
          </w:p>
        </w:tc>
        <w:tc>
          <w:tcPr>
            <w:tcW w:w="191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9A7104F"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Vyřízeno</w:t>
            </w:r>
          </w:p>
        </w:tc>
        <w:tc>
          <w:tcPr>
            <w:tcW w:w="1874" w:type="dxa"/>
            <w:gridSpan w:val="2"/>
            <w:tcBorders>
              <w:top w:val="nil"/>
              <w:left w:val="nil"/>
              <w:bottom w:val="double" w:sz="6" w:space="0" w:color="auto"/>
              <w:right w:val="nil"/>
            </w:tcBorders>
            <w:shd w:val="clear" w:color="auto" w:fill="auto"/>
            <w:noWrap/>
            <w:vAlign w:val="center"/>
            <w:hideMark/>
          </w:tcPr>
          <w:p w14:paraId="39296A9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Nevyřízeno</w:t>
            </w:r>
          </w:p>
        </w:tc>
      </w:tr>
      <w:tr w:rsidR="008430BD" w:rsidRPr="001C3EC8" w14:paraId="589100C3" w14:textId="77777777" w:rsidTr="00E077F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3DAF294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 Praha</w:t>
            </w:r>
          </w:p>
        </w:tc>
        <w:tc>
          <w:tcPr>
            <w:tcW w:w="1023" w:type="dxa"/>
            <w:tcBorders>
              <w:top w:val="single" w:sz="4" w:space="0" w:color="auto"/>
              <w:left w:val="nil"/>
              <w:bottom w:val="single" w:sz="4" w:space="0" w:color="auto"/>
              <w:right w:val="nil"/>
            </w:tcBorders>
            <w:shd w:val="clear" w:color="auto" w:fill="auto"/>
            <w:noWrap/>
            <w:vAlign w:val="bottom"/>
            <w:hideMark/>
          </w:tcPr>
          <w:p w14:paraId="03CEC2E4" w14:textId="41D2B5B2"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r w:rsidR="00135992" w:rsidRPr="001C3EC8">
              <w:rPr>
                <w:rFonts w:eastAsia="Times New Roman"/>
                <w:color w:val="000000" w:themeColor="text1"/>
                <w:szCs w:val="24"/>
                <w:lang w:eastAsia="cs-CZ"/>
              </w:rPr>
              <w:t>,</w:t>
            </w:r>
            <w:r w:rsidRPr="001C3EC8">
              <w:rPr>
                <w:rFonts w:eastAsia="Times New Roman"/>
                <w:color w:val="000000" w:themeColor="text1"/>
                <w:szCs w:val="24"/>
                <w:lang w:eastAsia="cs-CZ"/>
              </w:rPr>
              <w:t>82</w:t>
            </w:r>
          </w:p>
        </w:tc>
        <w:tc>
          <w:tcPr>
            <w:tcW w:w="892" w:type="dxa"/>
            <w:tcBorders>
              <w:top w:val="single" w:sz="4" w:space="0" w:color="auto"/>
              <w:left w:val="nil"/>
              <w:bottom w:val="single" w:sz="4" w:space="0" w:color="auto"/>
              <w:right w:val="nil"/>
            </w:tcBorders>
            <w:shd w:val="clear" w:color="auto" w:fill="auto"/>
            <w:noWrap/>
            <w:vAlign w:val="center"/>
            <w:hideMark/>
          </w:tcPr>
          <w:p w14:paraId="2E17463F" w14:textId="3CA3ED7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5</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22" w:type="dxa"/>
            <w:tcBorders>
              <w:top w:val="single" w:sz="4" w:space="0" w:color="auto"/>
              <w:left w:val="single" w:sz="4" w:space="0" w:color="auto"/>
              <w:bottom w:val="single" w:sz="4" w:space="0" w:color="auto"/>
              <w:right w:val="nil"/>
            </w:tcBorders>
            <w:shd w:val="clear" w:color="auto" w:fill="auto"/>
            <w:noWrap/>
            <w:vAlign w:val="bottom"/>
            <w:hideMark/>
          </w:tcPr>
          <w:p w14:paraId="4DEEB92D" w14:textId="705C6FD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35</w:t>
            </w:r>
            <w:r w:rsidR="00135992" w:rsidRPr="001C3EC8">
              <w:rPr>
                <w:rFonts w:eastAsia="Times New Roman"/>
                <w:color w:val="000000" w:themeColor="text1"/>
                <w:szCs w:val="24"/>
                <w:lang w:eastAsia="cs-CZ"/>
              </w:rPr>
              <w:t>,</w:t>
            </w:r>
            <w:r w:rsidRPr="001C3EC8">
              <w:rPr>
                <w:rFonts w:eastAsia="Times New Roman"/>
                <w:color w:val="000000" w:themeColor="text1"/>
                <w:szCs w:val="24"/>
                <w:lang w:eastAsia="cs-CZ"/>
              </w:rPr>
              <w:t>67</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5A42C877" w14:textId="1F9AD48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5</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809" w:type="dxa"/>
            <w:tcBorders>
              <w:top w:val="single" w:sz="4" w:space="0" w:color="auto"/>
              <w:left w:val="nil"/>
              <w:bottom w:val="single" w:sz="4" w:space="0" w:color="auto"/>
              <w:right w:val="nil"/>
            </w:tcBorders>
            <w:shd w:val="clear" w:color="auto" w:fill="auto"/>
            <w:noWrap/>
            <w:vAlign w:val="bottom"/>
            <w:hideMark/>
          </w:tcPr>
          <w:p w14:paraId="4F116442" w14:textId="63C18076"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w:t>
            </w:r>
            <w:r w:rsidR="00135992" w:rsidRPr="001C3EC8">
              <w:rPr>
                <w:rFonts w:eastAsia="Times New Roman"/>
                <w:color w:val="000000" w:themeColor="text1"/>
                <w:szCs w:val="24"/>
                <w:lang w:eastAsia="cs-CZ"/>
              </w:rPr>
              <w:t>,</w:t>
            </w:r>
            <w:r w:rsidRPr="001C3EC8">
              <w:rPr>
                <w:rFonts w:eastAsia="Times New Roman"/>
                <w:color w:val="000000" w:themeColor="text1"/>
                <w:szCs w:val="24"/>
                <w:lang w:eastAsia="cs-CZ"/>
              </w:rPr>
              <w:t>87</w:t>
            </w:r>
          </w:p>
        </w:tc>
        <w:tc>
          <w:tcPr>
            <w:tcW w:w="1065" w:type="dxa"/>
            <w:tcBorders>
              <w:top w:val="single" w:sz="4" w:space="0" w:color="auto"/>
              <w:left w:val="nil"/>
              <w:bottom w:val="single" w:sz="4" w:space="0" w:color="auto"/>
              <w:right w:val="nil"/>
            </w:tcBorders>
            <w:shd w:val="clear" w:color="auto" w:fill="auto"/>
            <w:noWrap/>
            <w:vAlign w:val="center"/>
            <w:hideMark/>
          </w:tcPr>
          <w:p w14:paraId="69400873" w14:textId="7365E366"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6</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r>
      <w:tr w:rsidR="008430BD" w:rsidRPr="001C3EC8" w14:paraId="44634873" w14:textId="77777777" w:rsidTr="00E077F3">
        <w:trPr>
          <w:trHeight w:val="330"/>
        </w:trPr>
        <w:tc>
          <w:tcPr>
            <w:tcW w:w="2020" w:type="dxa"/>
            <w:tcBorders>
              <w:top w:val="nil"/>
              <w:left w:val="nil"/>
              <w:bottom w:val="nil"/>
              <w:right w:val="nil"/>
            </w:tcBorders>
            <w:shd w:val="clear" w:color="auto" w:fill="auto"/>
            <w:noWrap/>
            <w:vAlign w:val="bottom"/>
            <w:hideMark/>
          </w:tcPr>
          <w:p w14:paraId="4DD722A3"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VS Olomouc</w:t>
            </w:r>
          </w:p>
        </w:tc>
        <w:tc>
          <w:tcPr>
            <w:tcW w:w="1023" w:type="dxa"/>
            <w:tcBorders>
              <w:top w:val="nil"/>
              <w:left w:val="nil"/>
              <w:bottom w:val="nil"/>
              <w:right w:val="nil"/>
            </w:tcBorders>
            <w:shd w:val="clear" w:color="auto" w:fill="auto"/>
            <w:noWrap/>
            <w:vAlign w:val="bottom"/>
            <w:hideMark/>
          </w:tcPr>
          <w:p w14:paraId="5158B356" w14:textId="1078EB2B"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41</w:t>
            </w:r>
            <w:r w:rsidR="00135992" w:rsidRPr="001C3EC8">
              <w:rPr>
                <w:rFonts w:eastAsia="Times New Roman"/>
                <w:color w:val="000000" w:themeColor="text1"/>
                <w:szCs w:val="24"/>
                <w:lang w:eastAsia="cs-CZ"/>
              </w:rPr>
              <w:t>,</w:t>
            </w:r>
            <w:r w:rsidRPr="001C3EC8">
              <w:rPr>
                <w:rFonts w:eastAsia="Times New Roman"/>
                <w:color w:val="000000" w:themeColor="text1"/>
                <w:szCs w:val="24"/>
                <w:lang w:eastAsia="cs-CZ"/>
              </w:rPr>
              <w:t>00</w:t>
            </w:r>
          </w:p>
        </w:tc>
        <w:tc>
          <w:tcPr>
            <w:tcW w:w="892" w:type="dxa"/>
            <w:tcBorders>
              <w:top w:val="nil"/>
              <w:left w:val="nil"/>
              <w:bottom w:val="nil"/>
              <w:right w:val="nil"/>
            </w:tcBorders>
            <w:shd w:val="clear" w:color="auto" w:fill="auto"/>
            <w:noWrap/>
            <w:vAlign w:val="center"/>
            <w:hideMark/>
          </w:tcPr>
          <w:p w14:paraId="52E4C834" w14:textId="76B9792A"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5</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1022" w:type="dxa"/>
            <w:tcBorders>
              <w:top w:val="nil"/>
              <w:left w:val="single" w:sz="4" w:space="0" w:color="auto"/>
              <w:bottom w:val="nil"/>
              <w:right w:val="nil"/>
            </w:tcBorders>
            <w:shd w:val="clear" w:color="auto" w:fill="auto"/>
            <w:noWrap/>
            <w:vAlign w:val="bottom"/>
            <w:hideMark/>
          </w:tcPr>
          <w:p w14:paraId="2DE14430" w14:textId="1931D61A"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39</w:t>
            </w:r>
            <w:r w:rsidR="00135992" w:rsidRPr="001C3EC8">
              <w:rPr>
                <w:rFonts w:eastAsia="Times New Roman"/>
                <w:color w:val="000000" w:themeColor="text1"/>
                <w:szCs w:val="24"/>
                <w:lang w:eastAsia="cs-CZ"/>
              </w:rPr>
              <w:t>,</w:t>
            </w:r>
            <w:r w:rsidRPr="001C3EC8">
              <w:rPr>
                <w:rFonts w:eastAsia="Times New Roman"/>
                <w:color w:val="000000" w:themeColor="text1"/>
                <w:szCs w:val="24"/>
                <w:lang w:eastAsia="cs-CZ"/>
              </w:rPr>
              <w:t>19</w:t>
            </w:r>
          </w:p>
        </w:tc>
        <w:tc>
          <w:tcPr>
            <w:tcW w:w="889" w:type="dxa"/>
            <w:tcBorders>
              <w:top w:val="nil"/>
              <w:left w:val="nil"/>
              <w:bottom w:val="nil"/>
              <w:right w:val="single" w:sz="4" w:space="0" w:color="auto"/>
            </w:tcBorders>
            <w:shd w:val="clear" w:color="auto" w:fill="auto"/>
            <w:noWrap/>
            <w:vAlign w:val="center"/>
            <w:hideMark/>
          </w:tcPr>
          <w:p w14:paraId="3601C259" w14:textId="62AD48DF"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w:t>
            </w:r>
            <w:r w:rsidR="00021FDD" w:rsidRPr="001C3EC8">
              <w:rPr>
                <w:rFonts w:eastAsia="Times New Roman"/>
                <w:color w:val="000000" w:themeColor="text1"/>
                <w:sz w:val="20"/>
                <w:szCs w:val="20"/>
                <w:lang w:eastAsia="cs-CZ"/>
              </w:rPr>
              <w:t>6</w:t>
            </w:r>
            <w:r w:rsidR="00021FDD">
              <w:rPr>
                <w:rFonts w:eastAsia="Times New Roman"/>
                <w:color w:val="000000" w:themeColor="text1"/>
                <w:sz w:val="20"/>
                <w:szCs w:val="20"/>
                <w:lang w:eastAsia="cs-CZ"/>
              </w:rPr>
              <w:t> </w:t>
            </w:r>
            <w:r w:rsidR="00B07E76">
              <w:rPr>
                <w:rFonts w:eastAsia="Times New Roman"/>
                <w:color w:val="000000" w:themeColor="text1"/>
                <w:sz w:val="20"/>
                <w:szCs w:val="20"/>
                <w:lang w:eastAsia="cs-CZ"/>
              </w:rPr>
              <w:t>%</w:t>
            </w:r>
          </w:p>
        </w:tc>
        <w:tc>
          <w:tcPr>
            <w:tcW w:w="809" w:type="dxa"/>
            <w:tcBorders>
              <w:top w:val="nil"/>
              <w:left w:val="nil"/>
              <w:bottom w:val="nil"/>
              <w:right w:val="nil"/>
            </w:tcBorders>
            <w:shd w:val="clear" w:color="auto" w:fill="auto"/>
            <w:noWrap/>
            <w:vAlign w:val="bottom"/>
            <w:hideMark/>
          </w:tcPr>
          <w:p w14:paraId="7C89B329" w14:textId="27A59CC8"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8</w:t>
            </w:r>
            <w:r w:rsidR="00135992" w:rsidRPr="001C3EC8">
              <w:rPr>
                <w:rFonts w:eastAsia="Times New Roman"/>
                <w:color w:val="000000" w:themeColor="text1"/>
                <w:szCs w:val="24"/>
                <w:lang w:eastAsia="cs-CZ"/>
              </w:rPr>
              <w:t>,</w:t>
            </w:r>
            <w:r w:rsidRPr="001C3EC8">
              <w:rPr>
                <w:rFonts w:eastAsia="Times New Roman"/>
                <w:color w:val="000000" w:themeColor="text1"/>
                <w:szCs w:val="24"/>
                <w:lang w:eastAsia="cs-CZ"/>
              </w:rPr>
              <w:t>75</w:t>
            </w:r>
          </w:p>
        </w:tc>
        <w:tc>
          <w:tcPr>
            <w:tcW w:w="1065" w:type="dxa"/>
            <w:tcBorders>
              <w:top w:val="nil"/>
              <w:left w:val="nil"/>
              <w:bottom w:val="nil"/>
              <w:right w:val="nil"/>
            </w:tcBorders>
            <w:shd w:val="clear" w:color="auto" w:fill="auto"/>
            <w:noWrap/>
            <w:vAlign w:val="center"/>
            <w:hideMark/>
          </w:tcPr>
          <w:p w14:paraId="49AB1C23" w14:textId="561D14C5" w:rsidR="008430BD" w:rsidRPr="001C3EC8" w:rsidRDefault="008430BD" w:rsidP="00E077F3">
            <w:pPr>
              <w:spacing w:line="240" w:lineRule="auto"/>
              <w:jc w:val="center"/>
              <w:rPr>
                <w:rFonts w:eastAsia="Times New Roman"/>
                <w:color w:val="000000" w:themeColor="text1"/>
                <w:sz w:val="20"/>
                <w:szCs w:val="20"/>
                <w:lang w:eastAsia="cs-CZ"/>
              </w:rPr>
            </w:pPr>
            <w:r w:rsidRPr="001C3EC8">
              <w:rPr>
                <w:rFonts w:eastAsia="Times New Roman"/>
                <w:color w:val="000000" w:themeColor="text1"/>
                <w:sz w:val="20"/>
                <w:szCs w:val="20"/>
                <w:lang w:eastAsia="cs-CZ"/>
              </w:rPr>
              <w:t xml:space="preserve">+34 </w:t>
            </w:r>
            <w:r w:rsidR="00B07E76">
              <w:rPr>
                <w:rFonts w:eastAsia="Times New Roman"/>
                <w:color w:val="000000" w:themeColor="text1"/>
                <w:sz w:val="20"/>
                <w:szCs w:val="20"/>
                <w:lang w:eastAsia="cs-CZ"/>
              </w:rPr>
              <w:t>%</w:t>
            </w:r>
          </w:p>
        </w:tc>
      </w:tr>
      <w:tr w:rsidR="008430BD" w:rsidRPr="001C3EC8" w14:paraId="2C903F17" w14:textId="77777777" w:rsidTr="00E077F3">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2FDF4689"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023" w:type="dxa"/>
            <w:tcBorders>
              <w:top w:val="double" w:sz="6" w:space="0" w:color="auto"/>
              <w:left w:val="nil"/>
              <w:bottom w:val="double" w:sz="6" w:space="0" w:color="auto"/>
              <w:right w:val="nil"/>
            </w:tcBorders>
            <w:shd w:val="clear" w:color="auto" w:fill="auto"/>
            <w:noWrap/>
            <w:vAlign w:val="bottom"/>
            <w:hideMark/>
          </w:tcPr>
          <w:p w14:paraId="23A1B8AF" w14:textId="3062775B"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37</w:t>
            </w:r>
            <w:r w:rsidR="00135992" w:rsidRPr="001C3EC8">
              <w:rPr>
                <w:rFonts w:eastAsia="Times New Roman"/>
                <w:b/>
                <w:bCs/>
                <w:color w:val="000000" w:themeColor="text1"/>
                <w:szCs w:val="24"/>
                <w:lang w:eastAsia="cs-CZ"/>
              </w:rPr>
              <w:t>,</w:t>
            </w:r>
            <w:r w:rsidRPr="001C3EC8">
              <w:rPr>
                <w:rFonts w:eastAsia="Times New Roman"/>
                <w:b/>
                <w:bCs/>
                <w:color w:val="000000" w:themeColor="text1"/>
                <w:szCs w:val="24"/>
                <w:lang w:eastAsia="cs-CZ"/>
              </w:rPr>
              <w:t>33</w:t>
            </w:r>
          </w:p>
        </w:tc>
        <w:tc>
          <w:tcPr>
            <w:tcW w:w="892" w:type="dxa"/>
            <w:tcBorders>
              <w:top w:val="double" w:sz="6" w:space="0" w:color="auto"/>
              <w:left w:val="nil"/>
              <w:bottom w:val="double" w:sz="6" w:space="0" w:color="auto"/>
              <w:right w:val="nil"/>
            </w:tcBorders>
            <w:shd w:val="clear" w:color="auto" w:fill="auto"/>
            <w:noWrap/>
            <w:vAlign w:val="center"/>
            <w:hideMark/>
          </w:tcPr>
          <w:p w14:paraId="0E36CCEC" w14:textId="0744D48E"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021FDD" w:rsidRPr="001C3EC8">
              <w:rPr>
                <w:rFonts w:eastAsia="Times New Roman"/>
                <w:b/>
                <w:bCs/>
                <w:color w:val="000000" w:themeColor="text1"/>
                <w:sz w:val="20"/>
                <w:szCs w:val="20"/>
                <w:lang w:eastAsia="cs-CZ"/>
              </w:rPr>
              <w:t>2</w:t>
            </w:r>
            <w:r w:rsidR="00021FDD">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1022" w:type="dxa"/>
            <w:tcBorders>
              <w:top w:val="double" w:sz="6" w:space="0" w:color="auto"/>
              <w:left w:val="single" w:sz="4" w:space="0" w:color="auto"/>
              <w:bottom w:val="double" w:sz="6" w:space="0" w:color="auto"/>
              <w:right w:val="nil"/>
            </w:tcBorders>
            <w:shd w:val="clear" w:color="auto" w:fill="auto"/>
            <w:noWrap/>
            <w:vAlign w:val="bottom"/>
            <w:hideMark/>
          </w:tcPr>
          <w:p w14:paraId="676027D0" w14:textId="50CCA23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36</w:t>
            </w:r>
            <w:r w:rsidR="00135992" w:rsidRPr="001C3EC8">
              <w:rPr>
                <w:rFonts w:eastAsia="Times New Roman"/>
                <w:b/>
                <w:bCs/>
                <w:color w:val="000000" w:themeColor="text1"/>
                <w:szCs w:val="24"/>
                <w:lang w:eastAsia="cs-CZ"/>
              </w:rPr>
              <w:t>,</w:t>
            </w:r>
            <w:r w:rsidRPr="001C3EC8">
              <w:rPr>
                <w:rFonts w:eastAsia="Times New Roman"/>
                <w:b/>
                <w:bCs/>
                <w:color w:val="000000" w:themeColor="text1"/>
                <w:szCs w:val="24"/>
                <w:lang w:eastAsia="cs-CZ"/>
              </w:rPr>
              <w:t>69</w:t>
            </w:r>
          </w:p>
        </w:tc>
        <w:tc>
          <w:tcPr>
            <w:tcW w:w="889" w:type="dxa"/>
            <w:tcBorders>
              <w:top w:val="double" w:sz="6" w:space="0" w:color="auto"/>
              <w:left w:val="nil"/>
              <w:bottom w:val="double" w:sz="6" w:space="0" w:color="auto"/>
              <w:right w:val="single" w:sz="4" w:space="0" w:color="auto"/>
            </w:tcBorders>
            <w:shd w:val="clear" w:color="auto" w:fill="auto"/>
            <w:noWrap/>
            <w:vAlign w:val="center"/>
            <w:hideMark/>
          </w:tcPr>
          <w:p w14:paraId="6EE44B99" w14:textId="691B338C"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w:t>
            </w:r>
            <w:r w:rsidR="00021FDD" w:rsidRPr="001C3EC8">
              <w:rPr>
                <w:rFonts w:eastAsia="Times New Roman"/>
                <w:b/>
                <w:bCs/>
                <w:color w:val="000000" w:themeColor="text1"/>
                <w:sz w:val="20"/>
                <w:szCs w:val="20"/>
                <w:lang w:eastAsia="cs-CZ"/>
              </w:rPr>
              <w:t>1</w:t>
            </w:r>
            <w:r w:rsidR="00021FDD">
              <w:rPr>
                <w:rFonts w:eastAsia="Times New Roman"/>
                <w:b/>
                <w:bCs/>
                <w:color w:val="000000" w:themeColor="text1"/>
                <w:sz w:val="20"/>
                <w:szCs w:val="20"/>
                <w:lang w:eastAsia="cs-CZ"/>
              </w:rPr>
              <w:t> </w:t>
            </w:r>
            <w:r w:rsidR="00B07E76">
              <w:rPr>
                <w:rFonts w:eastAsia="Times New Roman"/>
                <w:b/>
                <w:bCs/>
                <w:color w:val="000000" w:themeColor="text1"/>
                <w:sz w:val="20"/>
                <w:szCs w:val="20"/>
                <w:lang w:eastAsia="cs-CZ"/>
              </w:rPr>
              <w:t>%</w:t>
            </w:r>
          </w:p>
        </w:tc>
        <w:tc>
          <w:tcPr>
            <w:tcW w:w="809" w:type="dxa"/>
            <w:tcBorders>
              <w:top w:val="double" w:sz="6" w:space="0" w:color="auto"/>
              <w:left w:val="nil"/>
              <w:bottom w:val="double" w:sz="6" w:space="0" w:color="auto"/>
              <w:right w:val="nil"/>
            </w:tcBorders>
            <w:shd w:val="clear" w:color="auto" w:fill="auto"/>
            <w:noWrap/>
            <w:vAlign w:val="bottom"/>
            <w:hideMark/>
          </w:tcPr>
          <w:p w14:paraId="47352225" w14:textId="127339B5"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6</w:t>
            </w:r>
            <w:r w:rsidR="00135992" w:rsidRPr="001C3EC8">
              <w:rPr>
                <w:rFonts w:eastAsia="Times New Roman"/>
                <w:b/>
                <w:bCs/>
                <w:color w:val="000000" w:themeColor="text1"/>
                <w:szCs w:val="24"/>
                <w:lang w:eastAsia="cs-CZ"/>
              </w:rPr>
              <w:t>,</w:t>
            </w:r>
            <w:r w:rsidRPr="001C3EC8">
              <w:rPr>
                <w:rFonts w:eastAsia="Times New Roman"/>
                <w:b/>
                <w:bCs/>
                <w:color w:val="000000" w:themeColor="text1"/>
                <w:szCs w:val="24"/>
                <w:lang w:eastAsia="cs-CZ"/>
              </w:rPr>
              <w:t>00</w:t>
            </w:r>
          </w:p>
        </w:tc>
        <w:tc>
          <w:tcPr>
            <w:tcW w:w="1065" w:type="dxa"/>
            <w:tcBorders>
              <w:top w:val="double" w:sz="6" w:space="0" w:color="auto"/>
              <w:left w:val="nil"/>
              <w:bottom w:val="double" w:sz="6" w:space="0" w:color="auto"/>
              <w:right w:val="nil"/>
            </w:tcBorders>
            <w:shd w:val="clear" w:color="auto" w:fill="auto"/>
            <w:noWrap/>
            <w:vAlign w:val="center"/>
            <w:hideMark/>
          </w:tcPr>
          <w:p w14:paraId="5C6BBF21" w14:textId="5775EDE6" w:rsidR="008430BD" w:rsidRPr="001C3EC8" w:rsidRDefault="008430BD" w:rsidP="00E077F3">
            <w:pPr>
              <w:spacing w:line="240" w:lineRule="auto"/>
              <w:jc w:val="center"/>
              <w:rPr>
                <w:rFonts w:eastAsia="Times New Roman"/>
                <w:b/>
                <w:bCs/>
                <w:color w:val="000000" w:themeColor="text1"/>
                <w:sz w:val="20"/>
                <w:szCs w:val="20"/>
                <w:lang w:eastAsia="cs-CZ"/>
              </w:rPr>
            </w:pPr>
            <w:r w:rsidRPr="001C3EC8">
              <w:rPr>
                <w:rFonts w:eastAsia="Times New Roman"/>
                <w:b/>
                <w:bCs/>
                <w:color w:val="000000" w:themeColor="text1"/>
                <w:sz w:val="20"/>
                <w:szCs w:val="20"/>
                <w:lang w:eastAsia="cs-CZ"/>
              </w:rPr>
              <w:t xml:space="preserve">+16 </w:t>
            </w:r>
            <w:r w:rsidR="00B07E76">
              <w:rPr>
                <w:rFonts w:eastAsia="Times New Roman"/>
                <w:b/>
                <w:bCs/>
                <w:color w:val="000000" w:themeColor="text1"/>
                <w:sz w:val="20"/>
                <w:szCs w:val="20"/>
                <w:lang w:eastAsia="cs-CZ"/>
              </w:rPr>
              <w:t>%</w:t>
            </w:r>
          </w:p>
        </w:tc>
      </w:tr>
    </w:tbl>
    <w:p w14:paraId="34D110A0" w14:textId="77777777" w:rsidR="008430BD" w:rsidRPr="001C3EC8" w:rsidRDefault="008430BD" w:rsidP="008430BD">
      <w:pPr>
        <w:rPr>
          <w:color w:val="000000" w:themeColor="text1"/>
          <w:lang w:eastAsia="cs-CZ"/>
        </w:rPr>
      </w:pPr>
    </w:p>
    <w:p w14:paraId="5377979A" w14:textId="77777777" w:rsidR="008430BD" w:rsidRPr="001C3EC8" w:rsidRDefault="008430BD" w:rsidP="008430BD">
      <w:pPr>
        <w:pStyle w:val="Nadpis3"/>
        <w:keepNext w:val="0"/>
        <w:numPr>
          <w:ilvl w:val="2"/>
          <w:numId w:val="1"/>
        </w:numPr>
        <w:rPr>
          <w:color w:val="000000" w:themeColor="text1"/>
          <w:lang w:eastAsia="cs-CZ"/>
        </w:rPr>
      </w:pPr>
      <w:bookmarkStart w:id="782" w:name="_Toc515871290"/>
      <w:bookmarkStart w:id="783" w:name="_Toc75952136"/>
      <w:proofErr w:type="spellStart"/>
      <w:r w:rsidRPr="001C3EC8">
        <w:rPr>
          <w:color w:val="000000" w:themeColor="text1"/>
          <w:lang w:eastAsia="cs-CZ"/>
        </w:rPr>
        <w:t>Disposition</w:t>
      </w:r>
      <w:proofErr w:type="spellEnd"/>
      <w:r w:rsidRPr="001C3EC8">
        <w:rPr>
          <w:color w:val="000000" w:themeColor="text1"/>
          <w:lang w:eastAsia="cs-CZ"/>
        </w:rPr>
        <w:t xml:space="preserve"> </w:t>
      </w:r>
      <w:proofErr w:type="spellStart"/>
      <w:r w:rsidRPr="001C3EC8">
        <w:rPr>
          <w:color w:val="000000" w:themeColor="text1"/>
          <w:lang w:eastAsia="cs-CZ"/>
        </w:rPr>
        <w:t>time</w:t>
      </w:r>
      <w:bookmarkEnd w:id="782"/>
      <w:proofErr w:type="spellEnd"/>
      <w:r w:rsidRPr="001C3EC8">
        <w:rPr>
          <w:color w:val="000000" w:themeColor="text1"/>
          <w:lang w:eastAsia="cs-CZ"/>
        </w:rPr>
        <w:t xml:space="preserve"> (dispoziční čas)</w:t>
      </w:r>
      <w:bookmarkEnd w:id="783"/>
    </w:p>
    <w:p w14:paraId="79684476" w14:textId="0C4B8F0E" w:rsidR="00B07E76" w:rsidRDefault="008430BD" w:rsidP="008430BD">
      <w:pPr>
        <w:rPr>
          <w:color w:val="000000" w:themeColor="text1"/>
        </w:rPr>
      </w:pPr>
      <w:r w:rsidRPr="001C3EC8">
        <w:rPr>
          <w:color w:val="000000" w:themeColor="text1"/>
        </w:rPr>
        <w:t xml:space="preserve">DT opět potvrzuje to, co ukazují předchozí podkapitoly. Nejdůležitějším závěrem je, že DT je z dlouhodobého hlediska nízký. Především u VS v Olomouci je pak DT značně nestabilní; zejména nárůst v roce 2016 je velmi výrazný, což plyne z dlouhodobě velmi malého počtu nevyřízených věcí. Nejvyšší nárůst je ale zaznamenán v roce 2020, kdy DT </w:t>
      </w:r>
      <w:r w:rsidR="00021FDD" w:rsidRPr="001C3EC8">
        <w:rPr>
          <w:color w:val="000000" w:themeColor="text1"/>
        </w:rPr>
        <w:t>u</w:t>
      </w:r>
      <w:r w:rsidR="00021FDD">
        <w:rPr>
          <w:color w:val="000000" w:themeColor="text1"/>
        </w:rPr>
        <w:t> </w:t>
      </w:r>
      <w:r w:rsidRPr="001C3EC8">
        <w:rPr>
          <w:color w:val="000000" w:themeColor="text1"/>
        </w:rPr>
        <w:t xml:space="preserve">VS v Olomouci </w:t>
      </w:r>
      <w:r w:rsidR="00ED2B50" w:rsidRPr="001C3EC8">
        <w:rPr>
          <w:color w:val="000000" w:themeColor="text1"/>
        </w:rPr>
        <w:t>„</w:t>
      </w:r>
      <w:r w:rsidRPr="001C3EC8">
        <w:rPr>
          <w:color w:val="000000" w:themeColor="text1"/>
        </w:rPr>
        <w:t>vystřelil</w:t>
      </w:r>
      <w:r w:rsidR="00ED2B50" w:rsidRPr="001C3EC8">
        <w:rPr>
          <w:color w:val="000000" w:themeColor="text1"/>
        </w:rPr>
        <w:t>“</w:t>
      </w:r>
      <w:r w:rsidRPr="001C3EC8">
        <w:rPr>
          <w:color w:val="000000" w:themeColor="text1"/>
        </w:rPr>
        <w:t xml:space="preserve"> na 81. Při takto malých číslech se změna v počtu nevyřízených věcí o několik desítek </w:t>
      </w:r>
      <w:r w:rsidR="00ED2B50" w:rsidRPr="001C3EC8">
        <w:rPr>
          <w:color w:val="000000" w:themeColor="text1"/>
        </w:rPr>
        <w:t xml:space="preserve">v DT </w:t>
      </w:r>
      <w:r w:rsidRPr="001C3EC8">
        <w:rPr>
          <w:color w:val="000000" w:themeColor="text1"/>
        </w:rPr>
        <w:t xml:space="preserve">silně projeví. V reálném fungování nebo zatíženosti soudu </w:t>
      </w:r>
      <w:r w:rsidR="00ED2B50" w:rsidRPr="001C3EC8">
        <w:rPr>
          <w:color w:val="000000" w:themeColor="text1"/>
        </w:rPr>
        <w:t>však</w:t>
      </w:r>
      <w:r w:rsidRPr="001C3EC8">
        <w:rPr>
          <w:color w:val="000000" w:themeColor="text1"/>
        </w:rPr>
        <w:t xml:space="preserve"> často k žádné změně nedojde.</w:t>
      </w:r>
    </w:p>
    <w:p w14:paraId="47B864D9" w14:textId="6F6E66BD" w:rsidR="008430BD" w:rsidRPr="001C3EC8" w:rsidRDefault="008430BD" w:rsidP="008430BD">
      <w:pPr>
        <w:pStyle w:val="Podnadpis"/>
        <w:rPr>
          <w:color w:val="000000" w:themeColor="text1"/>
        </w:rPr>
      </w:pPr>
      <w:bookmarkStart w:id="784" w:name="_Toc43841471"/>
      <w:bookmarkStart w:id="785" w:name="_Toc75952274"/>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94</w:t>
      </w:r>
      <w:r w:rsidRPr="001C3EC8">
        <w:rPr>
          <w:color w:val="000000" w:themeColor="text1"/>
        </w:rPr>
        <w:fldChar w:fldCharType="end"/>
      </w:r>
      <w:r w:rsidRPr="001C3EC8">
        <w:rPr>
          <w:color w:val="000000" w:themeColor="text1"/>
        </w:rPr>
        <w:t>: VS – DT trestního odvolacího řízení v letech 2008–20</w:t>
      </w:r>
      <w:bookmarkEnd w:id="784"/>
      <w:r w:rsidRPr="001C3EC8">
        <w:rPr>
          <w:color w:val="000000" w:themeColor="text1"/>
        </w:rPr>
        <w:t>20</w:t>
      </w:r>
      <w:bookmarkEnd w:id="785"/>
    </w:p>
    <w:p w14:paraId="0801B5F9"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53FEDFFC" wp14:editId="73E3A93A">
            <wp:extent cx="5114925" cy="3743325"/>
            <wp:effectExtent l="0" t="0" r="0" b="9525"/>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4AEBC77" w14:textId="77777777" w:rsidR="008430BD" w:rsidRPr="001C3EC8" w:rsidRDefault="008430BD" w:rsidP="008430BD">
      <w:pPr>
        <w:spacing w:line="240" w:lineRule="auto"/>
        <w:jc w:val="left"/>
        <w:rPr>
          <w:color w:val="000000" w:themeColor="text1"/>
          <w:highlight w:val="yellow"/>
        </w:rPr>
      </w:pPr>
    </w:p>
    <w:p w14:paraId="3F091BE3" w14:textId="77777777" w:rsidR="00B07E76" w:rsidRDefault="008430BD" w:rsidP="006A7153">
      <w:pPr>
        <w:pStyle w:val="OdstavecASR"/>
        <w:rPr>
          <w:color w:val="000000" w:themeColor="text1"/>
        </w:rPr>
      </w:pPr>
      <w:r w:rsidRPr="001C3EC8">
        <w:rPr>
          <w:color w:val="000000" w:themeColor="text1"/>
        </w:rPr>
        <w:t xml:space="preserve">Situaci v této agendě lze shrnout asi tak, že ani jeden ze soudů </w:t>
      </w:r>
      <w:r w:rsidR="00ED2B50" w:rsidRPr="001C3EC8">
        <w:rPr>
          <w:color w:val="000000" w:themeColor="text1"/>
        </w:rPr>
        <w:t xml:space="preserve">dlouhodobě </w:t>
      </w:r>
      <w:r w:rsidRPr="001C3EC8">
        <w:rPr>
          <w:color w:val="000000" w:themeColor="text1"/>
        </w:rPr>
        <w:t>nevykazuje problém s jejím vyřizováním a oba soudy ji vyřizují přibližně stejně rychle. V některých ukazatelích vykazoval</w:t>
      </w:r>
      <w:r w:rsidR="00FF5673" w:rsidRPr="001C3EC8">
        <w:rPr>
          <w:color w:val="000000" w:themeColor="text1"/>
        </w:rPr>
        <w:t>a</w:t>
      </w:r>
      <w:r w:rsidRPr="001C3EC8">
        <w:rPr>
          <w:color w:val="000000" w:themeColor="text1"/>
        </w:rPr>
        <w:t xml:space="preserve"> lepší výsledky Praha, v jiných Olomouc. Data v některých obdobích vykazují určité výkyvy, které jsou způsobeny tím, že počet pozorování (např. počet pravomocně skončených věcí) je malý.</w:t>
      </w:r>
    </w:p>
    <w:p w14:paraId="47BF655B" w14:textId="55FBFC41" w:rsidR="008430BD" w:rsidRPr="001C3EC8" w:rsidRDefault="008430BD" w:rsidP="008430BD">
      <w:pPr>
        <w:pStyle w:val="Nadpis2"/>
        <w:numPr>
          <w:ilvl w:val="1"/>
          <w:numId w:val="1"/>
        </w:numPr>
        <w:spacing w:before="120"/>
      </w:pPr>
      <w:bookmarkStart w:id="786" w:name="_Toc487791293"/>
      <w:bookmarkStart w:id="787" w:name="_Toc515871291"/>
      <w:bookmarkStart w:id="788" w:name="_Toc75952137"/>
      <w:r w:rsidRPr="001C3EC8">
        <w:lastRenderedPageBreak/>
        <w:t>Insolvenční agenda – II. stupeň</w:t>
      </w:r>
      <w:bookmarkEnd w:id="786"/>
      <w:bookmarkEnd w:id="787"/>
      <w:bookmarkEnd w:id="788"/>
    </w:p>
    <w:p w14:paraId="14A02E20" w14:textId="77777777" w:rsidR="008430BD" w:rsidRPr="001C3EC8" w:rsidRDefault="008430BD" w:rsidP="008430BD">
      <w:pPr>
        <w:pStyle w:val="OdstavecASR"/>
        <w:rPr>
          <w:color w:val="000000" w:themeColor="text1"/>
        </w:rPr>
      </w:pPr>
      <w:r w:rsidRPr="001C3EC8">
        <w:rPr>
          <w:color w:val="000000" w:themeColor="text1"/>
        </w:rPr>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 a nelze ani provést přepočet na jednoho soudce.</w:t>
      </w:r>
    </w:p>
    <w:p w14:paraId="601641D6" w14:textId="77777777" w:rsidR="008430BD" w:rsidRPr="001C3EC8" w:rsidRDefault="008430BD" w:rsidP="008430BD">
      <w:pPr>
        <w:pStyle w:val="Nadpis3"/>
        <w:numPr>
          <w:ilvl w:val="2"/>
          <w:numId w:val="1"/>
        </w:numPr>
        <w:rPr>
          <w:color w:val="000000" w:themeColor="text1"/>
          <w:lang w:eastAsia="cs-CZ"/>
        </w:rPr>
      </w:pPr>
      <w:bookmarkStart w:id="789" w:name="_Toc515871292"/>
      <w:bookmarkStart w:id="790" w:name="_Toc75952138"/>
      <w:r w:rsidRPr="001C3EC8">
        <w:rPr>
          <w:color w:val="000000" w:themeColor="text1"/>
          <w:lang w:eastAsia="cs-CZ"/>
        </w:rPr>
        <w:t>Vyřizování věcí</w:t>
      </w:r>
      <w:bookmarkEnd w:id="789"/>
      <w:bookmarkEnd w:id="790"/>
    </w:p>
    <w:p w14:paraId="357B3923" w14:textId="054C6D49" w:rsidR="00B07E76" w:rsidRDefault="008430BD" w:rsidP="008430BD">
      <w:pPr>
        <w:pStyle w:val="OdstavecASR"/>
        <w:rPr>
          <w:color w:val="000000" w:themeColor="text1"/>
        </w:rPr>
      </w:pPr>
      <w:r w:rsidRPr="001C3EC8">
        <w:rPr>
          <w:color w:val="000000" w:themeColor="text1"/>
        </w:rPr>
        <w:t xml:space="preserve">Z grafu je patrný velký nárůst v nápadu i počtu vyřízených </w:t>
      </w:r>
      <w:r w:rsidR="00021FDD">
        <w:rPr>
          <w:color w:val="000000" w:themeColor="text1"/>
        </w:rPr>
        <w:t>a </w:t>
      </w:r>
      <w:r w:rsidR="00EA39EE">
        <w:rPr>
          <w:color w:val="000000" w:themeColor="text1"/>
        </w:rPr>
        <w:t xml:space="preserve">nevyřízených </w:t>
      </w:r>
      <w:r w:rsidRPr="001C3EC8">
        <w:rPr>
          <w:color w:val="000000" w:themeColor="text1"/>
        </w:rPr>
        <w:t>věcí do roku 2014</w:t>
      </w:r>
      <w:r w:rsidR="00EA39EE">
        <w:rPr>
          <w:color w:val="000000" w:themeColor="text1"/>
        </w:rPr>
        <w:t xml:space="preserve"> </w:t>
      </w:r>
      <w:r w:rsidR="00021FDD">
        <w:rPr>
          <w:color w:val="000000" w:themeColor="text1"/>
        </w:rPr>
        <w:t>a </w:t>
      </w:r>
      <w:r w:rsidR="00EA39EE">
        <w:rPr>
          <w:color w:val="000000" w:themeColor="text1"/>
        </w:rPr>
        <w:t xml:space="preserve">zcela opačný trend od roku </w:t>
      </w:r>
      <w:proofErr w:type="gramStart"/>
      <w:r w:rsidR="00EA39EE">
        <w:rPr>
          <w:color w:val="000000" w:themeColor="text1"/>
        </w:rPr>
        <w:t>2015 - 2016</w:t>
      </w:r>
      <w:proofErr w:type="gramEnd"/>
      <w:r w:rsidR="00EA39EE">
        <w:rPr>
          <w:color w:val="000000" w:themeColor="text1"/>
        </w:rPr>
        <w:t xml:space="preserve"> dále</w:t>
      </w:r>
      <w:r w:rsidRPr="001C3EC8">
        <w:rPr>
          <w:color w:val="000000" w:themeColor="text1"/>
        </w:rPr>
        <w:t xml:space="preserve">. Důvody jsou stejné jako v případě insolvenční agendy u prvostupňových soudů, tedy skutečnost, že rejstřík vznikl v roce 2008 a logicky trvá několik let, než se nápad ustálí. U odvolání dojde ke stabilizaci s určitým zpožděním oproti prvostupňové agendě. </w:t>
      </w:r>
      <w:r w:rsidR="00021FDD" w:rsidRPr="001C3EC8">
        <w:rPr>
          <w:color w:val="000000" w:themeColor="text1"/>
        </w:rPr>
        <w:t>U</w:t>
      </w:r>
      <w:r w:rsidR="00021FDD">
        <w:rPr>
          <w:color w:val="000000" w:themeColor="text1"/>
        </w:rPr>
        <w:t> </w:t>
      </w:r>
      <w:r w:rsidRPr="001C3EC8">
        <w:rPr>
          <w:color w:val="000000" w:themeColor="text1"/>
        </w:rPr>
        <w:t xml:space="preserve">VS Praha začal nápad klesat v roce 2015, u VS Olomouc došlo k poklesu až v roce 2017. </w:t>
      </w:r>
      <w:r w:rsidR="00021FDD" w:rsidRPr="001C3EC8">
        <w:rPr>
          <w:color w:val="000000" w:themeColor="text1"/>
        </w:rPr>
        <w:t>I</w:t>
      </w:r>
      <w:r w:rsidR="00021FDD">
        <w:rPr>
          <w:color w:val="000000" w:themeColor="text1"/>
        </w:rPr>
        <w:t> </w:t>
      </w:r>
      <w:r w:rsidRPr="001C3EC8">
        <w:rPr>
          <w:color w:val="000000" w:themeColor="text1"/>
        </w:rPr>
        <w:t xml:space="preserve">v roce 2018 se snížil počet napadlých a obživlých věcí, což se však neodrazilo v počtu nevyřízených věcí; ten se v roce 2018 </w:t>
      </w:r>
      <w:r w:rsidR="00021FDD" w:rsidRPr="001C3EC8">
        <w:rPr>
          <w:color w:val="000000" w:themeColor="text1"/>
        </w:rPr>
        <w:t>u</w:t>
      </w:r>
      <w:r w:rsidR="00021FDD">
        <w:rPr>
          <w:color w:val="000000" w:themeColor="text1"/>
        </w:rPr>
        <w:t> </w:t>
      </w:r>
      <w:r w:rsidRPr="001C3EC8">
        <w:rPr>
          <w:color w:val="000000" w:themeColor="text1"/>
        </w:rPr>
        <w:t xml:space="preserve">VS Praha zvýšil téměř o 13 % </w:t>
      </w:r>
      <w:r w:rsidR="00021FDD" w:rsidRPr="001C3EC8">
        <w:rPr>
          <w:color w:val="000000" w:themeColor="text1"/>
        </w:rPr>
        <w:t>a</w:t>
      </w:r>
      <w:r w:rsidR="00021FDD">
        <w:rPr>
          <w:color w:val="000000" w:themeColor="text1"/>
        </w:rPr>
        <w:t> </w:t>
      </w:r>
      <w:r w:rsidR="00021FDD" w:rsidRPr="001C3EC8">
        <w:rPr>
          <w:color w:val="000000" w:themeColor="text1"/>
        </w:rPr>
        <w:t>u</w:t>
      </w:r>
      <w:r w:rsidR="00021FDD">
        <w:rPr>
          <w:color w:val="000000" w:themeColor="text1"/>
        </w:rPr>
        <w:t> </w:t>
      </w:r>
      <w:r w:rsidRPr="001C3EC8">
        <w:rPr>
          <w:color w:val="000000" w:themeColor="text1"/>
        </w:rPr>
        <w:t xml:space="preserve">VS Olomouc stagnoval. Oproti předchozímu roku se situace </w:t>
      </w:r>
      <w:r w:rsidR="00021FDD" w:rsidRPr="001C3EC8">
        <w:rPr>
          <w:color w:val="000000" w:themeColor="text1"/>
        </w:rPr>
        <w:t>u</w:t>
      </w:r>
      <w:r w:rsidR="00021FDD">
        <w:rPr>
          <w:color w:val="000000" w:themeColor="text1"/>
        </w:rPr>
        <w:t> </w:t>
      </w:r>
      <w:r w:rsidRPr="001C3EC8">
        <w:rPr>
          <w:color w:val="000000" w:themeColor="text1"/>
        </w:rPr>
        <w:t xml:space="preserve">obou soudů již nezlepšovala. Je třeba poznamenat, že pokles v počtu příchozích věcí v letech 2017 </w:t>
      </w:r>
      <w:r w:rsidR="00021FDD" w:rsidRPr="001C3EC8">
        <w:rPr>
          <w:color w:val="000000" w:themeColor="text1"/>
        </w:rPr>
        <w:t>a</w:t>
      </w:r>
      <w:r w:rsidR="00021FDD">
        <w:rPr>
          <w:color w:val="000000" w:themeColor="text1"/>
        </w:rPr>
        <w:t> </w:t>
      </w:r>
      <w:r w:rsidRPr="001C3EC8">
        <w:rPr>
          <w:color w:val="000000" w:themeColor="text1"/>
        </w:rPr>
        <w:t xml:space="preserve">2018 je opravdu vysoký. Počet příchozích věcí v roce 2018 byl </w:t>
      </w:r>
      <w:r w:rsidR="00021FDD" w:rsidRPr="001C3EC8">
        <w:rPr>
          <w:color w:val="000000" w:themeColor="text1"/>
        </w:rPr>
        <w:t>u</w:t>
      </w:r>
      <w:r w:rsidR="00021FDD">
        <w:rPr>
          <w:color w:val="000000" w:themeColor="text1"/>
        </w:rPr>
        <w:t> </w:t>
      </w:r>
      <w:r w:rsidRPr="001C3EC8">
        <w:rPr>
          <w:color w:val="000000" w:themeColor="text1"/>
        </w:rPr>
        <w:t xml:space="preserve">VS </w:t>
      </w:r>
      <w:r w:rsidR="00021FDD" w:rsidRPr="001C3EC8">
        <w:rPr>
          <w:color w:val="000000" w:themeColor="text1"/>
        </w:rPr>
        <w:t>v</w:t>
      </w:r>
      <w:r w:rsidR="00021FDD">
        <w:rPr>
          <w:color w:val="000000" w:themeColor="text1"/>
        </w:rPr>
        <w:t> </w:t>
      </w:r>
      <w:r w:rsidRPr="001C3EC8">
        <w:rPr>
          <w:color w:val="000000" w:themeColor="text1"/>
        </w:rPr>
        <w:t>Praze ve srovnání s rokem 2016 o 24 % nižší</w:t>
      </w:r>
      <w:r w:rsidR="00ED2B50" w:rsidRPr="001C3EC8">
        <w:rPr>
          <w:color w:val="000000" w:themeColor="text1"/>
        </w:rPr>
        <w:t>,</w:t>
      </w:r>
      <w:r w:rsidRPr="001C3EC8">
        <w:rPr>
          <w:color w:val="000000" w:themeColor="text1"/>
        </w:rPr>
        <w:t xml:space="preserve"> </w:t>
      </w:r>
      <w:r w:rsidR="00021FDD" w:rsidRPr="001C3EC8">
        <w:rPr>
          <w:color w:val="000000" w:themeColor="text1"/>
        </w:rPr>
        <w:t>u</w:t>
      </w:r>
      <w:r w:rsidR="00021FDD">
        <w:rPr>
          <w:color w:val="000000" w:themeColor="text1"/>
        </w:rPr>
        <w:t> </w:t>
      </w:r>
      <w:r w:rsidRPr="001C3EC8">
        <w:rPr>
          <w:color w:val="000000" w:themeColor="text1"/>
        </w:rPr>
        <w:t xml:space="preserve">VS v Olomouci byl nižší dokonce </w:t>
      </w:r>
      <w:r w:rsidR="00021FDD" w:rsidRPr="001C3EC8">
        <w:rPr>
          <w:color w:val="000000" w:themeColor="text1"/>
        </w:rPr>
        <w:t>o</w:t>
      </w:r>
      <w:r w:rsidR="00021FDD">
        <w:rPr>
          <w:color w:val="000000" w:themeColor="text1"/>
        </w:rPr>
        <w:t> </w:t>
      </w:r>
      <w:r w:rsidRPr="001C3EC8">
        <w:rPr>
          <w:color w:val="000000" w:themeColor="text1"/>
        </w:rPr>
        <w:t xml:space="preserve">47 %. V roce 2019 počet příchozích věcí stagnoval </w:t>
      </w:r>
      <w:r w:rsidR="00021FDD" w:rsidRPr="001C3EC8">
        <w:rPr>
          <w:color w:val="000000" w:themeColor="text1"/>
        </w:rPr>
        <w:t>a</w:t>
      </w:r>
      <w:r w:rsidR="00021FDD">
        <w:rPr>
          <w:color w:val="000000" w:themeColor="text1"/>
        </w:rPr>
        <w:t> </w:t>
      </w:r>
      <w:r w:rsidRPr="001C3EC8">
        <w:rPr>
          <w:color w:val="000000" w:themeColor="text1"/>
        </w:rPr>
        <w:t xml:space="preserve">byl nižší než počet věcí vyřízených. </w:t>
      </w:r>
      <w:r w:rsidR="00021FDD" w:rsidRPr="001C3EC8">
        <w:rPr>
          <w:color w:val="000000" w:themeColor="text1"/>
        </w:rPr>
        <w:t>U</w:t>
      </w:r>
      <w:r w:rsidR="00021FDD">
        <w:rPr>
          <w:color w:val="000000" w:themeColor="text1"/>
        </w:rPr>
        <w:t> </w:t>
      </w:r>
      <w:r w:rsidRPr="001C3EC8">
        <w:rPr>
          <w:color w:val="000000" w:themeColor="text1"/>
        </w:rPr>
        <w:t xml:space="preserve">obou soudů tedy došlo k poklesu v počtu nevyřízených věcí. V roce 2020 </w:t>
      </w:r>
      <w:r w:rsidR="00ED2B50" w:rsidRPr="001C3EC8">
        <w:rPr>
          <w:color w:val="000000" w:themeColor="text1"/>
        </w:rPr>
        <w:t>pozorujeme</w:t>
      </w:r>
      <w:r w:rsidRPr="001C3EC8">
        <w:rPr>
          <w:color w:val="000000" w:themeColor="text1"/>
        </w:rPr>
        <w:t xml:space="preserve"> </w:t>
      </w:r>
      <w:r w:rsidR="00021FDD" w:rsidRPr="001C3EC8">
        <w:rPr>
          <w:color w:val="000000" w:themeColor="text1"/>
        </w:rPr>
        <w:t>u</w:t>
      </w:r>
      <w:r w:rsidR="00021FDD">
        <w:rPr>
          <w:color w:val="000000" w:themeColor="text1"/>
        </w:rPr>
        <w:t> </w:t>
      </w:r>
      <w:r w:rsidRPr="001C3EC8">
        <w:rPr>
          <w:color w:val="000000" w:themeColor="text1"/>
        </w:rPr>
        <w:t xml:space="preserve">obou soudů nemalý pokles počet příchozích, </w:t>
      </w:r>
      <w:r w:rsidR="00021FDD" w:rsidRPr="001C3EC8">
        <w:rPr>
          <w:color w:val="000000" w:themeColor="text1"/>
        </w:rPr>
        <w:t>a</w:t>
      </w:r>
      <w:r w:rsidR="00021FDD">
        <w:rPr>
          <w:color w:val="000000" w:themeColor="text1"/>
        </w:rPr>
        <w:t> </w:t>
      </w:r>
      <w:r w:rsidRPr="001C3EC8">
        <w:rPr>
          <w:color w:val="000000" w:themeColor="text1"/>
        </w:rPr>
        <w:t xml:space="preserve">tedy </w:t>
      </w:r>
      <w:r w:rsidR="00021FDD" w:rsidRPr="001C3EC8">
        <w:rPr>
          <w:color w:val="000000" w:themeColor="text1"/>
        </w:rPr>
        <w:t>i</w:t>
      </w:r>
      <w:r w:rsidR="00021FDD">
        <w:rPr>
          <w:color w:val="000000" w:themeColor="text1"/>
        </w:rPr>
        <w:t> </w:t>
      </w:r>
      <w:r w:rsidRPr="001C3EC8">
        <w:rPr>
          <w:color w:val="000000" w:themeColor="text1"/>
        </w:rPr>
        <w:t xml:space="preserve">vyřízených věcí. Ten plyne z poklesu v počtu prvostupňových věcí, který teoreticky může plynout z probíhající pandemie onemocnění </w:t>
      </w:r>
      <w:r w:rsidR="000C3B1E">
        <w:rPr>
          <w:color w:val="000000" w:themeColor="text1"/>
        </w:rPr>
        <w:t>COVID</w:t>
      </w:r>
      <w:r w:rsidR="000C3B1E">
        <w:rPr>
          <w:color w:val="000000" w:themeColor="text1"/>
        </w:rPr>
        <w:noBreakHyphen/>
        <w:t>19</w:t>
      </w:r>
      <w:r w:rsidRPr="001C3EC8">
        <w:rPr>
          <w:color w:val="000000" w:themeColor="text1"/>
        </w:rPr>
        <w:t>.</w:t>
      </w:r>
    </w:p>
    <w:p w14:paraId="07A0C1B4" w14:textId="2B0D3A1D" w:rsidR="008430BD" w:rsidRPr="001C3EC8" w:rsidRDefault="008430BD" w:rsidP="008430BD">
      <w:pPr>
        <w:pStyle w:val="Podnadpis"/>
        <w:rPr>
          <w:color w:val="000000" w:themeColor="text1"/>
        </w:rPr>
      </w:pPr>
      <w:bookmarkStart w:id="791" w:name="_Ref43837240"/>
      <w:bookmarkStart w:id="792" w:name="_Ref43837233"/>
      <w:bookmarkStart w:id="793" w:name="_Toc43841472"/>
      <w:bookmarkStart w:id="794" w:name="_Toc75952275"/>
      <w:r w:rsidRPr="001C3EC8">
        <w:rPr>
          <w:color w:val="000000" w:themeColor="text1"/>
        </w:rPr>
        <w:t xml:space="preserve">Graf </w:t>
      </w:r>
      <w:r w:rsidRPr="001C3EC8">
        <w:rPr>
          <w:color w:val="000000" w:themeColor="text1"/>
        </w:rPr>
        <w:fldChar w:fldCharType="begin"/>
      </w:r>
      <w:r w:rsidRPr="001C3EC8">
        <w:rPr>
          <w:noProof/>
          <w:color w:val="000000" w:themeColor="text1"/>
        </w:rPr>
        <w:instrText xml:space="preserve"> SEQ Graf \* ARABIC </w:instrText>
      </w:r>
      <w:r w:rsidRPr="001C3EC8">
        <w:rPr>
          <w:color w:val="000000" w:themeColor="text1"/>
        </w:rPr>
        <w:fldChar w:fldCharType="separate"/>
      </w:r>
      <w:r w:rsidR="009C575D">
        <w:rPr>
          <w:noProof/>
          <w:color w:val="000000" w:themeColor="text1"/>
        </w:rPr>
        <w:t>95</w:t>
      </w:r>
      <w:r w:rsidRPr="001C3EC8">
        <w:rPr>
          <w:color w:val="000000" w:themeColor="text1"/>
        </w:rPr>
        <w:fldChar w:fldCharType="end"/>
      </w:r>
      <w:bookmarkEnd w:id="791"/>
      <w:r w:rsidRPr="001C3EC8">
        <w:rPr>
          <w:color w:val="000000" w:themeColor="text1"/>
        </w:rPr>
        <w:t>: VS – vyřizování insolvenční agendy v letech 2010–20</w:t>
      </w:r>
      <w:bookmarkEnd w:id="792"/>
      <w:bookmarkEnd w:id="793"/>
      <w:r w:rsidRPr="001C3EC8">
        <w:rPr>
          <w:color w:val="000000" w:themeColor="text1"/>
        </w:rPr>
        <w:t>20</w:t>
      </w:r>
      <w:bookmarkEnd w:id="794"/>
    </w:p>
    <w:p w14:paraId="3D33D794"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7FE00F60" wp14:editId="51BAD913">
            <wp:extent cx="5114925" cy="3743325"/>
            <wp:effectExtent l="0" t="0" r="0" b="9525"/>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8E223A8" w14:textId="77777777" w:rsidR="008430BD" w:rsidRPr="001C3EC8" w:rsidRDefault="008430BD" w:rsidP="008430BD">
      <w:pPr>
        <w:pStyle w:val="Nadpis3"/>
        <w:numPr>
          <w:ilvl w:val="2"/>
          <w:numId w:val="1"/>
        </w:numPr>
        <w:rPr>
          <w:color w:val="000000" w:themeColor="text1"/>
          <w:lang w:eastAsia="cs-CZ"/>
        </w:rPr>
      </w:pPr>
      <w:bookmarkStart w:id="795" w:name="_Toc515871293"/>
      <w:bookmarkStart w:id="796" w:name="_Toc75952139"/>
      <w:proofErr w:type="spellStart"/>
      <w:r w:rsidRPr="001C3EC8">
        <w:rPr>
          <w:color w:val="000000" w:themeColor="text1"/>
          <w:lang w:eastAsia="cs-CZ"/>
        </w:rPr>
        <w:lastRenderedPageBreak/>
        <w:t>Disposition</w:t>
      </w:r>
      <w:proofErr w:type="spellEnd"/>
      <w:r w:rsidRPr="001C3EC8">
        <w:rPr>
          <w:color w:val="000000" w:themeColor="text1"/>
          <w:lang w:eastAsia="cs-CZ"/>
        </w:rPr>
        <w:t xml:space="preserve"> </w:t>
      </w:r>
      <w:proofErr w:type="spellStart"/>
      <w:r w:rsidRPr="001C3EC8">
        <w:rPr>
          <w:color w:val="000000" w:themeColor="text1"/>
          <w:lang w:eastAsia="cs-CZ"/>
        </w:rPr>
        <w:t>time</w:t>
      </w:r>
      <w:bookmarkEnd w:id="795"/>
      <w:proofErr w:type="spellEnd"/>
      <w:r w:rsidRPr="001C3EC8">
        <w:rPr>
          <w:color w:val="000000" w:themeColor="text1"/>
          <w:lang w:eastAsia="cs-CZ"/>
        </w:rPr>
        <w:t xml:space="preserve"> (dispoziční čas)</w:t>
      </w:r>
      <w:bookmarkEnd w:id="796"/>
    </w:p>
    <w:p w14:paraId="667EA42B" w14:textId="6744E5E4" w:rsidR="008430BD" w:rsidRPr="001C3EC8" w:rsidRDefault="008430BD" w:rsidP="008430BD">
      <w:pPr>
        <w:pStyle w:val="Podnadpis"/>
        <w:rPr>
          <w:color w:val="000000" w:themeColor="text1"/>
        </w:rPr>
      </w:pPr>
      <w:bookmarkStart w:id="797" w:name="_Toc515871420"/>
      <w:bookmarkStart w:id="798" w:name="_Toc11135151"/>
      <w:bookmarkStart w:id="799" w:name="_Toc43841473"/>
      <w:bookmarkStart w:id="800" w:name="_Toc75952276"/>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96</w:t>
      </w:r>
      <w:r w:rsidRPr="001C3EC8">
        <w:rPr>
          <w:color w:val="000000" w:themeColor="text1"/>
        </w:rPr>
        <w:fldChar w:fldCharType="end"/>
      </w:r>
      <w:r w:rsidRPr="001C3EC8">
        <w:rPr>
          <w:color w:val="000000" w:themeColor="text1"/>
        </w:rPr>
        <w:t>: VS – DT v insolvenční agendě v letech 2010–20</w:t>
      </w:r>
      <w:bookmarkEnd w:id="797"/>
      <w:bookmarkEnd w:id="798"/>
      <w:bookmarkEnd w:id="799"/>
      <w:r w:rsidRPr="001C3EC8">
        <w:rPr>
          <w:color w:val="000000" w:themeColor="text1"/>
        </w:rPr>
        <w:t>20</w:t>
      </w:r>
      <w:bookmarkEnd w:id="800"/>
    </w:p>
    <w:p w14:paraId="236CF20B"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082689D8" wp14:editId="4982D213">
            <wp:extent cx="5114925" cy="3743325"/>
            <wp:effectExtent l="0" t="0" r="0" b="9525"/>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58E6378" w14:textId="357AE010" w:rsidR="008430BD" w:rsidRPr="001C3EC8" w:rsidRDefault="008430BD" w:rsidP="008430BD">
      <w:pPr>
        <w:pStyle w:val="OdstavecASR"/>
        <w:rPr>
          <w:color w:val="000000" w:themeColor="text1"/>
        </w:rPr>
      </w:pPr>
      <w:r w:rsidRPr="001C3EC8">
        <w:rPr>
          <w:color w:val="000000" w:themeColor="text1"/>
        </w:rPr>
        <w:t xml:space="preserve">Z dat byl patrný zřetelný klesající trend u VS v Praze. Zejména v letech 2016 a 2017 došlo k obzvláště významnému poklesu vyplývajícímu z výše popsaných změn v počtu nevyřízených věcí. </w:t>
      </w:r>
      <w:r w:rsidR="00021FDD" w:rsidRPr="001C3EC8">
        <w:rPr>
          <w:color w:val="000000" w:themeColor="text1"/>
        </w:rPr>
        <w:t>U</w:t>
      </w:r>
      <w:r w:rsidR="00021FDD">
        <w:rPr>
          <w:color w:val="000000" w:themeColor="text1"/>
        </w:rPr>
        <w:t> </w:t>
      </w:r>
      <w:r w:rsidRPr="001C3EC8">
        <w:rPr>
          <w:color w:val="000000" w:themeColor="text1"/>
        </w:rPr>
        <w:t xml:space="preserve">VS v Olomouci došlo také k obrovskému poklesu v DT. Pokles v obou případech plyne z poklesu v počtu nevyřízených věcí a ten zase plyne především ze snížení nápadu. Vzhledem k poměrně velkým změnám v počtu vyřízených a nevyřízených věcí je DT v této agendě proměnlivý. Ačkoliv není pro tuto agendu k dispozici mnoho dat, můžeme dojít k závěru, že v roce 2017 byla z hlediska vyřizování věcí pro oba soudy bezproblémová. V roce 2018 došlo k výraznému růstu DT </w:t>
      </w:r>
      <w:r w:rsidR="00021FDD" w:rsidRPr="001C3EC8">
        <w:rPr>
          <w:color w:val="000000" w:themeColor="text1"/>
        </w:rPr>
        <w:t>u</w:t>
      </w:r>
      <w:r w:rsidR="00021FDD">
        <w:rPr>
          <w:color w:val="000000" w:themeColor="text1"/>
        </w:rPr>
        <w:t> </w:t>
      </w:r>
      <w:r w:rsidRPr="001C3EC8">
        <w:rPr>
          <w:color w:val="000000" w:themeColor="text1"/>
        </w:rPr>
        <w:t>obou soudů, protože počet vyřízených věcí výrazně poklesl, zatímco počet nevyřízených věcí mírně rostl nebo stagnoval. V roce 2019 klesl počet nevyřízených věcí za víceméně konstantního počtu vyřízených věcí, což vedlo k poklesu DT. V roce 2020 nedošlo v DT k žádným výrazným změnám. Agenda se stále jeví poměrně bezproblémově, neboť už jen díky poklesu v počtu příchozích věcí jsou soudy méně zatížené.</w:t>
      </w:r>
    </w:p>
    <w:p w14:paraId="628AB368"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7E117B30" w14:textId="77777777" w:rsidR="008430BD" w:rsidRPr="001C3EC8" w:rsidRDefault="008430BD" w:rsidP="008430BD">
      <w:pPr>
        <w:pStyle w:val="Nadpis2"/>
        <w:numPr>
          <w:ilvl w:val="1"/>
          <w:numId w:val="1"/>
        </w:numPr>
        <w:spacing w:before="120"/>
      </w:pPr>
      <w:bookmarkStart w:id="801" w:name="_Toc75952140"/>
      <w:r w:rsidRPr="001C3EC8">
        <w:lastRenderedPageBreak/>
        <w:t>Incidenční spory – II. stupeň</w:t>
      </w:r>
      <w:bookmarkEnd w:id="801"/>
    </w:p>
    <w:p w14:paraId="7FAFDB8B" w14:textId="63B1F0C3" w:rsidR="008430BD" w:rsidRPr="001C3EC8" w:rsidRDefault="008430BD" w:rsidP="008430BD">
      <w:pPr>
        <w:rPr>
          <w:color w:val="000000" w:themeColor="text1"/>
        </w:rPr>
      </w:pPr>
      <w:r w:rsidRPr="001C3EC8">
        <w:rPr>
          <w:color w:val="000000" w:themeColor="text1"/>
        </w:rPr>
        <w:t xml:space="preserve">Stejně jako ve většině ostatních agend </w:t>
      </w:r>
      <w:r w:rsidR="00021FDD" w:rsidRPr="001C3EC8">
        <w:rPr>
          <w:color w:val="000000" w:themeColor="text1"/>
        </w:rPr>
        <w:t>i</w:t>
      </w:r>
      <w:r w:rsidR="00021FDD">
        <w:rPr>
          <w:color w:val="000000" w:themeColor="text1"/>
        </w:rPr>
        <w:t> </w:t>
      </w:r>
      <w:r w:rsidRPr="001C3EC8">
        <w:rPr>
          <w:color w:val="000000" w:themeColor="text1"/>
        </w:rPr>
        <w:t xml:space="preserve">v incidenčních sporech je možné podat odvolání. Prvostupňovou agendu vyřizují krajské soudy </w:t>
      </w:r>
      <w:r w:rsidR="00021FDD" w:rsidRPr="001C3EC8">
        <w:rPr>
          <w:color w:val="000000" w:themeColor="text1"/>
        </w:rPr>
        <w:t>a</w:t>
      </w:r>
      <w:r w:rsidR="00021FDD">
        <w:rPr>
          <w:color w:val="000000" w:themeColor="text1"/>
        </w:rPr>
        <w:t> </w:t>
      </w:r>
      <w:r w:rsidRPr="001C3EC8">
        <w:rPr>
          <w:color w:val="000000" w:themeColor="text1"/>
        </w:rPr>
        <w:t>odvolací (druhostupňová) agenda tedy napadá na soudy vrchní.</w:t>
      </w:r>
    </w:p>
    <w:p w14:paraId="18864E1F" w14:textId="6EB9C2E6" w:rsidR="008430BD" w:rsidRPr="001C3EC8" w:rsidRDefault="008430BD" w:rsidP="008430BD">
      <w:pPr>
        <w:rPr>
          <w:color w:val="000000" w:themeColor="text1"/>
        </w:rPr>
      </w:pPr>
      <w:r w:rsidRPr="001C3EC8">
        <w:rPr>
          <w:color w:val="000000" w:themeColor="text1"/>
        </w:rPr>
        <w:t xml:space="preserve">Délku řízení je možné zjistit ze statistických listů civilních </w:t>
      </w:r>
      <w:r w:rsidR="00021FDD" w:rsidRPr="001C3EC8">
        <w:rPr>
          <w:color w:val="000000" w:themeColor="text1"/>
        </w:rPr>
        <w:t>a</w:t>
      </w:r>
      <w:r w:rsidR="00021FDD">
        <w:rPr>
          <w:color w:val="000000" w:themeColor="text1"/>
        </w:rPr>
        <w:t> </w:t>
      </w:r>
      <w:r w:rsidRPr="001C3EC8">
        <w:rPr>
          <w:color w:val="000000" w:themeColor="text1"/>
        </w:rPr>
        <w:t xml:space="preserve">vyřizování věcí je opět možno zjistit z výkazů. </w:t>
      </w:r>
      <w:r w:rsidR="00021FDD" w:rsidRPr="001C3EC8">
        <w:rPr>
          <w:color w:val="000000" w:themeColor="text1"/>
        </w:rPr>
        <w:t>U</w:t>
      </w:r>
      <w:r w:rsidR="00021FDD">
        <w:rPr>
          <w:color w:val="000000" w:themeColor="text1"/>
        </w:rPr>
        <w:t> </w:t>
      </w:r>
      <w:r w:rsidRPr="001C3EC8">
        <w:rPr>
          <w:color w:val="000000" w:themeColor="text1"/>
        </w:rPr>
        <w:t xml:space="preserve">této agendy tedy budeme zkoumat délky řízení, vyřizování věcí </w:t>
      </w:r>
      <w:r w:rsidR="00021FDD" w:rsidRPr="001C3EC8">
        <w:rPr>
          <w:color w:val="000000" w:themeColor="text1"/>
        </w:rPr>
        <w:t>a</w:t>
      </w:r>
      <w:r w:rsidR="00021FDD">
        <w:rPr>
          <w:color w:val="000000" w:themeColor="text1"/>
        </w:rPr>
        <w:t>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w:t>
      </w:r>
    </w:p>
    <w:p w14:paraId="736FC104" w14:textId="77777777" w:rsidR="008430BD" w:rsidRPr="001C3EC8" w:rsidRDefault="008430BD" w:rsidP="008430BD">
      <w:pPr>
        <w:pStyle w:val="Nadpis3"/>
        <w:numPr>
          <w:ilvl w:val="2"/>
          <w:numId w:val="1"/>
        </w:numPr>
        <w:rPr>
          <w:color w:val="000000" w:themeColor="text1"/>
        </w:rPr>
      </w:pPr>
      <w:bookmarkStart w:id="802" w:name="_Toc43903107"/>
      <w:bookmarkStart w:id="803" w:name="_Toc75952141"/>
      <w:r w:rsidRPr="001C3EC8">
        <w:rPr>
          <w:color w:val="000000" w:themeColor="text1"/>
        </w:rPr>
        <w:t>Délka řízení</w:t>
      </w:r>
      <w:bookmarkEnd w:id="802"/>
      <w:bookmarkEnd w:id="803"/>
    </w:p>
    <w:p w14:paraId="214CBAC7" w14:textId="77777777" w:rsidR="008430BD" w:rsidRPr="001C3EC8" w:rsidRDefault="008430BD" w:rsidP="008430BD">
      <w:pPr>
        <w:pStyle w:val="OdstavecASR"/>
        <w:rPr>
          <w:color w:val="000000" w:themeColor="text1"/>
        </w:rPr>
      </w:pPr>
      <w:r w:rsidRPr="001C3EC8">
        <w:rPr>
          <w:color w:val="000000" w:themeColor="text1"/>
        </w:rPr>
        <w:t>Jde o délku řízení v kalendářních dnech ode dne nápadu u odvolacího soudu do dne vyřízení věci odvolacím soudem.</w:t>
      </w:r>
    </w:p>
    <w:p w14:paraId="17A635BE" w14:textId="4A0629BA" w:rsidR="008430BD" w:rsidRPr="001C3EC8" w:rsidRDefault="008430BD" w:rsidP="008430BD">
      <w:pPr>
        <w:pStyle w:val="Podnadpis"/>
        <w:rPr>
          <w:color w:val="000000" w:themeColor="text1"/>
        </w:rPr>
      </w:pPr>
      <w:bookmarkStart w:id="804" w:name="_Toc43841474"/>
      <w:bookmarkStart w:id="805" w:name="_Toc75952277"/>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97</w:t>
      </w:r>
      <w:r w:rsidRPr="001C3EC8">
        <w:rPr>
          <w:color w:val="000000" w:themeColor="text1"/>
        </w:rPr>
        <w:fldChar w:fldCharType="end"/>
      </w:r>
      <w:r w:rsidRPr="001C3EC8">
        <w:rPr>
          <w:color w:val="000000" w:themeColor="text1"/>
        </w:rPr>
        <w:t>: VS – délka odvolacího řízení incidenčních sporů v letech 2011–20</w:t>
      </w:r>
      <w:bookmarkEnd w:id="804"/>
      <w:r w:rsidRPr="001C3EC8">
        <w:rPr>
          <w:color w:val="000000" w:themeColor="text1"/>
        </w:rPr>
        <w:t>20</w:t>
      </w:r>
      <w:bookmarkEnd w:id="805"/>
    </w:p>
    <w:p w14:paraId="5E687E82"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3AC1FBFE" wp14:editId="3EED17FD">
            <wp:extent cx="5114925" cy="3743325"/>
            <wp:effectExtent l="0" t="0" r="0" b="9525"/>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9CA1BD0" w14:textId="5E769AB9" w:rsidR="008430BD" w:rsidRPr="001C3EC8" w:rsidRDefault="008430BD" w:rsidP="008430BD">
      <w:pPr>
        <w:pStyle w:val="OdstavecASR"/>
        <w:numPr>
          <w:ilvl w:val="0"/>
          <w:numId w:val="25"/>
        </w:numPr>
        <w:rPr>
          <w:color w:val="000000" w:themeColor="text1"/>
        </w:rPr>
      </w:pPr>
      <w:r w:rsidRPr="001C3EC8">
        <w:rPr>
          <w:color w:val="000000" w:themeColor="text1"/>
        </w:rPr>
        <w:t xml:space="preserve">VS Praha má výrazně vyšší délky řízení. Rozdíl je ale mnohem větší </w:t>
      </w:r>
      <w:r w:rsidR="00021FDD" w:rsidRPr="001C3EC8">
        <w:rPr>
          <w:color w:val="000000" w:themeColor="text1"/>
        </w:rPr>
        <w:t>u</w:t>
      </w:r>
      <w:r w:rsidR="00021FDD">
        <w:rPr>
          <w:color w:val="000000" w:themeColor="text1"/>
        </w:rPr>
        <w:t> </w:t>
      </w:r>
      <w:r w:rsidRPr="001C3EC8">
        <w:rPr>
          <w:color w:val="000000" w:themeColor="text1"/>
        </w:rPr>
        <w:t xml:space="preserve">průměru a 90. percentil než </w:t>
      </w:r>
      <w:r w:rsidR="00021FDD" w:rsidRPr="001C3EC8">
        <w:rPr>
          <w:color w:val="000000" w:themeColor="text1"/>
        </w:rPr>
        <w:t>u</w:t>
      </w:r>
      <w:r w:rsidR="00021FDD">
        <w:rPr>
          <w:color w:val="000000" w:themeColor="text1"/>
        </w:rPr>
        <w:t> </w:t>
      </w:r>
      <w:r w:rsidRPr="001C3EC8">
        <w:rPr>
          <w:color w:val="000000" w:themeColor="text1"/>
        </w:rPr>
        <w:t>mediánu. To naznačuje, že VS Olomouc má mnohem méně extrémních hodnot než VS Praha, tedy velmi dlouhých řízení. Tento závěr potvrzuje i histogram níže. VS Olomouc téměř nevykazuje řízení s délkou řízení větší než 300 dnů, zatímco VS Praha taková řízení vykazuje.</w:t>
      </w:r>
    </w:p>
    <w:p w14:paraId="0999EB8F" w14:textId="68A737F6" w:rsidR="008430BD" w:rsidRPr="001C3EC8" w:rsidRDefault="00021FDD" w:rsidP="008430BD">
      <w:pPr>
        <w:pStyle w:val="OdstavecASR"/>
        <w:numPr>
          <w:ilvl w:val="0"/>
          <w:numId w:val="25"/>
        </w:numPr>
        <w:rPr>
          <w:color w:val="000000" w:themeColor="text1"/>
        </w:rPr>
      </w:pPr>
      <w:r w:rsidRPr="001C3EC8">
        <w:rPr>
          <w:color w:val="000000" w:themeColor="text1"/>
        </w:rPr>
        <w:t>I</w:t>
      </w:r>
      <w:r>
        <w:rPr>
          <w:color w:val="000000" w:themeColor="text1"/>
        </w:rPr>
        <w:t> </w:t>
      </w:r>
      <w:r w:rsidR="008430BD" w:rsidRPr="001C3EC8">
        <w:rPr>
          <w:color w:val="000000" w:themeColor="text1"/>
        </w:rPr>
        <w:t xml:space="preserve">vývoje délky řízení se se </w:t>
      </w:r>
      <w:r w:rsidRPr="001C3EC8">
        <w:rPr>
          <w:color w:val="000000" w:themeColor="text1"/>
        </w:rPr>
        <w:t>u</w:t>
      </w:r>
      <w:r>
        <w:rPr>
          <w:color w:val="000000" w:themeColor="text1"/>
        </w:rPr>
        <w:t> </w:t>
      </w:r>
      <w:r w:rsidR="008430BD" w:rsidRPr="001C3EC8">
        <w:rPr>
          <w:color w:val="000000" w:themeColor="text1"/>
        </w:rPr>
        <w:t xml:space="preserve">obou soudů liší. </w:t>
      </w:r>
      <w:r w:rsidRPr="001C3EC8">
        <w:rPr>
          <w:color w:val="000000" w:themeColor="text1"/>
        </w:rPr>
        <w:t>U</w:t>
      </w:r>
      <w:r>
        <w:rPr>
          <w:color w:val="000000" w:themeColor="text1"/>
        </w:rPr>
        <w:t> </w:t>
      </w:r>
      <w:r w:rsidR="008430BD" w:rsidRPr="001C3EC8">
        <w:rPr>
          <w:color w:val="000000" w:themeColor="text1"/>
        </w:rPr>
        <w:t xml:space="preserve">obou soudů byla délka řízení nízká </w:t>
      </w:r>
      <w:r w:rsidRPr="001C3EC8">
        <w:rPr>
          <w:color w:val="000000" w:themeColor="text1"/>
        </w:rPr>
        <w:t>a</w:t>
      </w:r>
      <w:r>
        <w:rPr>
          <w:color w:val="000000" w:themeColor="text1"/>
        </w:rPr>
        <w:t> </w:t>
      </w:r>
      <w:r w:rsidR="008430BD" w:rsidRPr="001C3EC8">
        <w:rPr>
          <w:color w:val="000000" w:themeColor="text1"/>
        </w:rPr>
        <w:t xml:space="preserve">následně rostla. Malá délka řízení byla způsobena </w:t>
      </w:r>
      <w:r w:rsidR="00ED2B50" w:rsidRPr="001C3EC8">
        <w:rPr>
          <w:color w:val="000000" w:themeColor="text1"/>
        </w:rPr>
        <w:t xml:space="preserve">stejně jako </w:t>
      </w:r>
      <w:r w:rsidRPr="001C3EC8">
        <w:rPr>
          <w:color w:val="000000" w:themeColor="text1"/>
        </w:rPr>
        <w:t>u</w:t>
      </w:r>
      <w:r>
        <w:rPr>
          <w:color w:val="000000" w:themeColor="text1"/>
        </w:rPr>
        <w:t> </w:t>
      </w:r>
      <w:r w:rsidR="008430BD" w:rsidRPr="001C3EC8">
        <w:rPr>
          <w:color w:val="000000" w:themeColor="text1"/>
        </w:rPr>
        <w:t xml:space="preserve">incidenčních sporů </w:t>
      </w:r>
      <w:r w:rsidR="000C3B1E">
        <w:rPr>
          <w:color w:val="000000" w:themeColor="text1"/>
        </w:rPr>
        <w:t>I. stupně</w:t>
      </w:r>
      <w:r w:rsidR="008430BD" w:rsidRPr="001C3EC8">
        <w:rPr>
          <w:color w:val="000000" w:themeColor="text1"/>
        </w:rPr>
        <w:t xml:space="preserve"> tím, že agenda byla poměrně nová. Délka řízení nakonec </w:t>
      </w:r>
      <w:r w:rsidRPr="001C3EC8">
        <w:rPr>
          <w:color w:val="000000" w:themeColor="text1"/>
        </w:rPr>
        <w:t>u</w:t>
      </w:r>
      <w:r>
        <w:rPr>
          <w:color w:val="000000" w:themeColor="text1"/>
        </w:rPr>
        <w:t> </w:t>
      </w:r>
      <w:r w:rsidR="008430BD" w:rsidRPr="001C3EC8">
        <w:rPr>
          <w:color w:val="000000" w:themeColor="text1"/>
        </w:rPr>
        <w:t xml:space="preserve">VS v Olomouci </w:t>
      </w:r>
      <w:r w:rsidR="00ED2B50" w:rsidRPr="001C3EC8">
        <w:rPr>
          <w:color w:val="000000" w:themeColor="text1"/>
        </w:rPr>
        <w:t xml:space="preserve">výrazně </w:t>
      </w:r>
      <w:r w:rsidR="008430BD" w:rsidRPr="001C3EC8">
        <w:rPr>
          <w:color w:val="000000" w:themeColor="text1"/>
        </w:rPr>
        <w:t xml:space="preserve">klesla v roce 2017 </w:t>
      </w:r>
      <w:r w:rsidRPr="001C3EC8">
        <w:rPr>
          <w:color w:val="000000" w:themeColor="text1"/>
        </w:rPr>
        <w:t>a</w:t>
      </w:r>
      <w:r>
        <w:rPr>
          <w:color w:val="000000" w:themeColor="text1"/>
        </w:rPr>
        <w:t> </w:t>
      </w:r>
      <w:r w:rsidR="008430BD" w:rsidRPr="001C3EC8">
        <w:rPr>
          <w:color w:val="000000" w:themeColor="text1"/>
        </w:rPr>
        <w:t>od té doby klesá</w:t>
      </w:r>
      <w:r w:rsidR="00ED2B50" w:rsidRPr="001C3EC8">
        <w:rPr>
          <w:color w:val="000000" w:themeColor="text1"/>
        </w:rPr>
        <w:t xml:space="preserve"> dále</w:t>
      </w:r>
      <w:r w:rsidR="008430BD" w:rsidRPr="001C3EC8">
        <w:rPr>
          <w:color w:val="000000" w:themeColor="text1"/>
        </w:rPr>
        <w:t>. V roce 2020 byl medián pouhých 51</w:t>
      </w:r>
      <w:r>
        <w:rPr>
          <w:color w:val="000000" w:themeColor="text1"/>
        </w:rPr>
        <w:t> </w:t>
      </w:r>
      <w:r w:rsidR="008430BD" w:rsidRPr="001C3EC8">
        <w:rPr>
          <w:color w:val="000000" w:themeColor="text1"/>
        </w:rPr>
        <w:t xml:space="preserve">dnů. </w:t>
      </w:r>
      <w:r w:rsidRPr="001C3EC8">
        <w:rPr>
          <w:color w:val="000000" w:themeColor="text1"/>
        </w:rPr>
        <w:t>U</w:t>
      </w:r>
      <w:r>
        <w:rPr>
          <w:color w:val="000000" w:themeColor="text1"/>
        </w:rPr>
        <w:t> </w:t>
      </w:r>
      <w:r w:rsidR="008430BD" w:rsidRPr="001C3EC8">
        <w:rPr>
          <w:color w:val="000000" w:themeColor="text1"/>
        </w:rPr>
        <w:t>VS v Praze došlo k poklesu v roce 2019, ale v roce 2020 délky řízení opět vzrostly.</w:t>
      </w:r>
    </w:p>
    <w:p w14:paraId="70EE7D20" w14:textId="2D822D16" w:rsidR="008430BD" w:rsidRPr="001C3EC8" w:rsidRDefault="008430BD" w:rsidP="008430BD">
      <w:pPr>
        <w:pStyle w:val="OdstavecASR"/>
        <w:numPr>
          <w:ilvl w:val="0"/>
          <w:numId w:val="25"/>
        </w:numPr>
        <w:rPr>
          <w:color w:val="000000" w:themeColor="text1"/>
        </w:rPr>
      </w:pPr>
      <w:r w:rsidRPr="001C3EC8">
        <w:rPr>
          <w:color w:val="000000" w:themeColor="text1"/>
        </w:rPr>
        <w:t xml:space="preserve">V absolutních číslech jsou délky řízení nízké </w:t>
      </w:r>
      <w:r w:rsidR="00ED2B50" w:rsidRPr="001C3EC8">
        <w:rPr>
          <w:color w:val="000000" w:themeColor="text1"/>
        </w:rPr>
        <w:t xml:space="preserve">podobně </w:t>
      </w:r>
      <w:r w:rsidRPr="001C3EC8">
        <w:rPr>
          <w:color w:val="000000" w:themeColor="text1"/>
        </w:rPr>
        <w:t xml:space="preserve">jako </w:t>
      </w:r>
      <w:r w:rsidR="00021FDD" w:rsidRPr="001C3EC8">
        <w:rPr>
          <w:color w:val="000000" w:themeColor="text1"/>
        </w:rPr>
        <w:t>u</w:t>
      </w:r>
      <w:r w:rsidR="00021FDD">
        <w:rPr>
          <w:color w:val="000000" w:themeColor="text1"/>
        </w:rPr>
        <w:t> </w:t>
      </w:r>
      <w:r w:rsidRPr="001C3EC8">
        <w:rPr>
          <w:color w:val="000000" w:themeColor="text1"/>
        </w:rPr>
        <w:t xml:space="preserve">ostatních odvolacích agend </w:t>
      </w:r>
      <w:r w:rsidR="00021FDD" w:rsidRPr="001C3EC8">
        <w:rPr>
          <w:color w:val="000000" w:themeColor="text1"/>
        </w:rPr>
        <w:t>a</w:t>
      </w:r>
      <w:r w:rsidR="00021FDD">
        <w:rPr>
          <w:color w:val="000000" w:themeColor="text1"/>
        </w:rPr>
        <w:t> </w:t>
      </w:r>
      <w:r w:rsidRPr="001C3EC8">
        <w:rPr>
          <w:color w:val="000000" w:themeColor="text1"/>
        </w:rPr>
        <w:t xml:space="preserve">jsou tedy výrazně nižší než </w:t>
      </w:r>
      <w:r w:rsidR="00021FDD" w:rsidRPr="001C3EC8">
        <w:rPr>
          <w:color w:val="000000" w:themeColor="text1"/>
        </w:rPr>
        <w:t>u</w:t>
      </w:r>
      <w:r w:rsidR="00021FDD">
        <w:rPr>
          <w:color w:val="000000" w:themeColor="text1"/>
        </w:rPr>
        <w:t> </w:t>
      </w:r>
      <w:r w:rsidRPr="001C3EC8">
        <w:rPr>
          <w:color w:val="000000" w:themeColor="text1"/>
        </w:rPr>
        <w:t>agendy prvostupňové.</w:t>
      </w:r>
    </w:p>
    <w:p w14:paraId="08432CF7" w14:textId="518279CD" w:rsidR="008430BD" w:rsidRPr="001C3EC8" w:rsidRDefault="008430BD" w:rsidP="008430BD">
      <w:pPr>
        <w:pStyle w:val="OdstavecASR"/>
        <w:numPr>
          <w:ilvl w:val="0"/>
          <w:numId w:val="25"/>
        </w:numPr>
        <w:rPr>
          <w:color w:val="000000" w:themeColor="text1"/>
        </w:rPr>
      </w:pPr>
      <w:r w:rsidRPr="001C3EC8">
        <w:rPr>
          <w:color w:val="000000" w:themeColor="text1"/>
        </w:rPr>
        <w:lastRenderedPageBreak/>
        <w:t xml:space="preserve">Za povšimnutí rovněž stojí fakt, že </w:t>
      </w:r>
      <w:r w:rsidR="00021FDD" w:rsidRPr="001C3EC8">
        <w:rPr>
          <w:color w:val="000000" w:themeColor="text1"/>
        </w:rPr>
        <w:t>u</w:t>
      </w:r>
      <w:r w:rsidR="00021FDD">
        <w:rPr>
          <w:color w:val="000000" w:themeColor="text1"/>
        </w:rPr>
        <w:t> </w:t>
      </w:r>
      <w:r w:rsidRPr="001C3EC8">
        <w:rPr>
          <w:color w:val="000000" w:themeColor="text1"/>
        </w:rPr>
        <w:t>VS v Olomouci je velmi vyrovnaná mediánová a průměrná délka řízení. V roce 2014 byl medián dokonce vyšší než průměr. To opět ukazuje na nepřítomnost extrémních hodnot.</w:t>
      </w:r>
    </w:p>
    <w:p w14:paraId="1420A86B" w14:textId="10BBDC85" w:rsidR="008430BD" w:rsidRPr="001C3EC8" w:rsidRDefault="008430BD" w:rsidP="008430BD">
      <w:pPr>
        <w:pStyle w:val="Podnadpis"/>
        <w:rPr>
          <w:color w:val="000000" w:themeColor="text1"/>
          <w:highlight w:val="yellow"/>
        </w:rPr>
      </w:pPr>
      <w:bookmarkStart w:id="806" w:name="_Toc43841475"/>
      <w:bookmarkStart w:id="807" w:name="_Toc7595227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98</w:t>
      </w:r>
      <w:r w:rsidRPr="001C3EC8">
        <w:rPr>
          <w:color w:val="000000" w:themeColor="text1"/>
        </w:rPr>
        <w:fldChar w:fldCharType="end"/>
      </w:r>
      <w:r w:rsidRPr="001C3EC8">
        <w:rPr>
          <w:color w:val="000000" w:themeColor="text1"/>
        </w:rPr>
        <w:t>: VS – distribuce délek odvolacího řízení v incidenčních sporech</w:t>
      </w:r>
      <w:bookmarkEnd w:id="806"/>
      <w:bookmarkEnd w:id="807"/>
    </w:p>
    <w:p w14:paraId="43E9DC8C"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28BE2126" wp14:editId="210A7949">
            <wp:extent cx="5114925" cy="3743325"/>
            <wp:effectExtent l="0" t="0" r="0" b="9525"/>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DBED23A" w14:textId="77777777" w:rsidR="008430BD" w:rsidRPr="001C3EC8" w:rsidRDefault="008430BD" w:rsidP="008430BD">
      <w:pPr>
        <w:rPr>
          <w:color w:val="000000" w:themeColor="text1"/>
        </w:rPr>
      </w:pPr>
    </w:p>
    <w:p w14:paraId="1C940670" w14:textId="77777777" w:rsidR="008430BD" w:rsidRPr="001C3EC8" w:rsidRDefault="008430BD" w:rsidP="008430BD">
      <w:pPr>
        <w:pStyle w:val="Nadpis3"/>
        <w:numPr>
          <w:ilvl w:val="2"/>
          <w:numId w:val="1"/>
        </w:numPr>
        <w:rPr>
          <w:color w:val="000000" w:themeColor="text1"/>
          <w:lang w:eastAsia="cs-CZ"/>
        </w:rPr>
      </w:pPr>
      <w:bookmarkStart w:id="808" w:name="_Toc75952142"/>
      <w:r w:rsidRPr="001C3EC8">
        <w:rPr>
          <w:color w:val="000000" w:themeColor="text1"/>
          <w:lang w:eastAsia="cs-CZ"/>
        </w:rPr>
        <w:lastRenderedPageBreak/>
        <w:t>Vyřizování věcí</w:t>
      </w:r>
      <w:bookmarkEnd w:id="808"/>
    </w:p>
    <w:p w14:paraId="75C7CAD4" w14:textId="5984ADB0" w:rsidR="008430BD" w:rsidRPr="001C3EC8" w:rsidRDefault="008430BD" w:rsidP="008430BD">
      <w:pPr>
        <w:pStyle w:val="Podnadpis"/>
        <w:rPr>
          <w:color w:val="000000" w:themeColor="text1"/>
          <w:highlight w:val="yellow"/>
        </w:rPr>
      </w:pPr>
      <w:bookmarkStart w:id="809" w:name="_Toc43841476"/>
      <w:bookmarkStart w:id="810" w:name="_Toc7595227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99</w:t>
      </w:r>
      <w:r w:rsidRPr="001C3EC8">
        <w:rPr>
          <w:color w:val="000000" w:themeColor="text1"/>
        </w:rPr>
        <w:fldChar w:fldCharType="end"/>
      </w:r>
      <w:r w:rsidRPr="001C3EC8">
        <w:rPr>
          <w:color w:val="000000" w:themeColor="text1"/>
        </w:rPr>
        <w:t>: VS – vyřizování odvolacího řízení v incidenčních sporech</w:t>
      </w:r>
      <w:bookmarkEnd w:id="809"/>
      <w:bookmarkEnd w:id="810"/>
    </w:p>
    <w:p w14:paraId="0CBD268C"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29DBAE20" wp14:editId="6BB3DBD6">
            <wp:extent cx="5114925" cy="3743325"/>
            <wp:effectExtent l="0" t="0" r="0" b="9525"/>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F7C8254" w14:textId="2E84C309" w:rsidR="008430BD" w:rsidRPr="001C3EC8" w:rsidRDefault="00021FDD" w:rsidP="008430BD">
      <w:pPr>
        <w:rPr>
          <w:color w:val="000000" w:themeColor="text1"/>
          <w:lang w:eastAsia="cs-CZ"/>
        </w:rPr>
      </w:pPr>
      <w:r w:rsidRPr="001C3EC8">
        <w:rPr>
          <w:color w:val="000000" w:themeColor="text1"/>
          <w:lang w:eastAsia="cs-CZ"/>
        </w:rPr>
        <w:t>U</w:t>
      </w:r>
      <w:r>
        <w:rPr>
          <w:color w:val="000000" w:themeColor="text1"/>
          <w:lang w:eastAsia="cs-CZ"/>
        </w:rPr>
        <w:t> </w:t>
      </w:r>
      <w:r w:rsidR="008430BD" w:rsidRPr="001C3EC8">
        <w:rPr>
          <w:color w:val="000000" w:themeColor="text1"/>
          <w:lang w:eastAsia="cs-CZ"/>
        </w:rPr>
        <w:t xml:space="preserve">VS v Praze vidíme, že se počet příchozích </w:t>
      </w:r>
      <w:r w:rsidRPr="001C3EC8">
        <w:rPr>
          <w:color w:val="000000" w:themeColor="text1"/>
          <w:lang w:eastAsia="cs-CZ"/>
        </w:rPr>
        <w:t>a</w:t>
      </w:r>
      <w:r>
        <w:rPr>
          <w:color w:val="000000" w:themeColor="text1"/>
          <w:lang w:eastAsia="cs-CZ"/>
        </w:rPr>
        <w:t> </w:t>
      </w:r>
      <w:r w:rsidR="008430BD" w:rsidRPr="001C3EC8">
        <w:rPr>
          <w:color w:val="000000" w:themeColor="text1"/>
          <w:lang w:eastAsia="cs-CZ"/>
        </w:rPr>
        <w:t>vyřízených věcí od roku 2014 nijak významně nemění. Počet příchozích věcí někdy převyšuje počet vyřízených</w:t>
      </w:r>
      <w:r w:rsidR="00ED2B50" w:rsidRPr="001C3EC8">
        <w:rPr>
          <w:color w:val="000000" w:themeColor="text1"/>
          <w:lang w:eastAsia="cs-CZ"/>
        </w:rPr>
        <w:t xml:space="preserve">, jindy je tomu </w:t>
      </w:r>
      <w:r w:rsidR="008430BD" w:rsidRPr="001C3EC8">
        <w:rPr>
          <w:color w:val="000000" w:themeColor="text1"/>
          <w:lang w:eastAsia="cs-CZ"/>
        </w:rPr>
        <w:t>naopak.</w:t>
      </w:r>
    </w:p>
    <w:p w14:paraId="76A0B691" w14:textId="215B37C0" w:rsidR="008430BD" w:rsidRPr="001C3EC8" w:rsidRDefault="008430BD" w:rsidP="008430BD">
      <w:pPr>
        <w:rPr>
          <w:color w:val="000000" w:themeColor="text1"/>
          <w:lang w:eastAsia="cs-CZ"/>
        </w:rPr>
      </w:pPr>
      <w:r w:rsidRPr="001C3EC8">
        <w:rPr>
          <w:color w:val="000000" w:themeColor="text1"/>
          <w:lang w:eastAsia="cs-CZ"/>
        </w:rPr>
        <w:t xml:space="preserve">Opravdu zajímavý je vývoj počtu příchozích věcí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VS v Olomouci, </w:t>
      </w:r>
      <w:r w:rsidR="00ED2B50" w:rsidRPr="001C3EC8">
        <w:rPr>
          <w:color w:val="000000" w:themeColor="text1"/>
          <w:lang w:eastAsia="cs-CZ"/>
        </w:rPr>
        <w:t>který</w:t>
      </w:r>
      <w:r w:rsidRPr="001C3EC8">
        <w:rPr>
          <w:color w:val="000000" w:themeColor="text1"/>
          <w:lang w:eastAsia="cs-CZ"/>
        </w:rPr>
        <w:t xml:space="preserve"> vzrostl z 315 v roce 2016 na </w:t>
      </w:r>
      <w:r w:rsidR="00021FDD" w:rsidRPr="001C3EC8">
        <w:rPr>
          <w:color w:val="000000" w:themeColor="text1"/>
          <w:lang w:eastAsia="cs-CZ"/>
        </w:rPr>
        <w:t>1</w:t>
      </w:r>
      <w:r w:rsidR="00021FDD">
        <w:rPr>
          <w:color w:val="000000" w:themeColor="text1"/>
          <w:lang w:eastAsia="cs-CZ"/>
        </w:rPr>
        <w:t> </w:t>
      </w:r>
      <w:r w:rsidRPr="001C3EC8">
        <w:rPr>
          <w:color w:val="000000" w:themeColor="text1"/>
          <w:lang w:eastAsia="cs-CZ"/>
        </w:rPr>
        <w:t xml:space="preserve">430 v roce 2019. Jde tedy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 xml:space="preserve">nárůst asi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350 % během tří let.</w:t>
      </w:r>
    </w:p>
    <w:p w14:paraId="0E88C1A7" w14:textId="6DA1DB14" w:rsidR="008430BD" w:rsidRPr="001C3EC8" w:rsidRDefault="008430BD" w:rsidP="008430BD">
      <w:pPr>
        <w:rPr>
          <w:color w:val="000000" w:themeColor="text1"/>
          <w:lang w:eastAsia="cs-CZ"/>
        </w:rPr>
      </w:pPr>
      <w:r w:rsidRPr="001C3EC8">
        <w:rPr>
          <w:color w:val="000000" w:themeColor="text1"/>
          <w:lang w:eastAsia="cs-CZ"/>
        </w:rPr>
        <w:t xml:space="preserve">Za tento nárůst jsou zodpovědné rozsáhlé konkursy, které vyřizoval KS v Ostravě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které jsou známy </w:t>
      </w:r>
      <w:r w:rsidR="00021FDD" w:rsidRPr="001C3EC8">
        <w:rPr>
          <w:color w:val="000000" w:themeColor="text1"/>
          <w:lang w:eastAsia="cs-CZ"/>
        </w:rPr>
        <w:t>i</w:t>
      </w:r>
      <w:r w:rsidR="00021FDD">
        <w:rPr>
          <w:color w:val="000000" w:themeColor="text1"/>
          <w:lang w:eastAsia="cs-CZ"/>
        </w:rPr>
        <w:t> </w:t>
      </w:r>
      <w:r w:rsidRPr="001C3EC8">
        <w:rPr>
          <w:color w:val="000000" w:themeColor="text1"/>
          <w:lang w:eastAsia="cs-CZ"/>
        </w:rPr>
        <w:t xml:space="preserve">ze sdělovacích prostředků. V těchto věcech napadlo velké množství incidenčních sporů především </w:t>
      </w:r>
      <w:r w:rsidR="00021FDD" w:rsidRPr="001C3EC8">
        <w:rPr>
          <w:color w:val="000000" w:themeColor="text1"/>
          <w:lang w:eastAsia="cs-CZ"/>
        </w:rPr>
        <w:t>v</w:t>
      </w:r>
      <w:r w:rsidR="00021FDD">
        <w:rPr>
          <w:color w:val="000000" w:themeColor="text1"/>
          <w:lang w:eastAsia="cs-CZ"/>
        </w:rPr>
        <w:t> </w:t>
      </w:r>
      <w:r w:rsidRPr="001C3EC8">
        <w:rPr>
          <w:color w:val="000000" w:themeColor="text1"/>
          <w:lang w:eastAsia="cs-CZ"/>
        </w:rPr>
        <w:t>letech v letech 2014 až 2017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byly vyřízeny cca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rok až dva později). V</w:t>
      </w:r>
      <w:r w:rsidR="00ED2B50" w:rsidRPr="001C3EC8">
        <w:rPr>
          <w:color w:val="000000" w:themeColor="text1"/>
          <w:lang w:eastAsia="cs-CZ"/>
        </w:rPr>
        <w:t>e valné</w:t>
      </w:r>
      <w:r w:rsidR="00E10CA4">
        <w:rPr>
          <w:color w:val="000000" w:themeColor="text1"/>
          <w:lang w:eastAsia="cs-CZ"/>
        </w:rPr>
        <w:t xml:space="preserve"> </w:t>
      </w:r>
      <w:r w:rsidRPr="001C3EC8">
        <w:rPr>
          <w:color w:val="000000" w:themeColor="text1"/>
          <w:lang w:eastAsia="cs-CZ"/>
        </w:rPr>
        <w:t xml:space="preserve">většině bylo podáno odvolání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s určitým zpožděním </w:t>
      </w:r>
      <w:r w:rsidR="00ED2B50" w:rsidRPr="001C3EC8">
        <w:rPr>
          <w:color w:val="000000" w:themeColor="text1"/>
          <w:lang w:eastAsia="cs-CZ"/>
        </w:rPr>
        <w:t xml:space="preserve">tak </w:t>
      </w:r>
      <w:r w:rsidRPr="001C3EC8">
        <w:rPr>
          <w:color w:val="000000" w:themeColor="text1"/>
          <w:lang w:eastAsia="cs-CZ"/>
        </w:rPr>
        <w:t xml:space="preserve">tyto spory napadly </w:t>
      </w:r>
      <w:r w:rsidR="00021FDD" w:rsidRPr="001C3EC8">
        <w:rPr>
          <w:color w:val="000000" w:themeColor="text1"/>
          <w:lang w:eastAsia="cs-CZ"/>
        </w:rPr>
        <w:t>i</w:t>
      </w:r>
      <w:r w:rsidR="00021FDD">
        <w:rPr>
          <w:color w:val="000000" w:themeColor="text1"/>
          <w:lang w:eastAsia="cs-CZ"/>
        </w:rPr>
        <w:t>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VS v Olomouci. Množství sporů je opravdu velké – </w:t>
      </w:r>
      <w:r w:rsidR="00021FDD" w:rsidRPr="001C3EC8">
        <w:rPr>
          <w:color w:val="000000" w:themeColor="text1"/>
          <w:lang w:eastAsia="cs-CZ"/>
        </w:rPr>
        <w:t>i</w:t>
      </w:r>
      <w:r w:rsidR="00021FDD">
        <w:rPr>
          <w:color w:val="000000" w:themeColor="text1"/>
          <w:lang w:eastAsia="cs-CZ"/>
        </w:rPr>
        <w:t> </w:t>
      </w:r>
      <w:r w:rsidRPr="001C3EC8">
        <w:rPr>
          <w:color w:val="000000" w:themeColor="text1"/>
          <w:lang w:eastAsia="cs-CZ"/>
        </w:rPr>
        <w:t xml:space="preserve">přesto, že VS v Olomouci je výrazně menší než VS v Praze, nápad incidenčních sporů je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něj </w:t>
      </w:r>
      <w:r w:rsidR="00857304">
        <w:rPr>
          <w:color w:val="000000" w:themeColor="text1"/>
          <w:lang w:eastAsia="cs-CZ"/>
        </w:rPr>
        <w:t xml:space="preserve">byl v letech 2018 </w:t>
      </w:r>
      <w:r w:rsidR="00021FDD">
        <w:rPr>
          <w:color w:val="000000" w:themeColor="text1"/>
          <w:lang w:eastAsia="cs-CZ"/>
        </w:rPr>
        <w:t>a </w:t>
      </w:r>
      <w:r w:rsidR="00857304">
        <w:rPr>
          <w:color w:val="000000" w:themeColor="text1"/>
          <w:lang w:eastAsia="cs-CZ"/>
        </w:rPr>
        <w:t>2019 vyšší.</w:t>
      </w:r>
    </w:p>
    <w:p w14:paraId="2F79E994" w14:textId="7F719B49" w:rsidR="008430BD" w:rsidRPr="001C3EC8" w:rsidRDefault="008430BD" w:rsidP="008430BD">
      <w:pPr>
        <w:rPr>
          <w:color w:val="000000" w:themeColor="text1"/>
          <w:lang w:eastAsia="cs-CZ"/>
        </w:rPr>
      </w:pPr>
      <w:r w:rsidRPr="001C3EC8">
        <w:rPr>
          <w:color w:val="000000" w:themeColor="text1"/>
          <w:lang w:eastAsia="cs-CZ"/>
        </w:rPr>
        <w:t xml:space="preserve">Dále vidíme, že </w:t>
      </w:r>
      <w:r w:rsidR="00021FDD" w:rsidRPr="001C3EC8">
        <w:rPr>
          <w:color w:val="000000" w:themeColor="text1"/>
          <w:lang w:eastAsia="cs-CZ"/>
        </w:rPr>
        <w:t>i</w:t>
      </w:r>
      <w:r w:rsidR="00021FDD">
        <w:rPr>
          <w:color w:val="000000" w:themeColor="text1"/>
          <w:lang w:eastAsia="cs-CZ"/>
        </w:rPr>
        <w:t> </w:t>
      </w:r>
      <w:r w:rsidRPr="001C3EC8">
        <w:rPr>
          <w:color w:val="000000" w:themeColor="text1"/>
          <w:lang w:eastAsia="cs-CZ"/>
        </w:rPr>
        <w:t xml:space="preserve">přes obrovský nárůst v nápadu se nezvýšil počet nevyřízených věci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zároveň výrazně klesla vykázaná délka řízení. To ukazuje, že pro soud nebylo složité agendu vyřídit, spíše naopak – vyřízení zabralo méně času než jiné incidenční spory.</w:t>
      </w:r>
    </w:p>
    <w:p w14:paraId="4732C252" w14:textId="77777777" w:rsidR="00B07E76" w:rsidRDefault="008430BD" w:rsidP="008430BD">
      <w:pPr>
        <w:rPr>
          <w:color w:val="000000" w:themeColor="text1"/>
          <w:lang w:eastAsia="cs-CZ"/>
        </w:rPr>
      </w:pPr>
      <w:r w:rsidRPr="001C3EC8">
        <w:rPr>
          <w:color w:val="000000" w:themeColor="text1"/>
          <w:lang w:eastAsia="cs-CZ"/>
        </w:rPr>
        <w:t>V roce 2020 počet příchozích věcí opět klesl přibližně na úroveň roku 2017. Po vyřízení rozsáhlých konkur</w:t>
      </w:r>
      <w:r w:rsidR="00060216" w:rsidRPr="001C3EC8">
        <w:rPr>
          <w:color w:val="000000" w:themeColor="text1"/>
          <w:lang w:eastAsia="cs-CZ"/>
        </w:rPr>
        <w:t>s</w:t>
      </w:r>
      <w:r w:rsidRPr="001C3EC8">
        <w:rPr>
          <w:color w:val="000000" w:themeColor="text1"/>
          <w:lang w:eastAsia="cs-CZ"/>
        </w:rPr>
        <w:t>ů se věci tedy opět vracejí do „normálu“.</w:t>
      </w:r>
    </w:p>
    <w:p w14:paraId="45998B07" w14:textId="3BD3CB80" w:rsidR="008430BD" w:rsidRPr="001C3EC8" w:rsidRDefault="008430BD" w:rsidP="008430BD">
      <w:pPr>
        <w:rPr>
          <w:color w:val="000000" w:themeColor="text1"/>
          <w:lang w:eastAsia="cs-CZ"/>
        </w:rPr>
      </w:pPr>
    </w:p>
    <w:p w14:paraId="2E776948" w14:textId="77777777" w:rsidR="008430BD" w:rsidRPr="001C3EC8" w:rsidRDefault="008430BD" w:rsidP="008430BD">
      <w:pPr>
        <w:pStyle w:val="Nadpis3"/>
        <w:numPr>
          <w:ilvl w:val="2"/>
          <w:numId w:val="1"/>
        </w:numPr>
        <w:rPr>
          <w:color w:val="000000" w:themeColor="text1"/>
          <w:lang w:eastAsia="cs-CZ"/>
        </w:rPr>
      </w:pPr>
      <w:bookmarkStart w:id="811" w:name="_Toc75952143"/>
      <w:proofErr w:type="spellStart"/>
      <w:r w:rsidRPr="001C3EC8">
        <w:rPr>
          <w:color w:val="000000" w:themeColor="text1"/>
          <w:lang w:eastAsia="cs-CZ"/>
        </w:rPr>
        <w:t>Disposition</w:t>
      </w:r>
      <w:proofErr w:type="spellEnd"/>
      <w:r w:rsidRPr="001C3EC8">
        <w:rPr>
          <w:color w:val="000000" w:themeColor="text1"/>
          <w:lang w:eastAsia="cs-CZ"/>
        </w:rPr>
        <w:t xml:space="preserve"> </w:t>
      </w:r>
      <w:proofErr w:type="spellStart"/>
      <w:r w:rsidRPr="001C3EC8">
        <w:rPr>
          <w:color w:val="000000" w:themeColor="text1"/>
          <w:lang w:eastAsia="cs-CZ"/>
        </w:rPr>
        <w:t>time</w:t>
      </w:r>
      <w:proofErr w:type="spellEnd"/>
      <w:r w:rsidRPr="001C3EC8">
        <w:rPr>
          <w:color w:val="000000" w:themeColor="text1"/>
          <w:lang w:eastAsia="cs-CZ"/>
        </w:rPr>
        <w:t xml:space="preserve"> (dispoziční čas)</w:t>
      </w:r>
      <w:bookmarkEnd w:id="811"/>
    </w:p>
    <w:p w14:paraId="360EAB8D" w14:textId="31BAE66C" w:rsidR="008430BD" w:rsidRPr="001C3EC8" w:rsidRDefault="008430BD" w:rsidP="008430BD">
      <w:pPr>
        <w:rPr>
          <w:color w:val="000000" w:themeColor="text1"/>
          <w:lang w:eastAsia="cs-CZ"/>
        </w:rPr>
      </w:pPr>
      <w:proofErr w:type="spellStart"/>
      <w:r w:rsidRPr="001C3EC8">
        <w:rPr>
          <w:color w:val="000000" w:themeColor="text1"/>
          <w:lang w:eastAsia="cs-CZ"/>
        </w:rPr>
        <w:t>Disposition</w:t>
      </w:r>
      <w:proofErr w:type="spellEnd"/>
      <w:r w:rsidRPr="001C3EC8">
        <w:rPr>
          <w:color w:val="000000" w:themeColor="text1"/>
          <w:lang w:eastAsia="cs-CZ"/>
        </w:rPr>
        <w:t xml:space="preserve"> </w:t>
      </w:r>
      <w:proofErr w:type="spellStart"/>
      <w:r w:rsidRPr="001C3EC8">
        <w:rPr>
          <w:color w:val="000000" w:themeColor="text1"/>
          <w:lang w:eastAsia="cs-CZ"/>
        </w:rPr>
        <w:t>time</w:t>
      </w:r>
      <w:proofErr w:type="spellEnd"/>
      <w:r w:rsidRPr="001C3EC8">
        <w:rPr>
          <w:color w:val="000000" w:themeColor="text1"/>
          <w:lang w:eastAsia="cs-CZ"/>
        </w:rPr>
        <w:t xml:space="preserve"> opět odráží výše popsané změny.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VS v Praze dlouhodobě osciluje přibližně mezi 140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180.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VS v Olomouc došlo k posledních třech letech k obrovskému poklesu z výše diskutovaných důvodů. Nárůst v roce 2020 je dán tím, že se věci opět vracejí „do normálu“</w:t>
      </w:r>
      <w:r w:rsidR="005D25EE">
        <w:rPr>
          <w:color w:val="000000" w:themeColor="text1"/>
          <w:lang w:eastAsia="cs-CZ"/>
        </w:rPr>
        <w:t>.</w:t>
      </w:r>
      <w:r w:rsidRPr="001C3EC8">
        <w:rPr>
          <w:color w:val="000000" w:themeColor="text1"/>
          <w:lang w:eastAsia="cs-CZ"/>
        </w:rPr>
        <w:t xml:space="preserve"> Rovněž je třeba poznamenat, že DT v roce 2011 nemá žádnou vypovídající hodnotu, protože rejstřík byl téměř zcela nový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napadaly do něj první věcí.</w:t>
      </w:r>
    </w:p>
    <w:p w14:paraId="6BD80322" w14:textId="77777777" w:rsidR="008430BD" w:rsidRPr="001C3EC8" w:rsidRDefault="008430BD" w:rsidP="008430BD">
      <w:pPr>
        <w:rPr>
          <w:color w:val="000000" w:themeColor="text1"/>
          <w:lang w:eastAsia="cs-CZ"/>
        </w:rPr>
      </w:pPr>
    </w:p>
    <w:p w14:paraId="58FD110F" w14:textId="63DB6DE9" w:rsidR="008430BD" w:rsidRPr="001C3EC8" w:rsidRDefault="008430BD" w:rsidP="008430BD">
      <w:pPr>
        <w:pStyle w:val="Podnadpis"/>
        <w:rPr>
          <w:noProof/>
          <w:color w:val="000000" w:themeColor="text1"/>
          <w:lang w:eastAsia="cs-CZ"/>
        </w:rPr>
      </w:pPr>
      <w:bookmarkStart w:id="812" w:name="_Toc43841477"/>
      <w:bookmarkStart w:id="813" w:name="_Toc75952280"/>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100</w:t>
      </w:r>
      <w:r w:rsidRPr="001C3EC8">
        <w:rPr>
          <w:color w:val="000000" w:themeColor="text1"/>
        </w:rPr>
        <w:fldChar w:fldCharType="end"/>
      </w:r>
      <w:r w:rsidRPr="001C3EC8">
        <w:rPr>
          <w:color w:val="000000" w:themeColor="text1"/>
        </w:rPr>
        <w:t>: VS – DT odvolacího řízení v incidenčních sporech</w:t>
      </w:r>
      <w:bookmarkEnd w:id="812"/>
      <w:bookmarkEnd w:id="813"/>
    </w:p>
    <w:p w14:paraId="6256C9EA" w14:textId="77777777" w:rsidR="005D25EE" w:rsidRDefault="008430BD" w:rsidP="008430BD">
      <w:pPr>
        <w:rPr>
          <w:color w:val="000000" w:themeColor="text1"/>
          <w:highlight w:val="yellow"/>
        </w:rPr>
      </w:pPr>
      <w:r w:rsidRPr="001C3EC8">
        <w:rPr>
          <w:noProof/>
          <w:color w:val="000000" w:themeColor="text1"/>
          <w:lang w:eastAsia="cs-CZ"/>
        </w:rPr>
        <w:drawing>
          <wp:inline distT="0" distB="0" distL="0" distR="0" wp14:anchorId="6E059541" wp14:editId="673BC9D5">
            <wp:extent cx="5114925" cy="3743325"/>
            <wp:effectExtent l="0" t="0" r="0" b="9525"/>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F8440E4" w14:textId="6A268204" w:rsidR="008430BD" w:rsidRPr="001C3EC8" w:rsidRDefault="008430BD" w:rsidP="008430BD">
      <w:pPr>
        <w:rPr>
          <w:rFonts w:eastAsia="Times New Roman"/>
          <w:color w:val="000000" w:themeColor="text1"/>
          <w:spacing w:val="15"/>
          <w:szCs w:val="24"/>
          <w:highlight w:val="yellow"/>
        </w:rPr>
      </w:pPr>
      <w:r w:rsidRPr="001C3EC8">
        <w:rPr>
          <w:color w:val="000000" w:themeColor="text1"/>
          <w:highlight w:val="yellow"/>
        </w:rPr>
        <w:br w:type="page"/>
      </w:r>
    </w:p>
    <w:p w14:paraId="0FBA5FDF" w14:textId="77777777" w:rsidR="008430BD" w:rsidRPr="001C3EC8" w:rsidRDefault="008430BD" w:rsidP="008430BD">
      <w:pPr>
        <w:pStyle w:val="Nadpis1"/>
        <w:pageBreakBefore/>
        <w:numPr>
          <w:ilvl w:val="0"/>
          <w:numId w:val="1"/>
        </w:numPr>
        <w:spacing w:after="120"/>
        <w:rPr>
          <w:color w:val="000000" w:themeColor="text1"/>
          <w:lang w:eastAsia="cs-CZ"/>
        </w:rPr>
      </w:pPr>
      <w:bookmarkStart w:id="814" w:name="_Toc515871294"/>
      <w:bookmarkStart w:id="815" w:name="_Toc75952144"/>
      <w:r w:rsidRPr="001C3EC8">
        <w:rPr>
          <w:color w:val="000000" w:themeColor="text1"/>
          <w:lang w:eastAsia="cs-CZ"/>
        </w:rPr>
        <w:lastRenderedPageBreak/>
        <w:t>Nejvyšší soud</w:t>
      </w:r>
      <w:bookmarkEnd w:id="814"/>
      <w:bookmarkEnd w:id="815"/>
    </w:p>
    <w:p w14:paraId="7BFC96FF" w14:textId="77777777" w:rsidR="008430BD" w:rsidRPr="001C3EC8" w:rsidRDefault="008430BD" w:rsidP="008430BD">
      <w:pPr>
        <w:pStyle w:val="OdstavecASR"/>
        <w:rPr>
          <w:color w:val="000000" w:themeColor="text1"/>
          <w:highlight w:val="yellow"/>
        </w:rPr>
      </w:pPr>
      <w:r w:rsidRPr="001C3EC8">
        <w:rPr>
          <w:color w:val="000000" w:themeColor="text1"/>
        </w:rPr>
        <w:t xml:space="preserve">Největší část agendy Nejvyššího soudu (NS) ČR, který sídlí v Brně, tvoří věci, v nichž byl podán mimořádný opravný prostředek proti rozhodnutí odvolacích soudů. Jedná se především o dovolání, a to v občanskoprávním a obchodním řízení (rejstřík </w:t>
      </w:r>
      <w:proofErr w:type="spellStart"/>
      <w:r w:rsidRPr="001C3EC8">
        <w:rPr>
          <w:color w:val="000000" w:themeColor="text1"/>
        </w:rPr>
        <w:t>Cdo</w:t>
      </w:r>
      <w:proofErr w:type="spellEnd"/>
      <w:r w:rsidRPr="001C3EC8">
        <w:rPr>
          <w:color w:val="000000" w:themeColor="text1"/>
        </w:rPr>
        <w:t xml:space="preserve">, dříve také rejstřík Odo), trestním řízení (rejstřík </w:t>
      </w:r>
      <w:proofErr w:type="spellStart"/>
      <w:r w:rsidRPr="001C3EC8">
        <w:rPr>
          <w:color w:val="000000" w:themeColor="text1"/>
        </w:rPr>
        <w:t>Tdo</w:t>
      </w:r>
      <w:proofErr w:type="spellEnd"/>
      <w:r w:rsidRPr="001C3EC8">
        <w:rPr>
          <w:color w:val="000000" w:themeColor="text1"/>
        </w:rPr>
        <w:t xml:space="preserve">), insolvenčním řízení (rejstřík NSČR) a incidenčních sporech (rejstřík </w:t>
      </w:r>
      <w:proofErr w:type="spellStart"/>
      <w:r w:rsidRPr="001C3EC8">
        <w:rPr>
          <w:color w:val="000000" w:themeColor="text1"/>
        </w:rPr>
        <w:t>ICdo</w:t>
      </w:r>
      <w:proofErr w:type="spellEnd"/>
      <w:r w:rsidRPr="001C3EC8">
        <w:rPr>
          <w:color w:val="000000" w:themeColor="text1"/>
        </w:rPr>
        <w:t xml:space="preserve">). V této zprávě sledujeme také agendu stížností pro porušení zákona (rejstřík </w:t>
      </w:r>
      <w:proofErr w:type="spellStart"/>
      <w:r w:rsidRPr="001C3EC8">
        <w:rPr>
          <w:color w:val="000000" w:themeColor="text1"/>
        </w:rPr>
        <w:t>Tz</w:t>
      </w:r>
      <w:proofErr w:type="spellEnd"/>
      <w:r w:rsidRPr="001C3EC8">
        <w:rPr>
          <w:color w:val="000000" w:themeColor="text1"/>
        </w:rPr>
        <w:t>),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1C3EC8">
        <w:rPr>
          <w:rStyle w:val="Znakapoznpodarou"/>
          <w:color w:val="000000" w:themeColor="text1"/>
        </w:rPr>
        <w:footnoteReference w:id="10"/>
      </w:r>
    </w:p>
    <w:p w14:paraId="24399C31" w14:textId="77777777" w:rsidR="008430BD" w:rsidRPr="001C3EC8" w:rsidRDefault="008430BD" w:rsidP="008430BD">
      <w:pPr>
        <w:pStyle w:val="OdstavecASR"/>
        <w:rPr>
          <w:color w:val="000000" w:themeColor="text1"/>
        </w:rPr>
      </w:pPr>
      <w:r w:rsidRPr="001C3EC8">
        <w:rPr>
          <w:color w:val="000000" w:themeColor="text1"/>
        </w:rPr>
        <w:t xml:space="preserve">V případě Nejvyššího soudu uvádí zpráva méně ukazatelů než u soudů nižších stupňů. Jsou pro to dva důvody. Za prvé, délka řízení nebo další statistické ukazatele nejsou k dispozici. Za druhé, soud je pouze jeden a není ho tedy s čím statisticky srovnávat. Přepočet vyřizování na jednoho soudce či výpočet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zde tedy mají mnohem menší smysl než u ostatních soudů.</w:t>
      </w:r>
    </w:p>
    <w:p w14:paraId="5129B87A" w14:textId="77777777" w:rsidR="008430BD" w:rsidRPr="001C3EC8" w:rsidRDefault="008430BD" w:rsidP="008430BD">
      <w:pPr>
        <w:pStyle w:val="OdstavecASR"/>
        <w:rPr>
          <w:color w:val="000000" w:themeColor="text1"/>
        </w:rPr>
      </w:pPr>
      <w:r w:rsidRPr="001C3EC8">
        <w:rPr>
          <w:color w:val="000000" w:themeColor="text1"/>
        </w:rPr>
        <w:t>V této zprávě uvádíme základní statistické informace. Další údaje a informace o činnosti NS s rozsáhlým komentářem jsou dostupné v Ročence Nejvyššího soudu.</w:t>
      </w:r>
      <w:r w:rsidRPr="001C3EC8">
        <w:rPr>
          <w:rStyle w:val="Znakapoznpodarou"/>
          <w:color w:val="000000" w:themeColor="text1"/>
        </w:rPr>
        <w:footnoteReference w:id="11"/>
      </w:r>
    </w:p>
    <w:p w14:paraId="4896EE65" w14:textId="77777777" w:rsidR="008430BD" w:rsidRPr="001C3EC8" w:rsidRDefault="008430BD" w:rsidP="008430BD">
      <w:pPr>
        <w:pStyle w:val="Nadpis2"/>
        <w:keepNext w:val="0"/>
        <w:numPr>
          <w:ilvl w:val="1"/>
          <w:numId w:val="1"/>
        </w:numPr>
        <w:spacing w:before="120"/>
        <w:rPr>
          <w:lang w:eastAsia="cs-CZ"/>
        </w:rPr>
      </w:pPr>
      <w:bookmarkStart w:id="816" w:name="_Toc515871295"/>
      <w:bookmarkStart w:id="817" w:name="_Toc75952145"/>
      <w:r w:rsidRPr="001C3EC8">
        <w:rPr>
          <w:lang w:eastAsia="cs-CZ"/>
        </w:rPr>
        <w:t>Personál</w:t>
      </w:r>
      <w:bookmarkEnd w:id="816"/>
      <w:bookmarkEnd w:id="817"/>
    </w:p>
    <w:p w14:paraId="61447CDE" w14:textId="77777777" w:rsidR="008430BD" w:rsidRPr="001C3EC8" w:rsidRDefault="008430BD" w:rsidP="008430BD">
      <w:pPr>
        <w:pStyle w:val="Nadpis3"/>
        <w:keepNext w:val="0"/>
        <w:numPr>
          <w:ilvl w:val="2"/>
          <w:numId w:val="1"/>
        </w:numPr>
        <w:rPr>
          <w:color w:val="000000" w:themeColor="text1"/>
          <w:lang w:eastAsia="cs-CZ"/>
        </w:rPr>
      </w:pPr>
      <w:bookmarkStart w:id="818" w:name="_Toc515871296"/>
      <w:bookmarkStart w:id="819" w:name="_Toc75952146"/>
      <w:r w:rsidRPr="001C3EC8">
        <w:rPr>
          <w:color w:val="000000" w:themeColor="text1"/>
          <w:lang w:eastAsia="cs-CZ"/>
        </w:rPr>
        <w:t>Soudci</w:t>
      </w:r>
      <w:bookmarkEnd w:id="818"/>
      <w:bookmarkEnd w:id="819"/>
    </w:p>
    <w:p w14:paraId="1B774B3C" w14:textId="01A59BA8" w:rsidR="008430BD" w:rsidRPr="001C3EC8" w:rsidRDefault="008430BD" w:rsidP="008430BD">
      <w:pPr>
        <w:pStyle w:val="OdstavecASR"/>
        <w:rPr>
          <w:color w:val="000000" w:themeColor="text1"/>
          <w:highlight w:val="yellow"/>
        </w:rPr>
      </w:pPr>
      <w:r w:rsidRPr="001C3EC8">
        <w:rPr>
          <w:color w:val="000000" w:themeColor="text1"/>
        </w:rPr>
        <w:t xml:space="preserve">Počet soudců se od roku 2009 do roku 2014 pomalu zvyšoval. Celkem se zvýšil o šest soudců, tedy o 10 %. Z důvodu dovršení věku 70 let odešli v roce 2016 </w:t>
      </w:r>
      <w:r w:rsidR="00021FDD" w:rsidRPr="001C3EC8">
        <w:rPr>
          <w:color w:val="000000" w:themeColor="text1"/>
        </w:rPr>
        <w:t>2</w:t>
      </w:r>
      <w:r w:rsidR="00021FDD">
        <w:rPr>
          <w:color w:val="000000" w:themeColor="text1"/>
        </w:rPr>
        <w:t> </w:t>
      </w:r>
      <w:r w:rsidRPr="001C3EC8">
        <w:rPr>
          <w:color w:val="000000" w:themeColor="text1"/>
        </w:rPr>
        <w:t xml:space="preserve">soudci. K 1. 1. 2017 nicméně došlo </w:t>
      </w:r>
      <w:r w:rsidR="00ED2B50" w:rsidRPr="001C3EC8">
        <w:rPr>
          <w:color w:val="000000" w:themeColor="text1"/>
        </w:rPr>
        <w:t>k </w:t>
      </w:r>
      <w:r w:rsidRPr="001C3EC8">
        <w:rPr>
          <w:color w:val="000000" w:themeColor="text1"/>
        </w:rPr>
        <w:t xml:space="preserve">doplnění počtu soudců, takže jich k tomuto datu u NS působilo 69. K 1. 1. 2019 </w:t>
      </w:r>
      <w:r w:rsidR="00021FDD" w:rsidRPr="001C3EC8">
        <w:rPr>
          <w:color w:val="000000" w:themeColor="text1"/>
        </w:rPr>
        <w:t>u</w:t>
      </w:r>
      <w:r w:rsidR="00021FDD">
        <w:rPr>
          <w:color w:val="000000" w:themeColor="text1"/>
        </w:rPr>
        <w:t> </w:t>
      </w:r>
      <w:r w:rsidRPr="001C3EC8">
        <w:rPr>
          <w:color w:val="000000" w:themeColor="text1"/>
        </w:rPr>
        <w:t xml:space="preserve">soudu působilo 66 soudců. V roce 2019 došlo k značnému navýšení plánovaného počtu soudců, </w:t>
      </w:r>
      <w:r w:rsidR="00021FDD" w:rsidRPr="001C3EC8">
        <w:rPr>
          <w:color w:val="000000" w:themeColor="text1"/>
        </w:rPr>
        <w:t>a</w:t>
      </w:r>
      <w:r w:rsidR="00021FDD">
        <w:rPr>
          <w:color w:val="000000" w:themeColor="text1"/>
        </w:rPr>
        <w:t> </w:t>
      </w:r>
      <w:r w:rsidRPr="001C3EC8">
        <w:rPr>
          <w:color w:val="000000" w:themeColor="text1"/>
        </w:rPr>
        <w:t xml:space="preserve">to na 72. Soudci byli k soudu následně </w:t>
      </w:r>
      <w:r w:rsidR="00021FDD" w:rsidRPr="001C3EC8">
        <w:rPr>
          <w:color w:val="000000" w:themeColor="text1"/>
        </w:rPr>
        <w:t>i</w:t>
      </w:r>
      <w:r w:rsidR="00021FDD">
        <w:rPr>
          <w:color w:val="000000" w:themeColor="text1"/>
        </w:rPr>
        <w:t> </w:t>
      </w:r>
      <w:r w:rsidRPr="001C3EC8">
        <w:rPr>
          <w:color w:val="000000" w:themeColor="text1"/>
        </w:rPr>
        <w:t xml:space="preserve">jmenováni, </w:t>
      </w:r>
      <w:r w:rsidR="00021FDD" w:rsidRPr="001C3EC8">
        <w:rPr>
          <w:color w:val="000000" w:themeColor="text1"/>
        </w:rPr>
        <w:t>a</w:t>
      </w:r>
      <w:r w:rsidR="00021FDD">
        <w:rPr>
          <w:color w:val="000000" w:themeColor="text1"/>
        </w:rPr>
        <w:t> </w:t>
      </w:r>
      <w:r w:rsidRPr="001C3EC8">
        <w:rPr>
          <w:color w:val="000000" w:themeColor="text1"/>
        </w:rPr>
        <w:t xml:space="preserve">evidenční počet soudců </w:t>
      </w:r>
      <w:r w:rsidR="00021FDD" w:rsidRPr="001C3EC8">
        <w:rPr>
          <w:color w:val="000000" w:themeColor="text1"/>
        </w:rPr>
        <w:t>v</w:t>
      </w:r>
      <w:r w:rsidR="00021FDD">
        <w:rPr>
          <w:color w:val="000000" w:themeColor="text1"/>
        </w:rPr>
        <w:t> </w:t>
      </w:r>
      <w:r w:rsidRPr="001C3EC8">
        <w:rPr>
          <w:color w:val="000000" w:themeColor="text1"/>
        </w:rPr>
        <w:t xml:space="preserve">roce 2020 vzrostl na 71. Soud je také dlouhodobě posilován o stážisty z nižších soudů (aktuálně jich zde působí jedenáct, devět z nich jakožto soudci občanskoprávního </w:t>
      </w:r>
      <w:r w:rsidR="00021FDD" w:rsidRPr="001C3EC8">
        <w:rPr>
          <w:color w:val="000000" w:themeColor="text1"/>
        </w:rPr>
        <w:t>a</w:t>
      </w:r>
      <w:r w:rsidR="00021FDD">
        <w:rPr>
          <w:color w:val="000000" w:themeColor="text1"/>
        </w:rPr>
        <w:t> </w:t>
      </w:r>
      <w:r w:rsidRPr="001C3EC8">
        <w:rPr>
          <w:color w:val="000000" w:themeColor="text1"/>
        </w:rPr>
        <w:t>obchodního kolegia).</w:t>
      </w:r>
      <w:r w:rsidR="00ED2B50" w:rsidRPr="001C3EC8">
        <w:rPr>
          <w:rStyle w:val="Znakapoznpodarou"/>
          <w:color w:val="000000" w:themeColor="text1"/>
        </w:rPr>
        <w:footnoteReference w:id="12"/>
      </w:r>
    </w:p>
    <w:p w14:paraId="4A8DF691" w14:textId="3BC2CBF6" w:rsidR="008430BD" w:rsidRPr="001C3EC8" w:rsidRDefault="008430BD" w:rsidP="008430BD">
      <w:pPr>
        <w:pStyle w:val="Podnadpis"/>
        <w:rPr>
          <w:color w:val="000000" w:themeColor="text1"/>
        </w:rPr>
      </w:pPr>
      <w:bookmarkStart w:id="820" w:name="_Toc515871421"/>
      <w:bookmarkStart w:id="821" w:name="_Toc11135152"/>
      <w:bookmarkStart w:id="822" w:name="_Toc43841478"/>
      <w:bookmarkStart w:id="823" w:name="_Toc75952281"/>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101</w:t>
      </w:r>
      <w:r w:rsidRPr="001C3EC8">
        <w:rPr>
          <w:color w:val="000000" w:themeColor="text1"/>
        </w:rPr>
        <w:fldChar w:fldCharType="end"/>
      </w:r>
      <w:r w:rsidRPr="001C3EC8">
        <w:rPr>
          <w:color w:val="000000" w:themeColor="text1"/>
        </w:rPr>
        <w:t>: NS – počet soudců v letech 2008–20</w:t>
      </w:r>
      <w:bookmarkEnd w:id="820"/>
      <w:bookmarkEnd w:id="821"/>
      <w:bookmarkEnd w:id="822"/>
      <w:r w:rsidRPr="001C3EC8">
        <w:rPr>
          <w:color w:val="000000" w:themeColor="text1"/>
        </w:rPr>
        <w:t>20</w:t>
      </w:r>
      <w:bookmarkEnd w:id="823"/>
    </w:p>
    <w:p w14:paraId="4338F43D"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7BBAEDE1" wp14:editId="4D44DA75">
            <wp:extent cx="5114925" cy="3743325"/>
            <wp:effectExtent l="0" t="0" r="0" b="9525"/>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AFEA0A6" w14:textId="0C12E752" w:rsidR="008430BD" w:rsidRPr="001C3EC8" w:rsidRDefault="008430BD" w:rsidP="008430BD">
      <w:pPr>
        <w:pStyle w:val="Podnadpis"/>
        <w:rPr>
          <w:color w:val="000000" w:themeColor="text1"/>
        </w:rPr>
      </w:pPr>
      <w:bookmarkStart w:id="824" w:name="_Toc515871422"/>
      <w:bookmarkStart w:id="825" w:name="_Toc11135153"/>
      <w:bookmarkStart w:id="826" w:name="_Toc43841479"/>
      <w:bookmarkStart w:id="827" w:name="_Toc75952282"/>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102</w:t>
      </w:r>
      <w:r w:rsidRPr="001C3EC8">
        <w:rPr>
          <w:color w:val="000000" w:themeColor="text1"/>
        </w:rPr>
        <w:fldChar w:fldCharType="end"/>
      </w:r>
      <w:r w:rsidRPr="001C3EC8">
        <w:rPr>
          <w:color w:val="000000" w:themeColor="text1"/>
        </w:rPr>
        <w:t>: NS – evidenční počet soudců dle soudních úseků v letech 2008–</w:t>
      </w:r>
      <w:bookmarkEnd w:id="824"/>
      <w:bookmarkEnd w:id="825"/>
      <w:r w:rsidRPr="001C3EC8">
        <w:rPr>
          <w:color w:val="000000" w:themeColor="text1"/>
        </w:rPr>
        <w:t>2</w:t>
      </w:r>
      <w:bookmarkEnd w:id="826"/>
      <w:r w:rsidRPr="001C3EC8">
        <w:rPr>
          <w:color w:val="000000" w:themeColor="text1"/>
        </w:rPr>
        <w:t>020</w:t>
      </w:r>
      <w:bookmarkEnd w:id="827"/>
    </w:p>
    <w:p w14:paraId="1565EE01"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657D8EF2" wp14:editId="1CE1CEF4">
            <wp:extent cx="5114925" cy="3743325"/>
            <wp:effectExtent l="0" t="0" r="0" b="9525"/>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2684CD9" w14:textId="70EA000D" w:rsidR="008430BD" w:rsidRPr="001C3EC8" w:rsidRDefault="008430BD" w:rsidP="008430BD">
      <w:pPr>
        <w:pStyle w:val="OdstavecASR"/>
        <w:rPr>
          <w:color w:val="000000" w:themeColor="text1"/>
        </w:rPr>
      </w:pPr>
      <w:r w:rsidRPr="001C3EC8">
        <w:rPr>
          <w:color w:val="000000" w:themeColor="text1"/>
        </w:rPr>
        <w:t xml:space="preserve">Z dalšího grafu vyčteme, že výše zmíněný mírný nárůst v počtu soudců v letech 2009 až 2014 se odehrál na civilním úseku soudu. </w:t>
      </w:r>
      <w:r w:rsidR="00021FDD" w:rsidRPr="001C3EC8">
        <w:rPr>
          <w:color w:val="000000" w:themeColor="text1"/>
        </w:rPr>
        <w:t>V</w:t>
      </w:r>
      <w:r w:rsidR="00021FDD">
        <w:rPr>
          <w:color w:val="000000" w:themeColor="text1"/>
        </w:rPr>
        <w:t> </w:t>
      </w:r>
      <w:r w:rsidRPr="001C3EC8">
        <w:rPr>
          <w:color w:val="000000" w:themeColor="text1"/>
        </w:rPr>
        <w:t xml:space="preserve">roce 2017 byl především posílen také civilní úsek. V roce 2018 na tomto úseku </w:t>
      </w:r>
      <w:r w:rsidR="00021FDD" w:rsidRPr="001C3EC8">
        <w:rPr>
          <w:color w:val="000000" w:themeColor="text1"/>
        </w:rPr>
        <w:t>2</w:t>
      </w:r>
      <w:r w:rsidR="00021FDD">
        <w:rPr>
          <w:color w:val="000000" w:themeColor="text1"/>
        </w:rPr>
        <w:t> </w:t>
      </w:r>
      <w:r w:rsidRPr="001C3EC8">
        <w:rPr>
          <w:color w:val="000000" w:themeColor="text1"/>
        </w:rPr>
        <w:t xml:space="preserve">soudci skončili. V roce 2019 na trestním úseku ubyli hned </w:t>
      </w:r>
      <w:r w:rsidR="00021FDD" w:rsidRPr="001C3EC8">
        <w:rPr>
          <w:color w:val="000000" w:themeColor="text1"/>
        </w:rPr>
        <w:t>4</w:t>
      </w:r>
      <w:r w:rsidR="00021FDD">
        <w:rPr>
          <w:color w:val="000000" w:themeColor="text1"/>
        </w:rPr>
        <w:t> </w:t>
      </w:r>
      <w:r w:rsidRPr="001C3EC8">
        <w:rPr>
          <w:color w:val="000000" w:themeColor="text1"/>
        </w:rPr>
        <w:t xml:space="preserve">soudci </w:t>
      </w:r>
      <w:r w:rsidR="00021FDD" w:rsidRPr="001C3EC8">
        <w:rPr>
          <w:color w:val="000000" w:themeColor="text1"/>
        </w:rPr>
        <w:t>a</w:t>
      </w:r>
      <w:r w:rsidR="00021FDD">
        <w:rPr>
          <w:color w:val="000000" w:themeColor="text1"/>
        </w:rPr>
        <w:t> </w:t>
      </w:r>
      <w:r w:rsidRPr="001C3EC8">
        <w:rPr>
          <w:color w:val="000000" w:themeColor="text1"/>
        </w:rPr>
        <w:t xml:space="preserve">na civilním </w:t>
      </w:r>
      <w:r w:rsidR="002E3620">
        <w:rPr>
          <w:color w:val="000000" w:themeColor="text1"/>
        </w:rPr>
        <w:lastRenderedPageBreak/>
        <w:t xml:space="preserve">úseku </w:t>
      </w:r>
      <w:r w:rsidR="00021FDD" w:rsidRPr="001C3EC8">
        <w:rPr>
          <w:color w:val="000000" w:themeColor="text1"/>
        </w:rPr>
        <w:t>2</w:t>
      </w:r>
      <w:r w:rsidR="00021FDD">
        <w:rPr>
          <w:color w:val="000000" w:themeColor="text1"/>
        </w:rPr>
        <w:t> </w:t>
      </w:r>
      <w:r w:rsidRPr="001C3EC8">
        <w:rPr>
          <w:color w:val="000000" w:themeColor="text1"/>
        </w:rPr>
        <w:t>přibyli. To poměrně značně změnilo velikostní poměr mezi oběma úseky. V roce 2020 pak přibyli soudci na obou úsecích.</w:t>
      </w:r>
    </w:p>
    <w:p w14:paraId="4A599482" w14:textId="15B8C3C9" w:rsidR="00B07E76" w:rsidRDefault="008430BD" w:rsidP="008430BD">
      <w:pPr>
        <w:pStyle w:val="OdstavecASR"/>
        <w:rPr>
          <w:color w:val="000000" w:themeColor="text1"/>
        </w:rPr>
      </w:pPr>
      <w:r w:rsidRPr="001C3EC8">
        <w:rPr>
          <w:color w:val="000000" w:themeColor="text1"/>
        </w:rPr>
        <w:t xml:space="preserve">Na dalším grafu je stejně jako u ostatních soudů zobrazen vývoj počtu soudců a soudkyň. Od roku 2009 se počet mužů zvyšoval a v roce 2017 došlo k dalšímu významnému růstu. Teprve v roce 2019 se výše popsaný trend zarazil </w:t>
      </w:r>
      <w:r w:rsidR="00021FDD" w:rsidRPr="001C3EC8">
        <w:rPr>
          <w:color w:val="000000" w:themeColor="text1"/>
        </w:rPr>
        <w:t>a</w:t>
      </w:r>
      <w:r w:rsidR="00021FDD">
        <w:rPr>
          <w:color w:val="000000" w:themeColor="text1"/>
        </w:rPr>
        <w:t> </w:t>
      </w:r>
      <w:r w:rsidRPr="001C3EC8">
        <w:rPr>
          <w:color w:val="000000" w:themeColor="text1"/>
        </w:rPr>
        <w:t xml:space="preserve">podíl žen dokonce mírně stoupl. V roce 2020 ale bylo k soudu jmenováno dalších </w:t>
      </w:r>
      <w:r w:rsidR="00021FDD" w:rsidRPr="001C3EC8">
        <w:rPr>
          <w:color w:val="000000" w:themeColor="text1"/>
        </w:rPr>
        <w:t>5</w:t>
      </w:r>
      <w:r w:rsidR="00021FDD">
        <w:rPr>
          <w:color w:val="000000" w:themeColor="text1"/>
        </w:rPr>
        <w:t> </w:t>
      </w:r>
      <w:r w:rsidRPr="001C3EC8">
        <w:rPr>
          <w:color w:val="000000" w:themeColor="text1"/>
        </w:rPr>
        <w:t>mužů.</w:t>
      </w:r>
    </w:p>
    <w:p w14:paraId="46156C0F" w14:textId="01558EF2" w:rsidR="008430BD" w:rsidRPr="001C3EC8" w:rsidRDefault="008430BD" w:rsidP="008430BD">
      <w:pPr>
        <w:pStyle w:val="OdstavecASR"/>
        <w:rPr>
          <w:color w:val="000000" w:themeColor="text1"/>
        </w:rPr>
      </w:pPr>
      <w:r w:rsidRPr="001C3EC8">
        <w:rPr>
          <w:color w:val="000000" w:themeColor="text1"/>
        </w:rPr>
        <w:t xml:space="preserve">U Nejvyššího soudu </w:t>
      </w:r>
      <w:r w:rsidR="00ED2B50" w:rsidRPr="001C3EC8">
        <w:rPr>
          <w:color w:val="000000" w:themeColor="text1"/>
        </w:rPr>
        <w:t xml:space="preserve">tak </w:t>
      </w:r>
      <w:r w:rsidRPr="001C3EC8">
        <w:rPr>
          <w:color w:val="000000" w:themeColor="text1"/>
        </w:rPr>
        <w:t>stále pokračuje trend, který je patrný i u některých soudů nižších stupňů, tedy snižování podílu soudkyň s každým dalším článkem soudní soustavy. Po jmenování nových soudců byl podíl žen mezi soudci u Nejvyššího soudu v roce 2020 asi 20 %.</w:t>
      </w:r>
    </w:p>
    <w:p w14:paraId="3EDF51B1" w14:textId="701620FB" w:rsidR="008430BD" w:rsidRPr="001C3EC8" w:rsidRDefault="008430BD" w:rsidP="008430BD">
      <w:pPr>
        <w:pStyle w:val="Podnadpis"/>
        <w:rPr>
          <w:color w:val="000000" w:themeColor="text1"/>
        </w:rPr>
      </w:pPr>
      <w:bookmarkStart w:id="828" w:name="_Toc515871423"/>
      <w:bookmarkStart w:id="829" w:name="_Toc11135154"/>
      <w:bookmarkStart w:id="830" w:name="_Toc43841480"/>
      <w:bookmarkStart w:id="831" w:name="_Toc7595228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103</w:t>
      </w:r>
      <w:r w:rsidRPr="001C3EC8">
        <w:rPr>
          <w:color w:val="000000" w:themeColor="text1"/>
        </w:rPr>
        <w:fldChar w:fldCharType="end"/>
      </w:r>
      <w:r w:rsidRPr="001C3EC8">
        <w:rPr>
          <w:color w:val="000000" w:themeColor="text1"/>
        </w:rPr>
        <w:t>: NS – evidenční počet soudců podle pohlaví v letech 2008–20</w:t>
      </w:r>
      <w:bookmarkEnd w:id="828"/>
      <w:bookmarkEnd w:id="829"/>
      <w:bookmarkEnd w:id="830"/>
      <w:r w:rsidRPr="001C3EC8">
        <w:rPr>
          <w:color w:val="000000" w:themeColor="text1"/>
        </w:rPr>
        <w:t>20</w:t>
      </w:r>
      <w:bookmarkEnd w:id="831"/>
    </w:p>
    <w:p w14:paraId="184DCFC4"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1DCD35D8" wp14:editId="649752B8">
            <wp:extent cx="5114925" cy="3743325"/>
            <wp:effectExtent l="0" t="0" r="0" b="9525"/>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C284B38" w14:textId="29BF84F3" w:rsidR="008430BD" w:rsidRPr="001C3EC8" w:rsidRDefault="008430BD" w:rsidP="008430BD">
      <w:pPr>
        <w:rPr>
          <w:color w:val="000000" w:themeColor="text1"/>
          <w:lang w:eastAsia="cs-CZ"/>
        </w:rPr>
      </w:pPr>
      <w:r w:rsidRPr="001C3EC8">
        <w:rPr>
          <w:color w:val="000000" w:themeColor="text1"/>
          <w:lang w:eastAsia="cs-CZ"/>
        </w:rPr>
        <w:t>Věkovou strukturu soudců zkoumáme i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Nejvyššího soudu. Soudci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Nejvyššího soudu se už v průměru nezdají být starší než soudci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 xml:space="preserve">vrchních soudů. </w:t>
      </w:r>
      <w:r w:rsidR="00021FDD" w:rsidRPr="001C3EC8">
        <w:rPr>
          <w:color w:val="000000" w:themeColor="text1"/>
          <w:lang w:eastAsia="cs-CZ"/>
        </w:rPr>
        <w:t>I</w:t>
      </w:r>
      <w:r w:rsidR="00021FDD">
        <w:rPr>
          <w:color w:val="000000" w:themeColor="text1"/>
          <w:lang w:eastAsia="cs-CZ"/>
        </w:rPr>
        <w:t> </w:t>
      </w:r>
      <w:r w:rsidRPr="001C3EC8">
        <w:rPr>
          <w:color w:val="000000" w:themeColor="text1"/>
          <w:lang w:eastAsia="cs-CZ"/>
        </w:rPr>
        <w:t xml:space="preserve">zde však došlo během let ke změnám ve věkové struktuře. Zvyšoval se podíl soudců ve věku 61–70 let a snižoval se podíl soudců mezi 51. a 60. rokem věku. V roce 2020 </w:t>
      </w:r>
      <w:r w:rsidR="00ED2B50" w:rsidRPr="001C3EC8">
        <w:rPr>
          <w:color w:val="000000" w:themeColor="text1"/>
          <w:lang w:eastAsia="cs-CZ"/>
        </w:rPr>
        <w:t xml:space="preserve">došlo </w:t>
      </w:r>
      <w:r w:rsidR="00021FDD" w:rsidRPr="001C3EC8">
        <w:rPr>
          <w:color w:val="000000" w:themeColor="text1"/>
          <w:lang w:eastAsia="cs-CZ"/>
        </w:rPr>
        <w:t>k</w:t>
      </w:r>
      <w:r w:rsidR="00021FDD">
        <w:rPr>
          <w:color w:val="000000" w:themeColor="text1"/>
          <w:lang w:eastAsia="cs-CZ"/>
        </w:rPr>
        <w:t> </w:t>
      </w:r>
      <w:r w:rsidRPr="001C3EC8">
        <w:rPr>
          <w:color w:val="000000" w:themeColor="text1"/>
          <w:lang w:eastAsia="cs-CZ"/>
        </w:rPr>
        <w:t>nárůst</w:t>
      </w:r>
      <w:r w:rsidR="00ED2B50" w:rsidRPr="001C3EC8">
        <w:rPr>
          <w:color w:val="000000" w:themeColor="text1"/>
          <w:lang w:eastAsia="cs-CZ"/>
        </w:rPr>
        <w:t>u</w:t>
      </w:r>
      <w:r w:rsidRPr="001C3EC8">
        <w:rPr>
          <w:color w:val="000000" w:themeColor="text1"/>
          <w:lang w:eastAsia="cs-CZ"/>
        </w:rPr>
        <w:t xml:space="preserve"> ve věkové kategorii 41 až 50 let. Můžeme tedy </w:t>
      </w:r>
      <w:r w:rsidR="00ED2B50" w:rsidRPr="001C3EC8">
        <w:rPr>
          <w:color w:val="000000" w:themeColor="text1"/>
          <w:lang w:eastAsia="cs-CZ"/>
        </w:rPr>
        <w:t>uzavřít</w:t>
      </w:r>
      <w:r w:rsidRPr="001C3EC8">
        <w:rPr>
          <w:color w:val="000000" w:themeColor="text1"/>
          <w:lang w:eastAsia="cs-CZ"/>
        </w:rPr>
        <w:t xml:space="preserve">, že soud v roce 2020 posílili muži ve věku 41 až 50 let, </w:t>
      </w:r>
      <w:r w:rsidR="00ED2B50" w:rsidRPr="001C3EC8">
        <w:rPr>
          <w:color w:val="000000" w:themeColor="text1"/>
          <w:lang w:eastAsia="cs-CZ"/>
        </w:rPr>
        <w:t xml:space="preserve">kteří </w:t>
      </w:r>
      <w:r w:rsidRPr="001C3EC8">
        <w:rPr>
          <w:color w:val="000000" w:themeColor="text1"/>
          <w:lang w:eastAsia="cs-CZ"/>
        </w:rPr>
        <w:t>byli jmenováni jak na civilní, tak na trestní úsek.</w:t>
      </w:r>
    </w:p>
    <w:p w14:paraId="30DAAC50" w14:textId="02911987" w:rsidR="008430BD" w:rsidRPr="001C3EC8" w:rsidRDefault="008430BD" w:rsidP="008430BD">
      <w:pPr>
        <w:pStyle w:val="Podnadpis"/>
        <w:rPr>
          <w:color w:val="000000" w:themeColor="text1"/>
        </w:rPr>
      </w:pPr>
      <w:bookmarkStart w:id="832" w:name="_Toc515871424"/>
      <w:bookmarkStart w:id="833" w:name="_Toc11135155"/>
      <w:bookmarkStart w:id="834" w:name="_Toc43841481"/>
      <w:bookmarkStart w:id="835" w:name="_Toc75952284"/>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104</w:t>
      </w:r>
      <w:r w:rsidRPr="001C3EC8">
        <w:rPr>
          <w:color w:val="000000" w:themeColor="text1"/>
        </w:rPr>
        <w:fldChar w:fldCharType="end"/>
      </w:r>
      <w:r w:rsidRPr="001C3EC8">
        <w:rPr>
          <w:color w:val="000000" w:themeColor="text1"/>
        </w:rPr>
        <w:t>: NS – věková struktura soudců v letech 2008–20</w:t>
      </w:r>
      <w:bookmarkEnd w:id="832"/>
      <w:bookmarkEnd w:id="833"/>
      <w:bookmarkEnd w:id="834"/>
      <w:r w:rsidRPr="001C3EC8">
        <w:rPr>
          <w:color w:val="000000" w:themeColor="text1"/>
        </w:rPr>
        <w:t>20</w:t>
      </w:r>
      <w:bookmarkEnd w:id="835"/>
    </w:p>
    <w:p w14:paraId="50115466"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1C4D3FFA" wp14:editId="5A9C1935">
            <wp:extent cx="5114925" cy="3743325"/>
            <wp:effectExtent l="0" t="0" r="0" b="9525"/>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3DFB701" w14:textId="77777777" w:rsidR="008430BD" w:rsidRPr="001C3EC8" w:rsidRDefault="008430BD" w:rsidP="008430BD">
      <w:pPr>
        <w:rPr>
          <w:color w:val="000000" w:themeColor="text1"/>
          <w:lang w:eastAsia="cs-CZ"/>
        </w:rPr>
      </w:pPr>
    </w:p>
    <w:p w14:paraId="787C750E" w14:textId="77777777" w:rsidR="008430BD" w:rsidRPr="001C3EC8" w:rsidRDefault="008430BD" w:rsidP="008430BD">
      <w:pPr>
        <w:pStyle w:val="Nadpis3"/>
        <w:numPr>
          <w:ilvl w:val="2"/>
          <w:numId w:val="1"/>
        </w:numPr>
        <w:rPr>
          <w:color w:val="000000" w:themeColor="text1"/>
          <w:lang w:eastAsia="cs-CZ"/>
        </w:rPr>
      </w:pPr>
      <w:bookmarkStart w:id="836" w:name="_Toc515871297"/>
      <w:bookmarkStart w:id="837" w:name="_Toc75952147"/>
      <w:r w:rsidRPr="001C3EC8">
        <w:rPr>
          <w:color w:val="000000" w:themeColor="text1"/>
          <w:lang w:eastAsia="cs-CZ"/>
        </w:rPr>
        <w:t>Zaměstnanci ve výkonu</w:t>
      </w:r>
      <w:bookmarkEnd w:id="836"/>
      <w:bookmarkEnd w:id="837"/>
    </w:p>
    <w:p w14:paraId="59A3962A" w14:textId="77777777" w:rsidR="008430BD" w:rsidRPr="001C3EC8" w:rsidRDefault="008430BD" w:rsidP="008430BD">
      <w:pPr>
        <w:pStyle w:val="OdstavecASR"/>
        <w:rPr>
          <w:color w:val="000000" w:themeColor="text1"/>
        </w:rPr>
      </w:pPr>
      <w:r w:rsidRPr="001C3EC8">
        <w:rPr>
          <w:color w:val="000000" w:themeColor="text1"/>
        </w:rPr>
        <w:t>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 K tomu nutno doplnit, že činnost asistenta na Nejvyšším soudu je velmi rozdílná oproti činnosti stejně nazvané profese na soudu prvního stupně. Ve srovnání s předchozím rokem se počet zaměstnanců ve výkonu takřka nezměnil.</w:t>
      </w:r>
    </w:p>
    <w:p w14:paraId="73C4C1AA" w14:textId="0046655F" w:rsidR="008430BD" w:rsidRPr="001C3EC8" w:rsidRDefault="008430BD" w:rsidP="008430BD">
      <w:pPr>
        <w:pStyle w:val="Podnadpis"/>
        <w:rPr>
          <w:color w:val="000000" w:themeColor="text1"/>
        </w:rPr>
      </w:pPr>
      <w:bookmarkStart w:id="838" w:name="_Toc515871505"/>
      <w:bookmarkStart w:id="839" w:name="_Toc11133271"/>
      <w:bookmarkStart w:id="840" w:name="_Toc43931253"/>
      <w:bookmarkStart w:id="841" w:name="_Toc75952387"/>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84</w:t>
      </w:r>
      <w:r w:rsidRPr="001C3EC8">
        <w:rPr>
          <w:color w:val="000000" w:themeColor="text1"/>
        </w:rPr>
        <w:fldChar w:fldCharType="end"/>
      </w:r>
      <w:r w:rsidRPr="001C3EC8">
        <w:rPr>
          <w:color w:val="000000" w:themeColor="text1"/>
        </w:rPr>
        <w:t>: NS – počet zaměstnanců ve výkonu</w:t>
      </w:r>
      <w:bookmarkEnd w:id="838"/>
      <w:bookmarkEnd w:id="839"/>
      <w:bookmarkEnd w:id="840"/>
      <w:bookmarkEnd w:id="841"/>
    </w:p>
    <w:tbl>
      <w:tblPr>
        <w:tblW w:w="5120" w:type="dxa"/>
        <w:tblCellMar>
          <w:left w:w="70" w:type="dxa"/>
          <w:right w:w="70" w:type="dxa"/>
        </w:tblCellMar>
        <w:tblLook w:val="04A0" w:firstRow="1" w:lastRow="0" w:firstColumn="1" w:lastColumn="0" w:noHBand="0" w:noVBand="1"/>
      </w:tblPr>
      <w:tblGrid>
        <w:gridCol w:w="3680"/>
        <w:gridCol w:w="1440"/>
      </w:tblGrid>
      <w:tr w:rsidR="008430BD" w:rsidRPr="001C3EC8" w14:paraId="13B08590" w14:textId="77777777" w:rsidTr="00930695">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5E4692FD" w14:textId="62DFC7E3" w:rsidR="008430BD" w:rsidRPr="001C3EC8" w:rsidRDefault="008430BD" w:rsidP="00F66F3C">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1440" w:type="dxa"/>
            <w:tcBorders>
              <w:top w:val="double" w:sz="6" w:space="0" w:color="auto"/>
              <w:left w:val="nil"/>
              <w:bottom w:val="double" w:sz="6" w:space="0" w:color="auto"/>
              <w:right w:val="nil"/>
            </w:tcBorders>
            <w:shd w:val="clear" w:color="auto" w:fill="auto"/>
            <w:noWrap/>
            <w:vAlign w:val="bottom"/>
            <w:hideMark/>
          </w:tcPr>
          <w:p w14:paraId="5481D40B"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osob</w:t>
            </w:r>
          </w:p>
        </w:tc>
      </w:tr>
      <w:tr w:rsidR="008430BD" w:rsidRPr="001C3EC8" w14:paraId="1CDC3372" w14:textId="77777777" w:rsidTr="00E077F3">
        <w:trPr>
          <w:trHeight w:val="330"/>
        </w:trPr>
        <w:tc>
          <w:tcPr>
            <w:tcW w:w="3680" w:type="dxa"/>
            <w:tcBorders>
              <w:top w:val="nil"/>
              <w:left w:val="nil"/>
              <w:bottom w:val="single" w:sz="4" w:space="0" w:color="auto"/>
              <w:right w:val="nil"/>
            </w:tcBorders>
            <w:shd w:val="clear" w:color="auto" w:fill="auto"/>
            <w:noWrap/>
            <w:vAlign w:val="bottom"/>
            <w:hideMark/>
          </w:tcPr>
          <w:p w14:paraId="7600977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0FBE9163"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161</w:t>
            </w:r>
          </w:p>
        </w:tc>
      </w:tr>
      <w:tr w:rsidR="008430BD" w:rsidRPr="001C3EC8" w14:paraId="18390BB3" w14:textId="77777777" w:rsidTr="00E077F3">
        <w:trPr>
          <w:trHeight w:val="315"/>
        </w:trPr>
        <w:tc>
          <w:tcPr>
            <w:tcW w:w="3680" w:type="dxa"/>
            <w:tcBorders>
              <w:top w:val="nil"/>
              <w:left w:val="nil"/>
              <w:bottom w:val="single" w:sz="4" w:space="0" w:color="auto"/>
              <w:right w:val="nil"/>
            </w:tcBorders>
            <w:shd w:val="clear" w:color="auto" w:fill="auto"/>
            <w:noWrap/>
            <w:vAlign w:val="bottom"/>
            <w:hideMark/>
          </w:tcPr>
          <w:p w14:paraId="46AE63E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2B3B2CF9"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7</w:t>
            </w:r>
          </w:p>
        </w:tc>
      </w:tr>
      <w:tr w:rsidR="008430BD" w:rsidRPr="001C3EC8" w14:paraId="0307231B" w14:textId="77777777" w:rsidTr="00E077F3">
        <w:trPr>
          <w:trHeight w:val="315"/>
        </w:trPr>
        <w:tc>
          <w:tcPr>
            <w:tcW w:w="3680" w:type="dxa"/>
            <w:tcBorders>
              <w:top w:val="nil"/>
              <w:left w:val="nil"/>
              <w:bottom w:val="single" w:sz="4" w:space="0" w:color="auto"/>
              <w:right w:val="nil"/>
            </w:tcBorders>
            <w:shd w:val="clear" w:color="auto" w:fill="auto"/>
            <w:noWrap/>
            <w:vAlign w:val="bottom"/>
            <w:hideMark/>
          </w:tcPr>
          <w:p w14:paraId="5F829131"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2F08E35D"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9</w:t>
            </w:r>
          </w:p>
        </w:tc>
      </w:tr>
      <w:tr w:rsidR="008430BD" w:rsidRPr="001C3EC8" w14:paraId="403B25D7" w14:textId="77777777" w:rsidTr="00E077F3">
        <w:trPr>
          <w:trHeight w:val="330"/>
        </w:trPr>
        <w:tc>
          <w:tcPr>
            <w:tcW w:w="3680" w:type="dxa"/>
            <w:tcBorders>
              <w:top w:val="nil"/>
              <w:left w:val="nil"/>
              <w:bottom w:val="double" w:sz="6" w:space="0" w:color="auto"/>
              <w:right w:val="nil"/>
            </w:tcBorders>
            <w:shd w:val="clear" w:color="auto" w:fill="auto"/>
            <w:noWrap/>
            <w:vAlign w:val="bottom"/>
            <w:hideMark/>
          </w:tcPr>
          <w:p w14:paraId="43DA7EC0"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303D719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12</w:t>
            </w:r>
          </w:p>
        </w:tc>
      </w:tr>
      <w:tr w:rsidR="008430BD" w:rsidRPr="001C3EC8" w14:paraId="75BEC943" w14:textId="77777777" w:rsidTr="00E077F3">
        <w:trPr>
          <w:trHeight w:val="345"/>
        </w:trPr>
        <w:tc>
          <w:tcPr>
            <w:tcW w:w="3680" w:type="dxa"/>
            <w:tcBorders>
              <w:top w:val="nil"/>
              <w:left w:val="nil"/>
              <w:bottom w:val="double" w:sz="6" w:space="0" w:color="auto"/>
              <w:right w:val="nil"/>
            </w:tcBorders>
            <w:shd w:val="clear" w:color="auto" w:fill="auto"/>
            <w:noWrap/>
            <w:vAlign w:val="bottom"/>
            <w:hideMark/>
          </w:tcPr>
          <w:p w14:paraId="3827723C"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440" w:type="dxa"/>
            <w:tcBorders>
              <w:top w:val="nil"/>
              <w:left w:val="nil"/>
              <w:bottom w:val="double" w:sz="6" w:space="0" w:color="auto"/>
              <w:right w:val="nil"/>
            </w:tcBorders>
            <w:shd w:val="clear" w:color="auto" w:fill="auto"/>
            <w:noWrap/>
            <w:vAlign w:val="bottom"/>
            <w:hideMark/>
          </w:tcPr>
          <w:p w14:paraId="5C564C6D"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188</w:t>
            </w:r>
          </w:p>
        </w:tc>
      </w:tr>
    </w:tbl>
    <w:p w14:paraId="333BFD1C" w14:textId="77777777" w:rsidR="008430BD" w:rsidRPr="001C3EC8" w:rsidRDefault="008430BD" w:rsidP="008430BD">
      <w:pPr>
        <w:rPr>
          <w:color w:val="000000" w:themeColor="text1"/>
          <w:lang w:eastAsia="cs-CZ"/>
        </w:rPr>
      </w:pPr>
    </w:p>
    <w:p w14:paraId="1F69F90F" w14:textId="77777777" w:rsidR="008430BD" w:rsidRPr="001C3EC8" w:rsidRDefault="008430BD" w:rsidP="008430BD">
      <w:pPr>
        <w:spacing w:line="240" w:lineRule="auto"/>
        <w:jc w:val="left"/>
        <w:rPr>
          <w:color w:val="000000" w:themeColor="text1"/>
          <w:lang w:eastAsia="cs-CZ"/>
        </w:rPr>
      </w:pPr>
      <w:r w:rsidRPr="001C3EC8">
        <w:rPr>
          <w:color w:val="000000" w:themeColor="text1"/>
          <w:lang w:eastAsia="cs-CZ"/>
        </w:rPr>
        <w:br w:type="page"/>
      </w:r>
    </w:p>
    <w:p w14:paraId="3F847EC7" w14:textId="77777777" w:rsidR="008430BD" w:rsidRPr="001C3EC8" w:rsidRDefault="008430BD" w:rsidP="008430BD">
      <w:pPr>
        <w:pStyle w:val="Nadpis2"/>
        <w:numPr>
          <w:ilvl w:val="1"/>
          <w:numId w:val="1"/>
        </w:numPr>
        <w:spacing w:before="120"/>
        <w:rPr>
          <w:lang w:eastAsia="cs-CZ"/>
        </w:rPr>
      </w:pPr>
      <w:bookmarkStart w:id="842" w:name="_Toc515871298"/>
      <w:bookmarkStart w:id="843" w:name="_Toc75952148"/>
      <w:r w:rsidRPr="001C3EC8">
        <w:rPr>
          <w:lang w:eastAsia="cs-CZ"/>
        </w:rPr>
        <w:lastRenderedPageBreak/>
        <w:t>Civilní dovolací agenda</w:t>
      </w:r>
      <w:bookmarkEnd w:id="842"/>
      <w:bookmarkEnd w:id="843"/>
    </w:p>
    <w:p w14:paraId="59007953" w14:textId="77777777" w:rsidR="008430BD" w:rsidRPr="001C3EC8" w:rsidRDefault="008430BD" w:rsidP="008430BD">
      <w:pPr>
        <w:pStyle w:val="OdstavecASR"/>
        <w:rPr>
          <w:color w:val="000000" w:themeColor="text1"/>
        </w:rPr>
      </w:pPr>
      <w:r w:rsidRPr="001C3EC8">
        <w:rPr>
          <w:color w:val="000000" w:themeColor="text1"/>
        </w:rPr>
        <w:t xml:space="preserve">Již výše jsme uvedli, že se jedná o rejstřík </w:t>
      </w:r>
      <w:proofErr w:type="spellStart"/>
      <w:r w:rsidRPr="001C3EC8">
        <w:rPr>
          <w:color w:val="000000" w:themeColor="text1"/>
        </w:rPr>
        <w:t>Cdo</w:t>
      </w:r>
      <w:proofErr w:type="spellEnd"/>
      <w:r w:rsidRPr="001C3EC8">
        <w:rPr>
          <w:color w:val="000000" w:themeColor="text1"/>
        </w:rPr>
        <w:t>, dříve též rejstřík Odo.</w:t>
      </w:r>
    </w:p>
    <w:p w14:paraId="023B479D" w14:textId="77777777" w:rsidR="008430BD" w:rsidRPr="001C3EC8" w:rsidRDefault="008430BD" w:rsidP="008430BD">
      <w:pPr>
        <w:pStyle w:val="Nadpis3"/>
        <w:numPr>
          <w:ilvl w:val="2"/>
          <w:numId w:val="1"/>
        </w:numPr>
        <w:rPr>
          <w:color w:val="000000" w:themeColor="text1"/>
          <w:lang w:eastAsia="cs-CZ"/>
        </w:rPr>
      </w:pPr>
      <w:bookmarkStart w:id="844" w:name="_Toc515871299"/>
      <w:bookmarkStart w:id="845" w:name="_Toc41546389"/>
      <w:bookmarkStart w:id="846" w:name="_Toc75952149"/>
      <w:bookmarkStart w:id="847" w:name="_Toc515871425"/>
      <w:bookmarkStart w:id="848" w:name="_Toc11135156"/>
      <w:r w:rsidRPr="001C3EC8">
        <w:rPr>
          <w:color w:val="000000" w:themeColor="text1"/>
          <w:lang w:eastAsia="cs-CZ"/>
        </w:rPr>
        <w:t>Vyřizování věcí</w:t>
      </w:r>
      <w:bookmarkEnd w:id="844"/>
      <w:bookmarkEnd w:id="845"/>
      <w:bookmarkEnd w:id="846"/>
    </w:p>
    <w:bookmarkEnd w:id="847"/>
    <w:bookmarkEnd w:id="848"/>
    <w:p w14:paraId="3736F913" w14:textId="54B94EF0" w:rsidR="008430BD" w:rsidRPr="001C3EC8" w:rsidRDefault="008430BD" w:rsidP="008430BD">
      <w:pPr>
        <w:pStyle w:val="OdstavecASR"/>
        <w:rPr>
          <w:color w:val="000000" w:themeColor="text1"/>
          <w:highlight w:val="yellow"/>
        </w:rPr>
      </w:pPr>
      <w:r w:rsidRPr="001C3EC8">
        <w:rPr>
          <w:color w:val="000000" w:themeColor="text1"/>
        </w:rPr>
        <w:t xml:space="preserve">Časové řady mají v tomto případě velmi zajímavý průběh, a to i mimo běžně sledované období 2008–2020. V roce 2001 činil nápad 3 102 věcí a počet nevyřízených věcí byl 1 663. Do roku 2008 víceméně postupně nápad narostl na 5 453 a počet nevyřízených věcí na 5 613. Následoval značný propad nápadu až na 3 914 věcí v roce 2012, což je hodnota na úrovni roku 2003. Pokles v nápadu se logicky příznivě projevil v počtu nevyřízených věcí. Od roku 2013 došlo k dalšímu růstu nápadu (podobnému tomu z let 2002–2008), který trval několik let. Lze to přisoudit tomu, že dne 1. 1. 2013 nabyla účinnosti novela (zákon č. 404/2012 Sb.), kterou byla rozšířena objektivní přípustnost dovolání v civilních věcech. Soudu se ale tentokrát podařilo úspěšně reagovat a výrazně zvýšil počet vyřízených věcí, čímž se mu podařilo zabránit výraznému růstu v počtu nevyřízených věcí. V roce 2017 se ale rostoucí trend v nápadu silně zpomalil, až téměř zastavil. V roce 2017 napadlo pouze </w:t>
      </w:r>
      <w:r w:rsidR="00021FDD" w:rsidRPr="001C3EC8">
        <w:rPr>
          <w:color w:val="000000" w:themeColor="text1"/>
        </w:rPr>
        <w:t>o</w:t>
      </w:r>
      <w:r w:rsidR="00021FDD">
        <w:rPr>
          <w:color w:val="000000" w:themeColor="text1"/>
        </w:rPr>
        <w:t> </w:t>
      </w:r>
      <w:r w:rsidRPr="001C3EC8">
        <w:rPr>
          <w:color w:val="000000" w:themeColor="text1"/>
        </w:rPr>
        <w:t>40 věcí více než v roce 2016. V roce 2018 pak došlo k markantnímu poklesu v počtu příchozích věcí (</w:t>
      </w:r>
      <w:r w:rsidR="00021FDD" w:rsidRPr="001C3EC8">
        <w:rPr>
          <w:color w:val="000000" w:themeColor="text1"/>
        </w:rPr>
        <w:t>o</w:t>
      </w:r>
      <w:r w:rsidR="00021FDD">
        <w:rPr>
          <w:color w:val="000000" w:themeColor="text1"/>
        </w:rPr>
        <w:t> </w:t>
      </w:r>
      <w:r w:rsidRPr="001C3EC8">
        <w:rPr>
          <w:color w:val="000000" w:themeColor="text1"/>
        </w:rPr>
        <w:t>22 %). V roce 2019 následoval další pokles v počtu napadlých věcí, i když už ne tak markantní (</w:t>
      </w:r>
      <w:r w:rsidR="00021FDD" w:rsidRPr="001C3EC8">
        <w:rPr>
          <w:color w:val="000000" w:themeColor="text1"/>
        </w:rPr>
        <w:t>o</w:t>
      </w:r>
      <w:r w:rsidR="00021FDD">
        <w:rPr>
          <w:color w:val="000000" w:themeColor="text1"/>
        </w:rPr>
        <w:t> </w:t>
      </w:r>
      <w:r w:rsidRPr="001C3EC8">
        <w:rPr>
          <w:color w:val="000000" w:themeColor="text1"/>
        </w:rPr>
        <w:t xml:space="preserve">9 %). V roce 2020 klesající trend pokračoval </w:t>
      </w:r>
      <w:r w:rsidR="00021FDD" w:rsidRPr="001C3EC8">
        <w:rPr>
          <w:color w:val="000000" w:themeColor="text1"/>
        </w:rPr>
        <w:t>a</w:t>
      </w:r>
      <w:r w:rsidR="00021FDD">
        <w:rPr>
          <w:color w:val="000000" w:themeColor="text1"/>
        </w:rPr>
        <w:t> </w:t>
      </w:r>
      <w:r w:rsidRPr="001C3EC8">
        <w:rPr>
          <w:color w:val="000000" w:themeColor="text1"/>
        </w:rPr>
        <w:t xml:space="preserve">došlo k dalšímu poklesu, tentokrát </w:t>
      </w:r>
      <w:r w:rsidR="00021FDD" w:rsidRPr="001C3EC8">
        <w:rPr>
          <w:color w:val="000000" w:themeColor="text1"/>
        </w:rPr>
        <w:t>o</w:t>
      </w:r>
      <w:r w:rsidR="00021FDD">
        <w:rPr>
          <w:color w:val="000000" w:themeColor="text1"/>
        </w:rPr>
        <w:t> </w:t>
      </w:r>
      <w:r w:rsidRPr="001C3EC8">
        <w:rPr>
          <w:color w:val="000000" w:themeColor="text1"/>
        </w:rPr>
        <w:t>10</w:t>
      </w:r>
      <w:r w:rsidR="00021FDD">
        <w:rPr>
          <w:color w:val="000000" w:themeColor="text1"/>
        </w:rPr>
        <w:t> </w:t>
      </w:r>
      <w:r w:rsidRPr="001C3EC8">
        <w:rPr>
          <w:color w:val="000000" w:themeColor="text1"/>
        </w:rPr>
        <w:t xml:space="preserve">%. Nápad je tak na úrovni nápadu z roku 2012. Za tímto enormním poklesem zřejmě stojí velká novela civilního procesního práva (zákon č. 296/2017 Sb.), která nabyla účinnosti dne 30. 9. 2017. Kromě jiných legislativních úprav si tato novela dala za cíl též </w:t>
      </w:r>
      <w:proofErr w:type="spellStart"/>
      <w:r w:rsidRPr="001C3EC8">
        <w:rPr>
          <w:color w:val="000000" w:themeColor="text1"/>
        </w:rPr>
        <w:t>odbřemenit</w:t>
      </w:r>
      <w:proofErr w:type="spellEnd"/>
      <w:r w:rsidRPr="001C3EC8">
        <w:rPr>
          <w:color w:val="000000" w:themeColor="text1"/>
        </w:rPr>
        <w:t xml:space="preserve"> dovolací soud.</w:t>
      </w:r>
    </w:p>
    <w:p w14:paraId="52FE19BB" w14:textId="6F16E9E5" w:rsidR="008430BD" w:rsidRPr="001C3EC8" w:rsidRDefault="008430BD" w:rsidP="008430BD">
      <w:pPr>
        <w:pStyle w:val="OdstavecASR"/>
        <w:rPr>
          <w:color w:val="000000" w:themeColor="text1"/>
        </w:rPr>
      </w:pPr>
      <w:r w:rsidRPr="001C3EC8">
        <w:rPr>
          <w:color w:val="000000" w:themeColor="text1"/>
        </w:rPr>
        <w:t xml:space="preserve">Soudu, který především v letech 2015 až 2017 čelil velké případové zátěži, se tak alespoň částečně ulevilo. Výše uvedené se projevilo </w:t>
      </w:r>
      <w:r w:rsidR="00021FDD" w:rsidRPr="001C3EC8">
        <w:rPr>
          <w:color w:val="000000" w:themeColor="text1"/>
        </w:rPr>
        <w:t>i</w:t>
      </w:r>
      <w:r w:rsidR="00021FDD">
        <w:rPr>
          <w:color w:val="000000" w:themeColor="text1"/>
        </w:rPr>
        <w:t> </w:t>
      </w:r>
      <w:r w:rsidRPr="001C3EC8">
        <w:rPr>
          <w:color w:val="000000" w:themeColor="text1"/>
        </w:rPr>
        <w:t xml:space="preserve">v poklesu v počtu vyřízených věcí (mezi příchozími a vyřízenými věcmi je logicky velmi silná závislost). Počet vyřízených věcí ale stále v posledních třech letech výrazně převýšil počet věcí příchozích. Došlo tedy k poklesu počtu nevyřízených věcí. Od roku 2017 klesl počet nevyřízených věcí z 2884 na 1663, tedy </w:t>
      </w:r>
      <w:r w:rsidR="00021FDD" w:rsidRPr="001C3EC8">
        <w:rPr>
          <w:color w:val="000000" w:themeColor="text1"/>
        </w:rPr>
        <w:t>o</w:t>
      </w:r>
      <w:r w:rsidR="00021FDD">
        <w:rPr>
          <w:color w:val="000000" w:themeColor="text1"/>
        </w:rPr>
        <w:t> </w:t>
      </w:r>
      <w:r w:rsidRPr="001C3EC8">
        <w:rPr>
          <w:color w:val="000000" w:themeColor="text1"/>
        </w:rPr>
        <w:t>42</w:t>
      </w:r>
      <w:r w:rsidR="00021FDD">
        <w:rPr>
          <w:color w:val="000000" w:themeColor="text1"/>
        </w:rPr>
        <w:t> </w:t>
      </w:r>
      <w:r w:rsidRPr="001C3EC8">
        <w:rPr>
          <w:color w:val="000000" w:themeColor="text1"/>
        </w:rPr>
        <w:t>%.</w:t>
      </w:r>
    </w:p>
    <w:p w14:paraId="792E04E1" w14:textId="789843FC" w:rsidR="008430BD" w:rsidRPr="001C3EC8" w:rsidRDefault="008430BD" w:rsidP="008430BD">
      <w:pPr>
        <w:pStyle w:val="Podnadpis"/>
        <w:rPr>
          <w:color w:val="000000" w:themeColor="text1"/>
        </w:rPr>
      </w:pPr>
      <w:bookmarkStart w:id="849" w:name="_Toc43841482"/>
      <w:bookmarkStart w:id="850" w:name="_Toc75952285"/>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105</w:t>
      </w:r>
      <w:r w:rsidRPr="001C3EC8">
        <w:rPr>
          <w:color w:val="000000" w:themeColor="text1"/>
        </w:rPr>
        <w:fldChar w:fldCharType="end"/>
      </w:r>
      <w:r w:rsidRPr="001C3EC8">
        <w:rPr>
          <w:color w:val="000000" w:themeColor="text1"/>
        </w:rPr>
        <w:t>: NS – vyřizování civilní dovolací agendy v letech 2008–20</w:t>
      </w:r>
      <w:bookmarkEnd w:id="849"/>
      <w:r w:rsidRPr="001C3EC8">
        <w:rPr>
          <w:color w:val="000000" w:themeColor="text1"/>
        </w:rPr>
        <w:t>20</w:t>
      </w:r>
      <w:bookmarkEnd w:id="850"/>
    </w:p>
    <w:p w14:paraId="757E25CB"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317FF9B8" wp14:editId="159BDE2A">
            <wp:extent cx="5114925" cy="3743325"/>
            <wp:effectExtent l="0" t="0" r="0" b="9525"/>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37CD8E8" w14:textId="77777777" w:rsidR="008430BD" w:rsidRPr="001C3EC8" w:rsidRDefault="008430BD" w:rsidP="008430BD">
      <w:pPr>
        <w:pStyle w:val="Nadpis2"/>
        <w:pageBreakBefore/>
        <w:numPr>
          <w:ilvl w:val="1"/>
          <w:numId w:val="1"/>
        </w:numPr>
        <w:spacing w:before="120"/>
      </w:pPr>
      <w:bookmarkStart w:id="851" w:name="_Toc515871300"/>
      <w:bookmarkStart w:id="852" w:name="_Toc75952150"/>
      <w:r w:rsidRPr="001C3EC8">
        <w:lastRenderedPageBreak/>
        <w:t>Trestní dovolací agenda</w:t>
      </w:r>
      <w:bookmarkEnd w:id="851"/>
      <w:bookmarkEnd w:id="852"/>
    </w:p>
    <w:p w14:paraId="6799EF01" w14:textId="77777777" w:rsidR="008430BD" w:rsidRPr="001C3EC8" w:rsidRDefault="008430BD" w:rsidP="008430BD">
      <w:pPr>
        <w:rPr>
          <w:color w:val="000000" w:themeColor="text1"/>
        </w:rPr>
      </w:pPr>
      <w:r w:rsidRPr="001C3EC8">
        <w:rPr>
          <w:color w:val="000000" w:themeColor="text1"/>
        </w:rPr>
        <w:t xml:space="preserve">Jak již bylo řečeno, jedná se o rejstřík </w:t>
      </w:r>
      <w:proofErr w:type="spellStart"/>
      <w:r w:rsidRPr="001C3EC8">
        <w:rPr>
          <w:color w:val="000000" w:themeColor="text1"/>
        </w:rPr>
        <w:t>Tdo</w:t>
      </w:r>
      <w:proofErr w:type="spellEnd"/>
      <w:r w:rsidRPr="001C3EC8">
        <w:rPr>
          <w:color w:val="000000" w:themeColor="text1"/>
        </w:rPr>
        <w:t>.</w:t>
      </w:r>
    </w:p>
    <w:p w14:paraId="1772F872" w14:textId="77777777" w:rsidR="008430BD" w:rsidRPr="001C3EC8" w:rsidRDefault="008430BD" w:rsidP="008430BD">
      <w:pPr>
        <w:pStyle w:val="Nadpis3"/>
        <w:numPr>
          <w:ilvl w:val="2"/>
          <w:numId w:val="1"/>
        </w:numPr>
        <w:rPr>
          <w:color w:val="000000" w:themeColor="text1"/>
          <w:lang w:eastAsia="cs-CZ"/>
        </w:rPr>
      </w:pPr>
      <w:bookmarkStart w:id="853" w:name="_Toc515871301"/>
      <w:bookmarkStart w:id="854" w:name="_Toc75952151"/>
      <w:r w:rsidRPr="001C3EC8">
        <w:rPr>
          <w:color w:val="000000" w:themeColor="text1"/>
          <w:lang w:eastAsia="cs-CZ"/>
        </w:rPr>
        <w:t>Vyřizování věcí</w:t>
      </w:r>
      <w:bookmarkEnd w:id="853"/>
      <w:bookmarkEnd w:id="854"/>
    </w:p>
    <w:p w14:paraId="30B1E34A" w14:textId="134B932E" w:rsidR="008430BD" w:rsidRPr="001C3EC8" w:rsidRDefault="008430BD" w:rsidP="008430BD">
      <w:pPr>
        <w:pStyle w:val="Podnadpis"/>
        <w:rPr>
          <w:color w:val="000000" w:themeColor="text1"/>
        </w:rPr>
      </w:pPr>
      <w:bookmarkStart w:id="855" w:name="_Toc515871426"/>
      <w:bookmarkStart w:id="856" w:name="_Toc11135157"/>
      <w:bookmarkStart w:id="857" w:name="_Toc43841483"/>
      <w:bookmarkStart w:id="858" w:name="_Toc75952286"/>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106</w:t>
      </w:r>
      <w:r w:rsidRPr="001C3EC8">
        <w:rPr>
          <w:noProof/>
          <w:color w:val="000000" w:themeColor="text1"/>
        </w:rPr>
        <w:fldChar w:fldCharType="end"/>
      </w:r>
      <w:r w:rsidRPr="001C3EC8">
        <w:rPr>
          <w:color w:val="000000" w:themeColor="text1"/>
        </w:rPr>
        <w:t>: NS – vyřizování trestní dovolací agendy v letech 2008–20</w:t>
      </w:r>
      <w:bookmarkEnd w:id="855"/>
      <w:bookmarkEnd w:id="856"/>
      <w:bookmarkEnd w:id="857"/>
      <w:r w:rsidRPr="001C3EC8">
        <w:rPr>
          <w:color w:val="000000" w:themeColor="text1"/>
        </w:rPr>
        <w:t>20</w:t>
      </w:r>
      <w:bookmarkEnd w:id="858"/>
    </w:p>
    <w:p w14:paraId="3369585D" w14:textId="77777777" w:rsidR="008430BD" w:rsidRPr="001C3EC8" w:rsidRDefault="008430BD" w:rsidP="008430BD">
      <w:pPr>
        <w:pStyle w:val="Podnadpis"/>
        <w:rPr>
          <w:color w:val="000000" w:themeColor="text1"/>
          <w:lang w:eastAsia="cs-CZ"/>
        </w:rPr>
      </w:pPr>
      <w:r w:rsidRPr="001C3EC8">
        <w:rPr>
          <w:noProof/>
          <w:color w:val="000000" w:themeColor="text1"/>
          <w:lang w:eastAsia="cs-CZ"/>
        </w:rPr>
        <w:drawing>
          <wp:inline distT="0" distB="0" distL="0" distR="0" wp14:anchorId="17A6AE54" wp14:editId="707A816A">
            <wp:extent cx="5114925" cy="3743325"/>
            <wp:effectExtent l="0" t="0" r="0" b="9525"/>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B6FB063" w14:textId="3FDFB77B" w:rsidR="008430BD" w:rsidRPr="001C3EC8" w:rsidRDefault="008430BD" w:rsidP="008430BD">
      <w:pPr>
        <w:pStyle w:val="OdstavecASR"/>
        <w:rPr>
          <w:color w:val="000000" w:themeColor="text1"/>
        </w:rPr>
      </w:pPr>
      <w:r w:rsidRPr="001C3EC8">
        <w:rPr>
          <w:color w:val="000000" w:themeColor="text1"/>
        </w:rPr>
        <w:t xml:space="preserve">Trestní kolegium čelí mnohem menším změnám v nápadu než kolegium občanskoprávní a obchodní. V agendě </w:t>
      </w:r>
      <w:proofErr w:type="spellStart"/>
      <w:r w:rsidRPr="001C3EC8">
        <w:rPr>
          <w:color w:val="000000" w:themeColor="text1"/>
        </w:rPr>
        <w:t>Tdo</w:t>
      </w:r>
      <w:proofErr w:type="spellEnd"/>
      <w:r w:rsidRPr="001C3EC8">
        <w:rPr>
          <w:color w:val="000000" w:themeColor="text1"/>
        </w:rPr>
        <w:t xml:space="preserve"> byl nicméně v letech 2013 až 2016 patrný mírný rostoucí trend v počtu napadlých věcí, což se zřejmě projevilo i v mírném růstu v počtu nevyřízených věcí. V roce 2017 nápad poklesl a počet nevyřízených věcí se díky tomu vrátil přibližně na úroveň roku 2013, na které zůstal </w:t>
      </w:r>
      <w:r w:rsidR="00021FDD" w:rsidRPr="001C3EC8">
        <w:rPr>
          <w:color w:val="000000" w:themeColor="text1"/>
        </w:rPr>
        <w:t>i</w:t>
      </w:r>
      <w:r w:rsidR="00021FDD">
        <w:rPr>
          <w:color w:val="000000" w:themeColor="text1"/>
        </w:rPr>
        <w:t> </w:t>
      </w:r>
      <w:r w:rsidRPr="001C3EC8">
        <w:rPr>
          <w:color w:val="000000" w:themeColor="text1"/>
        </w:rPr>
        <w:t xml:space="preserve">v letech 2018 </w:t>
      </w:r>
      <w:r w:rsidR="00021FDD" w:rsidRPr="001C3EC8">
        <w:rPr>
          <w:color w:val="000000" w:themeColor="text1"/>
        </w:rPr>
        <w:t>a</w:t>
      </w:r>
      <w:r w:rsidR="00021FDD">
        <w:rPr>
          <w:color w:val="000000" w:themeColor="text1"/>
        </w:rPr>
        <w:t> </w:t>
      </w:r>
      <w:r w:rsidRPr="001C3EC8">
        <w:rPr>
          <w:color w:val="000000" w:themeColor="text1"/>
        </w:rPr>
        <w:t xml:space="preserve">2019. Počet vyřízených věcí byl dokonce v letech 2018 </w:t>
      </w:r>
      <w:r w:rsidR="00021FDD" w:rsidRPr="001C3EC8">
        <w:rPr>
          <w:color w:val="000000" w:themeColor="text1"/>
        </w:rPr>
        <w:t>a</w:t>
      </w:r>
      <w:r w:rsidR="00021FDD">
        <w:rPr>
          <w:color w:val="000000" w:themeColor="text1"/>
        </w:rPr>
        <w:t> </w:t>
      </w:r>
      <w:r w:rsidRPr="001C3EC8">
        <w:rPr>
          <w:color w:val="000000" w:themeColor="text1"/>
        </w:rPr>
        <w:t xml:space="preserve">2019 zcela totožný. V roce 2020 došlo </w:t>
      </w:r>
      <w:r w:rsidR="00021FDD" w:rsidRPr="001C3EC8">
        <w:rPr>
          <w:color w:val="000000" w:themeColor="text1"/>
        </w:rPr>
        <w:t>k</w:t>
      </w:r>
      <w:r w:rsidR="00021FDD">
        <w:rPr>
          <w:color w:val="000000" w:themeColor="text1"/>
        </w:rPr>
        <w:t> </w:t>
      </w:r>
      <w:r w:rsidRPr="001C3EC8">
        <w:rPr>
          <w:color w:val="000000" w:themeColor="text1"/>
        </w:rPr>
        <w:t xml:space="preserve">poklesu v počtu příchozích věcí, který je na poměry této agendy značně </w:t>
      </w:r>
      <w:r w:rsidR="00ED2B50" w:rsidRPr="001C3EC8">
        <w:rPr>
          <w:color w:val="000000" w:themeColor="text1"/>
        </w:rPr>
        <w:t>výrazný</w:t>
      </w:r>
      <w:r w:rsidR="00FE43FA" w:rsidRPr="001C3EC8">
        <w:rPr>
          <w:color w:val="000000" w:themeColor="text1"/>
        </w:rPr>
        <w:t>.</w:t>
      </w:r>
      <w:r w:rsidRPr="001C3EC8">
        <w:rPr>
          <w:color w:val="000000" w:themeColor="text1"/>
        </w:rPr>
        <w:t xml:space="preserve"> To lze připsat především poklesu druhostupňové trestní agendy </w:t>
      </w:r>
      <w:r w:rsidR="00021FDD" w:rsidRPr="001C3EC8">
        <w:rPr>
          <w:color w:val="000000" w:themeColor="text1"/>
        </w:rPr>
        <w:t>u</w:t>
      </w:r>
      <w:r w:rsidR="00021FDD">
        <w:rPr>
          <w:color w:val="000000" w:themeColor="text1"/>
        </w:rPr>
        <w:t> </w:t>
      </w:r>
      <w:r w:rsidRPr="001C3EC8">
        <w:rPr>
          <w:color w:val="000000" w:themeColor="text1"/>
        </w:rPr>
        <w:t xml:space="preserve">krajských soudů, která zase plyne z poklesu z prvostupňové agendy </w:t>
      </w:r>
      <w:r w:rsidR="00021FDD" w:rsidRPr="001C3EC8">
        <w:rPr>
          <w:color w:val="000000" w:themeColor="text1"/>
        </w:rPr>
        <w:t>u</w:t>
      </w:r>
      <w:r w:rsidR="00021FDD">
        <w:rPr>
          <w:color w:val="000000" w:themeColor="text1"/>
        </w:rPr>
        <w:t> </w:t>
      </w:r>
      <w:r w:rsidRPr="001C3EC8">
        <w:rPr>
          <w:color w:val="000000" w:themeColor="text1"/>
        </w:rPr>
        <w:t>soudu okresních. Počet nevyřízených věcí je v poměru k nápadu a k vyřízeným věcem stále velmi nízký; přesto je třeba ho nadále sledovat.</w:t>
      </w:r>
    </w:p>
    <w:p w14:paraId="36CEC68B" w14:textId="77777777" w:rsidR="008430BD" w:rsidRPr="001C3EC8" w:rsidRDefault="008430BD" w:rsidP="008430BD">
      <w:pPr>
        <w:pStyle w:val="Podnadpis"/>
        <w:rPr>
          <w:bCs/>
          <w:color w:val="000000" w:themeColor="text1"/>
          <w:lang w:eastAsia="cs-CZ"/>
        </w:rPr>
      </w:pPr>
      <w:r w:rsidRPr="001C3EC8">
        <w:rPr>
          <w:color w:val="000000" w:themeColor="text1"/>
          <w:lang w:eastAsia="cs-CZ"/>
        </w:rPr>
        <w:br w:type="page"/>
      </w:r>
    </w:p>
    <w:p w14:paraId="35A390A6" w14:textId="77777777" w:rsidR="008430BD" w:rsidRPr="001C3EC8" w:rsidRDefault="008430BD" w:rsidP="008430BD">
      <w:pPr>
        <w:pStyle w:val="Nadpis2"/>
        <w:numPr>
          <w:ilvl w:val="1"/>
          <w:numId w:val="1"/>
        </w:numPr>
        <w:spacing w:before="120"/>
      </w:pPr>
      <w:bookmarkStart w:id="859" w:name="_Toc487791304"/>
      <w:bookmarkStart w:id="860" w:name="_Toc515871302"/>
      <w:bookmarkStart w:id="861" w:name="_Toc75952152"/>
      <w:r w:rsidRPr="001C3EC8">
        <w:lastRenderedPageBreak/>
        <w:t>Stížnosti pro porušení zákona</w:t>
      </w:r>
      <w:bookmarkEnd w:id="859"/>
      <w:bookmarkEnd w:id="860"/>
      <w:bookmarkEnd w:id="861"/>
    </w:p>
    <w:p w14:paraId="5EF0F516" w14:textId="77777777" w:rsidR="008430BD" w:rsidRPr="001C3EC8" w:rsidRDefault="008430BD" w:rsidP="008430BD">
      <w:pPr>
        <w:pStyle w:val="OdstavecASR"/>
        <w:rPr>
          <w:color w:val="000000" w:themeColor="text1"/>
        </w:rPr>
      </w:pPr>
      <w:r w:rsidRPr="001C3EC8">
        <w:rPr>
          <w:color w:val="000000" w:themeColor="text1"/>
        </w:rPr>
        <w:t xml:space="preserve">Popis této agendy lze najít v seznamu použitých pojmů (příloha). Jedná se o rejstřík označený jako </w:t>
      </w:r>
      <w:proofErr w:type="spellStart"/>
      <w:r w:rsidRPr="001C3EC8">
        <w:rPr>
          <w:color w:val="000000" w:themeColor="text1"/>
        </w:rPr>
        <w:t>Tz</w:t>
      </w:r>
      <w:proofErr w:type="spellEnd"/>
      <w:r w:rsidRPr="001C3EC8">
        <w:rPr>
          <w:color w:val="000000" w:themeColor="text1"/>
        </w:rPr>
        <w:t>. Agendu vyřizuje trestní kolegium Nejvyššího soudu.</w:t>
      </w:r>
    </w:p>
    <w:p w14:paraId="5CF74374" w14:textId="77777777" w:rsidR="008430BD" w:rsidRPr="001C3EC8" w:rsidRDefault="008430BD" w:rsidP="008430BD">
      <w:pPr>
        <w:pStyle w:val="Nadpis3"/>
        <w:numPr>
          <w:ilvl w:val="2"/>
          <w:numId w:val="1"/>
        </w:numPr>
        <w:rPr>
          <w:color w:val="000000" w:themeColor="text1"/>
          <w:lang w:eastAsia="cs-CZ"/>
        </w:rPr>
      </w:pPr>
      <w:bookmarkStart w:id="862" w:name="_Toc515871303"/>
      <w:bookmarkStart w:id="863" w:name="_Toc75952153"/>
      <w:r w:rsidRPr="001C3EC8">
        <w:rPr>
          <w:color w:val="000000" w:themeColor="text1"/>
          <w:lang w:eastAsia="cs-CZ"/>
        </w:rPr>
        <w:t>Vyřizování věcí</w:t>
      </w:r>
      <w:bookmarkEnd w:id="862"/>
      <w:bookmarkEnd w:id="863"/>
    </w:p>
    <w:p w14:paraId="14E399A7" w14:textId="1E59B39E" w:rsidR="008430BD" w:rsidRPr="001C3EC8" w:rsidRDefault="008430BD" w:rsidP="008430BD">
      <w:pPr>
        <w:pStyle w:val="Podnadpis"/>
        <w:rPr>
          <w:color w:val="000000" w:themeColor="text1"/>
        </w:rPr>
      </w:pPr>
      <w:bookmarkStart w:id="864" w:name="_Toc515871427"/>
      <w:bookmarkStart w:id="865" w:name="_Toc11135158"/>
      <w:bookmarkStart w:id="866" w:name="_Toc43841484"/>
      <w:bookmarkStart w:id="867" w:name="_Toc75952287"/>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107</w:t>
      </w:r>
      <w:r w:rsidRPr="001C3EC8">
        <w:rPr>
          <w:color w:val="000000" w:themeColor="text1"/>
        </w:rPr>
        <w:fldChar w:fldCharType="end"/>
      </w:r>
      <w:r w:rsidRPr="001C3EC8">
        <w:rPr>
          <w:color w:val="000000" w:themeColor="text1"/>
        </w:rPr>
        <w:t>: NS – vyřizování stížností pro porušení zákona v letech 2010–20</w:t>
      </w:r>
      <w:bookmarkEnd w:id="864"/>
      <w:bookmarkEnd w:id="865"/>
      <w:bookmarkEnd w:id="866"/>
      <w:r w:rsidRPr="001C3EC8">
        <w:rPr>
          <w:color w:val="000000" w:themeColor="text1"/>
        </w:rPr>
        <w:t>20</w:t>
      </w:r>
      <w:bookmarkEnd w:id="867"/>
    </w:p>
    <w:p w14:paraId="7A8A4D58"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26C3A27D" wp14:editId="3A3D6D4D">
            <wp:extent cx="5114925" cy="3743325"/>
            <wp:effectExtent l="0" t="0" r="0" b="9525"/>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26C61338" w14:textId="77777777" w:rsidR="008430BD" w:rsidRPr="001C3EC8" w:rsidRDefault="008430BD" w:rsidP="008430BD">
      <w:pPr>
        <w:pStyle w:val="OdstavecASR"/>
        <w:rPr>
          <w:color w:val="000000" w:themeColor="text1"/>
        </w:rPr>
      </w:pPr>
      <w:r w:rsidRPr="001C3EC8">
        <w:rPr>
          <w:color w:val="000000" w:themeColor="text1"/>
        </w:rPr>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Jak je z grafu patrné, jedná se o agendu, kterou soud vyřizuje bez jakýchkoliv problémů.</w:t>
      </w:r>
    </w:p>
    <w:p w14:paraId="17DC14B4"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7112EA32" w14:textId="77777777" w:rsidR="008430BD" w:rsidRPr="001C3EC8" w:rsidRDefault="008430BD" w:rsidP="008430BD">
      <w:pPr>
        <w:pStyle w:val="Nadpis2"/>
        <w:numPr>
          <w:ilvl w:val="1"/>
          <w:numId w:val="1"/>
        </w:numPr>
        <w:spacing w:before="120"/>
      </w:pPr>
      <w:bookmarkStart w:id="868" w:name="_Toc515871304"/>
      <w:bookmarkStart w:id="869" w:name="_Toc75952154"/>
      <w:r w:rsidRPr="001C3EC8">
        <w:lastRenderedPageBreak/>
        <w:t>Insolvenční agenda</w:t>
      </w:r>
      <w:bookmarkEnd w:id="868"/>
      <w:bookmarkEnd w:id="869"/>
    </w:p>
    <w:p w14:paraId="7DAF71D4" w14:textId="77777777" w:rsidR="008430BD" w:rsidRPr="001C3EC8" w:rsidRDefault="008430BD" w:rsidP="008430BD">
      <w:pPr>
        <w:pStyle w:val="OdstavecASR"/>
        <w:rPr>
          <w:color w:val="000000" w:themeColor="text1"/>
        </w:rPr>
      </w:pPr>
      <w:r w:rsidRPr="001C3EC8">
        <w:rPr>
          <w:color w:val="000000" w:themeColor="text1"/>
        </w:rPr>
        <w:t>Jedná se o rejstřík NSČR – věci předložené soudu k rozhodnutí v insolvenčním řízení (dovolání, příslušnost soudů a vyloučení soudců v insolvenčním řízení). Rejstřík spadá pod civilní úsek Nejvyššího soudu, tedy občanskoprávní a obchodní kolegium.</w:t>
      </w:r>
    </w:p>
    <w:p w14:paraId="4EAEC0FC" w14:textId="77777777" w:rsidR="008430BD" w:rsidRPr="001C3EC8" w:rsidRDefault="008430BD" w:rsidP="008430BD">
      <w:pPr>
        <w:pStyle w:val="Nadpis3"/>
        <w:numPr>
          <w:ilvl w:val="2"/>
          <w:numId w:val="1"/>
        </w:numPr>
        <w:rPr>
          <w:color w:val="000000" w:themeColor="text1"/>
        </w:rPr>
      </w:pPr>
      <w:bookmarkStart w:id="870" w:name="_Toc515871305"/>
      <w:bookmarkStart w:id="871" w:name="_Toc75952155"/>
      <w:r w:rsidRPr="001C3EC8">
        <w:rPr>
          <w:color w:val="000000" w:themeColor="text1"/>
        </w:rPr>
        <w:t>Vyřizování věcí</w:t>
      </w:r>
      <w:bookmarkEnd w:id="870"/>
      <w:bookmarkEnd w:id="871"/>
    </w:p>
    <w:p w14:paraId="212E5DD6" w14:textId="7195CBB6" w:rsidR="008430BD" w:rsidRPr="001C3EC8" w:rsidRDefault="008430BD" w:rsidP="008430BD">
      <w:pPr>
        <w:pStyle w:val="Podnadpis"/>
        <w:rPr>
          <w:color w:val="000000" w:themeColor="text1"/>
        </w:rPr>
      </w:pPr>
      <w:bookmarkStart w:id="872" w:name="_Toc515871428"/>
      <w:bookmarkStart w:id="873" w:name="_Toc11135159"/>
      <w:bookmarkStart w:id="874" w:name="_Toc43841485"/>
      <w:bookmarkStart w:id="875" w:name="_Toc7595228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108</w:t>
      </w:r>
      <w:r w:rsidRPr="001C3EC8">
        <w:rPr>
          <w:color w:val="000000" w:themeColor="text1"/>
        </w:rPr>
        <w:fldChar w:fldCharType="end"/>
      </w:r>
      <w:r w:rsidRPr="001C3EC8">
        <w:rPr>
          <w:color w:val="000000" w:themeColor="text1"/>
        </w:rPr>
        <w:t>: NS – vyřizování insolvenční dovolací agendy v letech 2010–20</w:t>
      </w:r>
      <w:bookmarkEnd w:id="872"/>
      <w:bookmarkEnd w:id="873"/>
      <w:bookmarkEnd w:id="874"/>
      <w:r w:rsidRPr="001C3EC8">
        <w:rPr>
          <w:color w:val="000000" w:themeColor="text1"/>
        </w:rPr>
        <w:t>20</w:t>
      </w:r>
      <w:bookmarkEnd w:id="875"/>
    </w:p>
    <w:p w14:paraId="0AD2AFDD" w14:textId="77777777" w:rsidR="008430BD" w:rsidRPr="001C3EC8" w:rsidRDefault="008430BD" w:rsidP="008430BD">
      <w:pPr>
        <w:spacing w:line="240" w:lineRule="auto"/>
        <w:jc w:val="left"/>
        <w:rPr>
          <w:color w:val="000000" w:themeColor="text1"/>
          <w:highlight w:val="yellow"/>
        </w:rPr>
      </w:pPr>
      <w:r w:rsidRPr="001C3EC8">
        <w:rPr>
          <w:noProof/>
          <w:color w:val="000000" w:themeColor="text1"/>
          <w:lang w:eastAsia="cs-CZ"/>
        </w:rPr>
        <w:drawing>
          <wp:inline distT="0" distB="0" distL="0" distR="0" wp14:anchorId="6196FF48" wp14:editId="78CC64F7">
            <wp:extent cx="5114925" cy="3743325"/>
            <wp:effectExtent l="0" t="0" r="0" b="9525"/>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4FB171F3" w14:textId="3E366BF1" w:rsidR="008430BD" w:rsidRPr="001C3EC8" w:rsidRDefault="008430BD" w:rsidP="008430BD">
      <w:pPr>
        <w:pStyle w:val="OdstavecASR"/>
        <w:rPr>
          <w:color w:val="000000" w:themeColor="text1"/>
        </w:rPr>
      </w:pPr>
      <w:r w:rsidRPr="001C3EC8">
        <w:rPr>
          <w:color w:val="000000" w:themeColor="text1"/>
        </w:rPr>
        <w:t xml:space="preserve">Agenda je velmi malá, ale až do roku 2016 postupně rostla. V roce 2017 poprvé došlo k poklesu v počtu napadlých věcí, který pokračoval </w:t>
      </w:r>
      <w:r w:rsidR="00021FDD" w:rsidRPr="001C3EC8">
        <w:rPr>
          <w:color w:val="000000" w:themeColor="text1"/>
        </w:rPr>
        <w:t>i</w:t>
      </w:r>
      <w:r w:rsidR="00021FDD">
        <w:rPr>
          <w:color w:val="000000" w:themeColor="text1"/>
        </w:rPr>
        <w:t> </w:t>
      </w:r>
      <w:r w:rsidRPr="001C3EC8">
        <w:rPr>
          <w:color w:val="000000" w:themeColor="text1"/>
        </w:rPr>
        <w:t>v roce 2018. Růst a následný pokles nápadu v letech 2017 až 2020 plyne především z obdobného vývoje ve vyřizování druhoinstanční insolvenční agendy u vrchních soudů (</w:t>
      </w:r>
      <w:r w:rsidRPr="001C3EC8">
        <w:rPr>
          <w:color w:val="000000" w:themeColor="text1"/>
        </w:rPr>
        <w:fldChar w:fldCharType="begin"/>
      </w:r>
      <w:r w:rsidRPr="001C3EC8">
        <w:rPr>
          <w:color w:val="000000" w:themeColor="text1"/>
        </w:rPr>
        <w:instrText xml:space="preserve"> REF  _Ref43837240 \h \* Lower </w:instrText>
      </w:r>
      <w:r w:rsidRPr="001C3EC8">
        <w:rPr>
          <w:color w:val="000000" w:themeColor="text1"/>
        </w:rPr>
      </w:r>
      <w:r w:rsidRPr="001C3EC8">
        <w:rPr>
          <w:color w:val="000000" w:themeColor="text1"/>
        </w:rPr>
        <w:fldChar w:fldCharType="separate"/>
      </w:r>
      <w:r w:rsidR="009C575D" w:rsidRPr="001C3EC8">
        <w:rPr>
          <w:color w:val="000000" w:themeColor="text1"/>
        </w:rPr>
        <w:t xml:space="preserve">graf </w:t>
      </w:r>
      <w:r w:rsidR="009C575D">
        <w:rPr>
          <w:noProof/>
          <w:color w:val="000000" w:themeColor="text1"/>
        </w:rPr>
        <w:t>95</w:t>
      </w:r>
      <w:r w:rsidRPr="001C3EC8">
        <w:rPr>
          <w:color w:val="000000" w:themeColor="text1"/>
        </w:rPr>
        <w:fldChar w:fldCharType="end"/>
      </w:r>
      <w:r w:rsidRPr="001C3EC8">
        <w:rPr>
          <w:color w:val="000000" w:themeColor="text1"/>
        </w:rPr>
        <w:t>).</w:t>
      </w:r>
    </w:p>
    <w:p w14:paraId="656D47C0"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2C666DBD" w14:textId="77777777" w:rsidR="008430BD" w:rsidRPr="001C3EC8" w:rsidRDefault="008430BD" w:rsidP="008430BD">
      <w:pPr>
        <w:pStyle w:val="Nadpis1"/>
        <w:pageBreakBefore/>
        <w:numPr>
          <w:ilvl w:val="0"/>
          <w:numId w:val="1"/>
        </w:numPr>
        <w:spacing w:after="120"/>
        <w:rPr>
          <w:color w:val="000000" w:themeColor="text1"/>
          <w:lang w:eastAsia="cs-CZ"/>
        </w:rPr>
      </w:pPr>
      <w:bookmarkStart w:id="876" w:name="_Toc515871306"/>
      <w:bookmarkStart w:id="877" w:name="_Toc75952156"/>
      <w:r w:rsidRPr="001C3EC8">
        <w:rPr>
          <w:color w:val="000000" w:themeColor="text1"/>
          <w:lang w:eastAsia="cs-CZ"/>
        </w:rPr>
        <w:lastRenderedPageBreak/>
        <w:t>Nejvyšší správní soud</w:t>
      </w:r>
      <w:bookmarkEnd w:id="876"/>
      <w:bookmarkEnd w:id="877"/>
    </w:p>
    <w:p w14:paraId="708CAF18" w14:textId="070289DF" w:rsidR="008430BD" w:rsidRPr="001C3EC8" w:rsidRDefault="008430BD" w:rsidP="008430BD">
      <w:pPr>
        <w:pStyle w:val="OdstavecASR"/>
        <w:rPr>
          <w:color w:val="000000" w:themeColor="text1"/>
        </w:rPr>
      </w:pPr>
      <w:r w:rsidRPr="001C3EC8">
        <w:rPr>
          <w:color w:val="000000" w:themeColor="text1"/>
        </w:rPr>
        <w:t xml:space="preserve">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 Tato zpráva se soustředí výhradně na soudy a soudce, proto jsou v této zprávě </w:t>
      </w:r>
      <w:r w:rsidR="00A7463D" w:rsidRPr="001C3EC8">
        <w:rPr>
          <w:color w:val="000000" w:themeColor="text1"/>
        </w:rPr>
        <w:t xml:space="preserve">zachycena </w:t>
      </w:r>
      <w:r w:rsidRPr="001C3EC8">
        <w:rPr>
          <w:color w:val="000000" w:themeColor="text1"/>
        </w:rPr>
        <w:t xml:space="preserve">data </w:t>
      </w:r>
      <w:r w:rsidR="00021FDD" w:rsidRPr="001C3EC8">
        <w:rPr>
          <w:color w:val="000000" w:themeColor="text1"/>
        </w:rPr>
        <w:t>o</w:t>
      </w:r>
      <w:r w:rsidR="00021FDD">
        <w:rPr>
          <w:color w:val="000000" w:themeColor="text1"/>
        </w:rPr>
        <w:t> </w:t>
      </w:r>
      <w:r w:rsidR="00A7463D" w:rsidRPr="001C3EC8">
        <w:rPr>
          <w:color w:val="000000" w:themeColor="text1"/>
        </w:rPr>
        <w:t xml:space="preserve">kárném </w:t>
      </w:r>
      <w:r w:rsidRPr="001C3EC8">
        <w:rPr>
          <w:color w:val="000000" w:themeColor="text1"/>
        </w:rPr>
        <w:t xml:space="preserve">řízení </w:t>
      </w:r>
      <w:r w:rsidR="00A7463D" w:rsidRPr="001C3EC8">
        <w:rPr>
          <w:color w:val="000000" w:themeColor="text1"/>
        </w:rPr>
        <w:t xml:space="preserve">pouze </w:t>
      </w:r>
      <w:r w:rsidRPr="001C3EC8">
        <w:rPr>
          <w:color w:val="000000" w:themeColor="text1"/>
        </w:rPr>
        <w:t>ve věcech soudců.</w:t>
      </w:r>
    </w:p>
    <w:p w14:paraId="602617D7" w14:textId="77777777" w:rsidR="008430BD" w:rsidRPr="001C3EC8" w:rsidRDefault="008430BD" w:rsidP="008430BD">
      <w:pPr>
        <w:pStyle w:val="OdstavecASR"/>
        <w:rPr>
          <w:color w:val="000000" w:themeColor="text1"/>
        </w:rPr>
      </w:pPr>
      <w:r w:rsidRPr="001C3EC8">
        <w:rPr>
          <w:color w:val="000000" w:themeColor="text1"/>
        </w:rPr>
        <w:t xml:space="preserve">Zdaleka nejrozsáhlejší agendou NSS je ale rozhodování o kasačních stížnostech. Do agendy kasačních stížností spadá velké množství rejstříků: </w:t>
      </w:r>
      <w:proofErr w:type="spellStart"/>
      <w:r w:rsidRPr="001C3EC8">
        <w:rPr>
          <w:color w:val="000000" w:themeColor="text1"/>
        </w:rPr>
        <w:t>Azs</w:t>
      </w:r>
      <w:proofErr w:type="spellEnd"/>
      <w:r w:rsidRPr="001C3EC8">
        <w:rPr>
          <w:color w:val="000000" w:themeColor="text1"/>
        </w:rPr>
        <w:t xml:space="preserve">, </w:t>
      </w:r>
      <w:proofErr w:type="spellStart"/>
      <w:r w:rsidRPr="001C3EC8">
        <w:rPr>
          <w:color w:val="000000" w:themeColor="text1"/>
        </w:rPr>
        <w:t>Ads</w:t>
      </w:r>
      <w:proofErr w:type="spellEnd"/>
      <w:r w:rsidRPr="001C3EC8">
        <w:rPr>
          <w:color w:val="000000" w:themeColor="text1"/>
        </w:rPr>
        <w:t xml:space="preserve">, </w:t>
      </w:r>
      <w:proofErr w:type="spellStart"/>
      <w:r w:rsidRPr="001C3EC8">
        <w:rPr>
          <w:color w:val="000000" w:themeColor="text1"/>
        </w:rPr>
        <w:t>Afs</w:t>
      </w:r>
      <w:proofErr w:type="spellEnd"/>
      <w:r w:rsidRPr="001C3EC8">
        <w:rPr>
          <w:color w:val="000000" w:themeColor="text1"/>
        </w:rPr>
        <w:t xml:space="preserve">, As, </w:t>
      </w:r>
      <w:proofErr w:type="spellStart"/>
      <w:r w:rsidRPr="001C3EC8">
        <w:rPr>
          <w:color w:val="000000" w:themeColor="text1"/>
        </w:rPr>
        <w:t>Ans</w:t>
      </w:r>
      <w:proofErr w:type="spellEnd"/>
      <w:r w:rsidRPr="001C3EC8">
        <w:rPr>
          <w:color w:val="000000" w:themeColor="text1"/>
        </w:rPr>
        <w:t xml:space="preserve">, </w:t>
      </w:r>
      <w:proofErr w:type="spellStart"/>
      <w:r w:rsidRPr="001C3EC8">
        <w:rPr>
          <w:color w:val="000000" w:themeColor="text1"/>
        </w:rPr>
        <w:t>Aps</w:t>
      </w:r>
      <w:proofErr w:type="spellEnd"/>
      <w:r w:rsidRPr="001C3EC8">
        <w:rPr>
          <w:color w:val="000000" w:themeColor="text1"/>
        </w:rPr>
        <w:t xml:space="preserve">, A, </w:t>
      </w:r>
      <w:proofErr w:type="spellStart"/>
      <w:r w:rsidRPr="001C3EC8">
        <w:rPr>
          <w:color w:val="000000" w:themeColor="text1"/>
        </w:rPr>
        <w:t>Aos</w:t>
      </w:r>
      <w:proofErr w:type="spellEnd"/>
      <w:r w:rsidRPr="001C3EC8">
        <w:rPr>
          <w:color w:val="000000" w:themeColor="text1"/>
        </w:rPr>
        <w:t xml:space="preserve"> a </w:t>
      </w:r>
      <w:proofErr w:type="spellStart"/>
      <w:r w:rsidRPr="001C3EC8">
        <w:rPr>
          <w:color w:val="000000" w:themeColor="text1"/>
        </w:rPr>
        <w:t>Ars</w:t>
      </w:r>
      <w:proofErr w:type="spellEnd"/>
      <w:r w:rsidRPr="001C3EC8">
        <w:rPr>
          <w:color w:val="000000" w:themeColor="text1"/>
        </w:rPr>
        <w:t>. Do některých z těchto rejstříků se již nezapisují nové věci. Věci spadají do jednotlivých rejstříků v závislosti na prvostupňové agendě, do níž směřuje kasační stížnost (finanční, azylová apod.).</w:t>
      </w:r>
    </w:p>
    <w:p w14:paraId="306D7124" w14:textId="77777777" w:rsidR="008430BD" w:rsidRPr="001C3EC8" w:rsidRDefault="008430BD" w:rsidP="008430BD">
      <w:pPr>
        <w:pStyle w:val="OdstavecASR"/>
        <w:rPr>
          <w:color w:val="000000" w:themeColor="text1"/>
        </w:rPr>
      </w:pPr>
      <w:r w:rsidRPr="001C3EC8">
        <w:rPr>
          <w:color w:val="000000" w:themeColor="text1"/>
        </w:rPr>
        <w:t>Stejně jako u NS i u NSS zachycuje tato zpráva méně ukazatelů než u ostatních soudů. Důvody jsou stejné: délka řízení nebo další statistické ukazatele nejsou k dispozici a soud je pouze jeden a není ho tedy s čím statisticky srovnávat.</w:t>
      </w:r>
    </w:p>
    <w:p w14:paraId="719A4A57" w14:textId="77777777" w:rsidR="008430BD" w:rsidRPr="001C3EC8" w:rsidRDefault="008430BD" w:rsidP="008430BD">
      <w:pPr>
        <w:pStyle w:val="Nadpis2"/>
        <w:numPr>
          <w:ilvl w:val="1"/>
          <w:numId w:val="1"/>
        </w:numPr>
        <w:spacing w:before="120"/>
        <w:rPr>
          <w:lang w:eastAsia="cs-CZ"/>
        </w:rPr>
      </w:pPr>
      <w:bookmarkStart w:id="878" w:name="_Toc515871307"/>
      <w:bookmarkStart w:id="879" w:name="_Toc75952157"/>
      <w:r w:rsidRPr="001C3EC8">
        <w:rPr>
          <w:lang w:eastAsia="cs-CZ"/>
        </w:rPr>
        <w:t>Personál</w:t>
      </w:r>
      <w:bookmarkEnd w:id="878"/>
      <w:bookmarkEnd w:id="879"/>
    </w:p>
    <w:p w14:paraId="4722EAC2" w14:textId="77777777" w:rsidR="008430BD" w:rsidRPr="001C3EC8" w:rsidRDefault="008430BD" w:rsidP="008430BD">
      <w:pPr>
        <w:pStyle w:val="Nadpis3"/>
        <w:numPr>
          <w:ilvl w:val="2"/>
          <w:numId w:val="1"/>
        </w:numPr>
        <w:rPr>
          <w:color w:val="000000" w:themeColor="text1"/>
          <w:lang w:eastAsia="cs-CZ"/>
        </w:rPr>
      </w:pPr>
      <w:bookmarkStart w:id="880" w:name="_Toc515871308"/>
      <w:bookmarkStart w:id="881" w:name="_Toc75952158"/>
      <w:r w:rsidRPr="001C3EC8">
        <w:rPr>
          <w:color w:val="000000" w:themeColor="text1"/>
          <w:lang w:eastAsia="cs-CZ"/>
        </w:rPr>
        <w:t>Soudci</w:t>
      </w:r>
      <w:bookmarkEnd w:id="880"/>
      <w:bookmarkEnd w:id="881"/>
    </w:p>
    <w:p w14:paraId="2194F7C2" w14:textId="1ADF7D6B" w:rsidR="008430BD" w:rsidRPr="001C3EC8" w:rsidRDefault="008430BD" w:rsidP="008430BD">
      <w:pPr>
        <w:pStyle w:val="OdstavecASR"/>
        <w:rPr>
          <w:color w:val="000000" w:themeColor="text1"/>
        </w:rPr>
      </w:pPr>
      <w:r w:rsidRPr="001C3EC8">
        <w:rPr>
          <w:color w:val="000000" w:themeColor="text1"/>
        </w:rPr>
        <w:t xml:space="preserve">Plánovaný počet soudců je neměnný, ale v evidenčním počtu došlo k určitým změnám. V dřívějších letech se jednalo jen o malé výkyvy, v letech 2013 až 2015 však došlo k citelnému posílení soudu a evidenční počet soudců byl od roku 2015 stejně vysoký jako plánovaný počet soudců nebo vyšší. K 1. 1. 2019 činil 36 soudců, což je nejvyšší číslo za sledované období. </w:t>
      </w:r>
      <w:r w:rsidR="00A7463D" w:rsidRPr="001C3EC8">
        <w:rPr>
          <w:color w:val="000000" w:themeColor="text1"/>
        </w:rPr>
        <w:t>K </w:t>
      </w:r>
      <w:r w:rsidRPr="001C3EC8">
        <w:rPr>
          <w:color w:val="000000" w:themeColor="text1"/>
        </w:rPr>
        <w:t xml:space="preserve">1.1.2020 počet </w:t>
      </w:r>
      <w:r w:rsidR="00A7463D" w:rsidRPr="001C3EC8">
        <w:rPr>
          <w:color w:val="000000" w:themeColor="text1"/>
        </w:rPr>
        <w:t>mírně</w:t>
      </w:r>
      <w:r w:rsidRPr="001C3EC8">
        <w:rPr>
          <w:color w:val="000000" w:themeColor="text1"/>
        </w:rPr>
        <w:t xml:space="preserve"> klesl </w:t>
      </w:r>
      <w:r w:rsidR="00021FDD" w:rsidRPr="001C3EC8">
        <w:rPr>
          <w:color w:val="000000" w:themeColor="text1"/>
        </w:rPr>
        <w:t>a</w:t>
      </w:r>
      <w:r w:rsidR="00021FDD">
        <w:rPr>
          <w:color w:val="000000" w:themeColor="text1"/>
        </w:rPr>
        <w:t> </w:t>
      </w:r>
      <w:r w:rsidRPr="001C3EC8">
        <w:rPr>
          <w:color w:val="000000" w:themeColor="text1"/>
        </w:rPr>
        <w:t xml:space="preserve">byl </w:t>
      </w:r>
      <w:r w:rsidR="00021FDD" w:rsidRPr="001C3EC8">
        <w:rPr>
          <w:color w:val="000000" w:themeColor="text1"/>
        </w:rPr>
        <w:t>o</w:t>
      </w:r>
      <w:r w:rsidR="00021FDD">
        <w:rPr>
          <w:color w:val="000000" w:themeColor="text1"/>
        </w:rPr>
        <w:t> </w:t>
      </w:r>
      <w:r w:rsidRPr="001C3EC8">
        <w:rPr>
          <w:color w:val="000000" w:themeColor="text1"/>
        </w:rPr>
        <w:t>jednoho soudce nižší než plánovaný počet.</w:t>
      </w:r>
    </w:p>
    <w:p w14:paraId="6AF19ACD" w14:textId="39E08214" w:rsidR="008430BD" w:rsidRPr="001C3EC8" w:rsidRDefault="008430BD" w:rsidP="008430BD">
      <w:pPr>
        <w:pStyle w:val="Podnadpis"/>
        <w:rPr>
          <w:color w:val="000000" w:themeColor="text1"/>
        </w:rPr>
      </w:pPr>
      <w:bookmarkStart w:id="882" w:name="_Toc515871429"/>
      <w:bookmarkStart w:id="883" w:name="_Toc11135160"/>
      <w:bookmarkStart w:id="884" w:name="_Toc43841486"/>
      <w:bookmarkStart w:id="885" w:name="_Toc7595228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109</w:t>
      </w:r>
      <w:r w:rsidRPr="001C3EC8">
        <w:rPr>
          <w:color w:val="000000" w:themeColor="text1"/>
        </w:rPr>
        <w:fldChar w:fldCharType="end"/>
      </w:r>
      <w:r w:rsidRPr="001C3EC8">
        <w:rPr>
          <w:color w:val="000000" w:themeColor="text1"/>
        </w:rPr>
        <w:t>: NSS – počet soudců v letech 2008–20</w:t>
      </w:r>
      <w:bookmarkEnd w:id="882"/>
      <w:bookmarkEnd w:id="883"/>
      <w:bookmarkEnd w:id="884"/>
      <w:r w:rsidRPr="001C3EC8">
        <w:rPr>
          <w:color w:val="000000" w:themeColor="text1"/>
        </w:rPr>
        <w:t>20</w:t>
      </w:r>
      <w:bookmarkEnd w:id="885"/>
    </w:p>
    <w:p w14:paraId="51CC95B2"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544A4294" wp14:editId="3FE90281">
            <wp:extent cx="5114925" cy="3743325"/>
            <wp:effectExtent l="0" t="0" r="0" b="9525"/>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097A4CF" w14:textId="5EA01C03" w:rsidR="008430BD" w:rsidRPr="001C3EC8" w:rsidRDefault="008430BD" w:rsidP="008430BD">
      <w:pPr>
        <w:pStyle w:val="Podnadpis"/>
        <w:rPr>
          <w:color w:val="000000" w:themeColor="text1"/>
        </w:rPr>
      </w:pPr>
      <w:bookmarkStart w:id="886" w:name="_Toc515871430"/>
      <w:bookmarkStart w:id="887" w:name="_Toc11135161"/>
      <w:bookmarkStart w:id="888" w:name="_Toc43841487"/>
      <w:bookmarkStart w:id="889" w:name="_Toc75952290"/>
      <w:r w:rsidRPr="001C3EC8">
        <w:rPr>
          <w:color w:val="000000" w:themeColor="text1"/>
        </w:rPr>
        <w:lastRenderedPageBreak/>
        <w:t xml:space="preserve">Graf </w:t>
      </w:r>
      <w:r w:rsidRPr="001C3EC8">
        <w:rPr>
          <w:color w:val="000000" w:themeColor="text1"/>
        </w:rPr>
        <w:fldChar w:fldCharType="begin"/>
      </w:r>
      <w:r w:rsidRPr="001C3EC8">
        <w:rPr>
          <w:noProof/>
          <w:color w:val="000000" w:themeColor="text1"/>
        </w:rPr>
        <w:instrText xml:space="preserve"> SEQ Graf \* ARABIC </w:instrText>
      </w:r>
      <w:r w:rsidRPr="001C3EC8">
        <w:rPr>
          <w:color w:val="000000" w:themeColor="text1"/>
        </w:rPr>
        <w:fldChar w:fldCharType="separate"/>
      </w:r>
      <w:r w:rsidR="009C575D">
        <w:rPr>
          <w:noProof/>
          <w:color w:val="000000" w:themeColor="text1"/>
        </w:rPr>
        <w:t>110</w:t>
      </w:r>
      <w:r w:rsidRPr="001C3EC8">
        <w:rPr>
          <w:color w:val="000000" w:themeColor="text1"/>
        </w:rPr>
        <w:fldChar w:fldCharType="end"/>
      </w:r>
      <w:r w:rsidRPr="001C3EC8">
        <w:rPr>
          <w:color w:val="000000" w:themeColor="text1"/>
        </w:rPr>
        <w:t>: NSS – evidenční počet soudců dle pohlaví v letech 2008–20</w:t>
      </w:r>
      <w:bookmarkEnd w:id="886"/>
      <w:bookmarkEnd w:id="887"/>
      <w:bookmarkEnd w:id="888"/>
      <w:r w:rsidRPr="001C3EC8">
        <w:rPr>
          <w:color w:val="000000" w:themeColor="text1"/>
        </w:rPr>
        <w:t>20</w:t>
      </w:r>
      <w:bookmarkEnd w:id="889"/>
    </w:p>
    <w:p w14:paraId="449A5631" w14:textId="77777777" w:rsidR="008430BD" w:rsidRPr="001C3EC8" w:rsidRDefault="008430BD" w:rsidP="008430BD">
      <w:pPr>
        <w:spacing w:line="240" w:lineRule="auto"/>
        <w:jc w:val="left"/>
        <w:rPr>
          <w:rFonts w:eastAsia="Times New Roman"/>
          <w:b/>
          <w:iCs/>
          <w:color w:val="000000" w:themeColor="text1"/>
          <w:spacing w:val="15"/>
          <w:szCs w:val="24"/>
        </w:rPr>
      </w:pPr>
      <w:r w:rsidRPr="001C3EC8">
        <w:rPr>
          <w:rFonts w:eastAsia="Times New Roman"/>
          <w:b/>
          <w:iCs/>
          <w:noProof/>
          <w:color w:val="000000" w:themeColor="text1"/>
          <w:spacing w:val="15"/>
          <w:szCs w:val="24"/>
          <w:lang w:eastAsia="cs-CZ"/>
        </w:rPr>
        <w:drawing>
          <wp:inline distT="0" distB="0" distL="0" distR="0" wp14:anchorId="6911E76D" wp14:editId="6EE83542">
            <wp:extent cx="5114925" cy="3743325"/>
            <wp:effectExtent l="0" t="0" r="0" b="9525"/>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FE96A18" w14:textId="11A514E8" w:rsidR="008430BD" w:rsidRPr="001C3EC8" w:rsidRDefault="008430BD" w:rsidP="008430BD">
      <w:pPr>
        <w:pStyle w:val="OdstavecASR"/>
        <w:rPr>
          <w:color w:val="000000" w:themeColor="text1"/>
        </w:rPr>
      </w:pPr>
      <w:r w:rsidRPr="001C3EC8">
        <w:rPr>
          <w:color w:val="000000" w:themeColor="text1"/>
        </w:rPr>
        <w:t>V grafu výše vidíme, že v posledních letech se mění počet mužů, kteří u soudu působí. Počet žen zůstává stabilní. U NSS je v současnosti podíl žen mezi soudci 36 %, tedy více než u NS, ale méně než u soudů nižších stupňů.</w:t>
      </w:r>
    </w:p>
    <w:p w14:paraId="689801D1" w14:textId="490EEC0D" w:rsidR="008430BD" w:rsidRPr="001C3EC8" w:rsidRDefault="008430BD" w:rsidP="008430BD">
      <w:pPr>
        <w:pStyle w:val="OdstavecASR"/>
        <w:rPr>
          <w:color w:val="000000" w:themeColor="text1"/>
        </w:rPr>
      </w:pPr>
      <w:r w:rsidRPr="001C3EC8">
        <w:rPr>
          <w:color w:val="000000" w:themeColor="text1"/>
        </w:rPr>
        <w:t xml:space="preserve">V dalším grafu je zobrazen stejně jako </w:t>
      </w:r>
      <w:r w:rsidR="00021FDD" w:rsidRPr="001C3EC8">
        <w:rPr>
          <w:color w:val="000000" w:themeColor="text1"/>
        </w:rPr>
        <w:t>u</w:t>
      </w:r>
      <w:r w:rsidR="00021FDD">
        <w:rPr>
          <w:color w:val="000000" w:themeColor="text1"/>
        </w:rPr>
        <w:t> </w:t>
      </w:r>
      <w:r w:rsidRPr="001C3EC8">
        <w:rPr>
          <w:color w:val="000000" w:themeColor="text1"/>
        </w:rPr>
        <w:t>ostatních článků soudní soustavy vývoj ve věkové struktuře soudců. Zajímavý</w:t>
      </w:r>
      <w:r w:rsidR="00A7463D" w:rsidRPr="001C3EC8">
        <w:rPr>
          <w:color w:val="000000" w:themeColor="text1"/>
        </w:rPr>
        <w:t>m</w:t>
      </w:r>
      <w:r w:rsidRPr="001C3EC8">
        <w:rPr>
          <w:color w:val="000000" w:themeColor="text1"/>
        </w:rPr>
        <w:t xml:space="preserve"> poznatkem je, že soudci </w:t>
      </w:r>
      <w:r w:rsidR="00021FDD" w:rsidRPr="001C3EC8">
        <w:rPr>
          <w:color w:val="000000" w:themeColor="text1"/>
        </w:rPr>
        <w:t>u</w:t>
      </w:r>
      <w:r w:rsidR="00021FDD">
        <w:rPr>
          <w:color w:val="000000" w:themeColor="text1"/>
        </w:rPr>
        <w:t> </w:t>
      </w:r>
      <w:r w:rsidRPr="001C3EC8">
        <w:rPr>
          <w:color w:val="000000" w:themeColor="text1"/>
        </w:rPr>
        <w:t xml:space="preserve">NSS jsou výrazně mladší </w:t>
      </w:r>
      <w:r w:rsidR="00A7463D" w:rsidRPr="001C3EC8">
        <w:rPr>
          <w:color w:val="000000" w:themeColor="text1"/>
        </w:rPr>
        <w:t xml:space="preserve">nejen </w:t>
      </w:r>
      <w:r w:rsidRPr="001C3EC8">
        <w:rPr>
          <w:color w:val="000000" w:themeColor="text1"/>
        </w:rPr>
        <w:t xml:space="preserve">než soudci </w:t>
      </w:r>
      <w:r w:rsidR="00021FDD" w:rsidRPr="001C3EC8">
        <w:rPr>
          <w:color w:val="000000" w:themeColor="text1"/>
        </w:rPr>
        <w:t>u</w:t>
      </w:r>
      <w:r w:rsidR="00021FDD">
        <w:rPr>
          <w:color w:val="000000" w:themeColor="text1"/>
        </w:rPr>
        <w:t> </w:t>
      </w:r>
      <w:r w:rsidRPr="001C3EC8">
        <w:rPr>
          <w:color w:val="000000" w:themeColor="text1"/>
        </w:rPr>
        <w:t>Nejvyššího soudu a </w:t>
      </w:r>
      <w:r w:rsidR="00021FDD" w:rsidRPr="001C3EC8">
        <w:rPr>
          <w:color w:val="000000" w:themeColor="text1"/>
        </w:rPr>
        <w:t>u</w:t>
      </w:r>
      <w:r w:rsidR="00021FDD">
        <w:rPr>
          <w:color w:val="000000" w:themeColor="text1"/>
        </w:rPr>
        <w:t> </w:t>
      </w:r>
      <w:r w:rsidRPr="001C3EC8">
        <w:rPr>
          <w:color w:val="000000" w:themeColor="text1"/>
        </w:rPr>
        <w:t xml:space="preserve">vrchních soudů, ale dokonce také než soudci </w:t>
      </w:r>
      <w:r w:rsidR="00021FDD" w:rsidRPr="001C3EC8">
        <w:rPr>
          <w:color w:val="000000" w:themeColor="text1"/>
        </w:rPr>
        <w:t>u</w:t>
      </w:r>
      <w:r w:rsidR="00021FDD">
        <w:rPr>
          <w:color w:val="000000" w:themeColor="text1"/>
        </w:rPr>
        <w:t> </w:t>
      </w:r>
      <w:r w:rsidRPr="001C3EC8">
        <w:rPr>
          <w:color w:val="000000" w:themeColor="text1"/>
        </w:rPr>
        <w:t>soudů krajských.</w:t>
      </w:r>
    </w:p>
    <w:p w14:paraId="2A8AACBB" w14:textId="4901BCC1" w:rsidR="008430BD" w:rsidRPr="001C3EC8" w:rsidRDefault="008430BD" w:rsidP="008430BD">
      <w:pPr>
        <w:pStyle w:val="OdstavecASR"/>
        <w:rPr>
          <w:color w:val="000000" w:themeColor="text1"/>
        </w:rPr>
      </w:pPr>
      <w:r w:rsidRPr="001C3EC8">
        <w:rPr>
          <w:color w:val="000000" w:themeColor="text1"/>
        </w:rPr>
        <w:t xml:space="preserve">Dáme-li údaje ze všech tří grafů dohromady, zjistíme, že soudci, </w:t>
      </w:r>
      <w:r w:rsidR="00021FDD" w:rsidRPr="001C3EC8">
        <w:rPr>
          <w:color w:val="000000" w:themeColor="text1"/>
        </w:rPr>
        <w:t>o</w:t>
      </w:r>
      <w:r w:rsidR="00021FDD">
        <w:rPr>
          <w:color w:val="000000" w:themeColor="text1"/>
        </w:rPr>
        <w:t> </w:t>
      </w:r>
      <w:r w:rsidRPr="001C3EC8">
        <w:rPr>
          <w:color w:val="000000" w:themeColor="text1"/>
        </w:rPr>
        <w:t>které byl v letech 2013 až 2015 soud posílen, byli muži ve věku 41 až 50 let.</w:t>
      </w:r>
    </w:p>
    <w:p w14:paraId="25115ACD" w14:textId="0C451225" w:rsidR="008430BD" w:rsidRPr="001C3EC8" w:rsidRDefault="008430BD" w:rsidP="008430BD">
      <w:pPr>
        <w:pStyle w:val="OdstavecASR"/>
        <w:rPr>
          <w:color w:val="000000" w:themeColor="text1"/>
        </w:rPr>
      </w:pPr>
      <w:r w:rsidRPr="001C3EC8">
        <w:rPr>
          <w:color w:val="000000" w:themeColor="text1"/>
        </w:rPr>
        <w:t xml:space="preserve">V grafu níže také vidíme, že </w:t>
      </w:r>
      <w:r w:rsidR="00021FDD" w:rsidRPr="001C3EC8">
        <w:rPr>
          <w:color w:val="000000" w:themeColor="text1"/>
        </w:rPr>
        <w:t>i</w:t>
      </w:r>
      <w:r w:rsidR="00021FDD">
        <w:rPr>
          <w:color w:val="000000" w:themeColor="text1"/>
        </w:rPr>
        <w:t> </w:t>
      </w:r>
      <w:r w:rsidR="00021FDD" w:rsidRPr="001C3EC8">
        <w:rPr>
          <w:color w:val="000000" w:themeColor="text1"/>
        </w:rPr>
        <w:t>u</w:t>
      </w:r>
      <w:r w:rsidR="00021FDD">
        <w:rPr>
          <w:color w:val="000000" w:themeColor="text1"/>
        </w:rPr>
        <w:t> </w:t>
      </w:r>
      <w:r w:rsidRPr="001C3EC8">
        <w:rPr>
          <w:color w:val="000000" w:themeColor="text1"/>
        </w:rPr>
        <w:t>NSS nyní již nepůsobí žádní soudci ve věku do 40 let, neboť se posunuli do vyšší věkové skupiny.</w:t>
      </w:r>
    </w:p>
    <w:p w14:paraId="25D52E49" w14:textId="3F7993A4" w:rsidR="008430BD" w:rsidRPr="001C3EC8" w:rsidRDefault="008430BD" w:rsidP="008430BD">
      <w:pPr>
        <w:pStyle w:val="Podnadpis"/>
        <w:rPr>
          <w:color w:val="000000" w:themeColor="text1"/>
          <w:highlight w:val="yellow"/>
        </w:rPr>
      </w:pPr>
      <w:bookmarkStart w:id="890" w:name="_Toc515871431"/>
      <w:bookmarkStart w:id="891" w:name="_Toc11135162"/>
      <w:bookmarkStart w:id="892" w:name="_Toc43841488"/>
      <w:bookmarkStart w:id="893" w:name="_Toc75952291"/>
      <w:r w:rsidRPr="001C3EC8">
        <w:rPr>
          <w:color w:val="000000" w:themeColor="text1"/>
        </w:rPr>
        <w:lastRenderedPageBreak/>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111</w:t>
      </w:r>
      <w:r w:rsidRPr="001C3EC8">
        <w:rPr>
          <w:color w:val="000000" w:themeColor="text1"/>
        </w:rPr>
        <w:fldChar w:fldCharType="end"/>
      </w:r>
      <w:r w:rsidRPr="001C3EC8">
        <w:rPr>
          <w:color w:val="000000" w:themeColor="text1"/>
        </w:rPr>
        <w:t>: NSS – věková struktura soudců v letech 2008</w:t>
      </w:r>
      <w:r w:rsidRPr="001C3EC8">
        <w:rPr>
          <w:color w:val="000000" w:themeColor="text1"/>
        </w:rPr>
        <w:sym w:font="Symbol" w:char="F02D"/>
      </w:r>
      <w:r w:rsidRPr="001C3EC8">
        <w:rPr>
          <w:color w:val="000000" w:themeColor="text1"/>
        </w:rPr>
        <w:t>20</w:t>
      </w:r>
      <w:bookmarkEnd w:id="890"/>
      <w:bookmarkEnd w:id="891"/>
      <w:bookmarkEnd w:id="892"/>
      <w:r w:rsidRPr="001C3EC8">
        <w:rPr>
          <w:color w:val="000000" w:themeColor="text1"/>
        </w:rPr>
        <w:t>20</w:t>
      </w:r>
      <w:bookmarkEnd w:id="893"/>
    </w:p>
    <w:p w14:paraId="7E5D68C1" w14:textId="77777777"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5D501E0F" wp14:editId="659E13AB">
            <wp:extent cx="5114925" cy="3743325"/>
            <wp:effectExtent l="0" t="0" r="0" b="9525"/>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6088A3D4" w14:textId="77777777" w:rsidR="008430BD" w:rsidRPr="001C3EC8" w:rsidRDefault="008430BD" w:rsidP="008430BD">
      <w:pPr>
        <w:spacing w:line="240" w:lineRule="auto"/>
        <w:jc w:val="left"/>
        <w:rPr>
          <w:rFonts w:eastAsia="Times New Roman"/>
          <w:b/>
          <w:iCs/>
          <w:color w:val="000000" w:themeColor="text1"/>
          <w:spacing w:val="15"/>
          <w:szCs w:val="24"/>
          <w:highlight w:val="yellow"/>
        </w:rPr>
      </w:pPr>
    </w:p>
    <w:p w14:paraId="7501F59F" w14:textId="77777777" w:rsidR="008430BD" w:rsidRPr="001C3EC8" w:rsidRDefault="008430BD" w:rsidP="008430BD">
      <w:pPr>
        <w:pStyle w:val="Nadpis3"/>
        <w:numPr>
          <w:ilvl w:val="2"/>
          <w:numId w:val="1"/>
        </w:numPr>
        <w:rPr>
          <w:color w:val="000000" w:themeColor="text1"/>
          <w:lang w:eastAsia="cs-CZ"/>
        </w:rPr>
      </w:pPr>
      <w:bookmarkStart w:id="894" w:name="_Toc515871309"/>
      <w:bookmarkStart w:id="895" w:name="_Toc75952159"/>
      <w:r w:rsidRPr="001C3EC8">
        <w:rPr>
          <w:color w:val="000000" w:themeColor="text1"/>
          <w:lang w:eastAsia="cs-CZ"/>
        </w:rPr>
        <w:t>Zaměstnanci ve výkonu</w:t>
      </w:r>
      <w:bookmarkEnd w:id="894"/>
      <w:bookmarkEnd w:id="895"/>
    </w:p>
    <w:p w14:paraId="6738CD65" w14:textId="4EA78219" w:rsidR="008430BD" w:rsidRPr="001C3EC8" w:rsidRDefault="008430BD" w:rsidP="008430BD">
      <w:pPr>
        <w:pStyle w:val="OdstavecASR"/>
        <w:rPr>
          <w:color w:val="000000" w:themeColor="text1"/>
        </w:rPr>
      </w:pPr>
      <w:r w:rsidRPr="001C3EC8">
        <w:rPr>
          <w:color w:val="000000" w:themeColor="text1"/>
        </w:rPr>
        <w:t xml:space="preserve">U NSS je stejně jako u NS s výjimkou asistentů soudců malé množství zaměstnanců ve výkonu. Na jednoho soudce připadají téměř dva asistenti. Personální počty opět plynou </w:t>
      </w:r>
      <w:r w:rsidR="00081D57" w:rsidRPr="001C3EC8">
        <w:rPr>
          <w:color w:val="000000" w:themeColor="text1"/>
        </w:rPr>
        <w:t xml:space="preserve">ze zvláštní povahy agendy </w:t>
      </w:r>
      <w:r w:rsidR="00021FDD" w:rsidRPr="001C3EC8">
        <w:rPr>
          <w:color w:val="000000" w:themeColor="text1"/>
        </w:rPr>
        <w:t>u</w:t>
      </w:r>
      <w:r w:rsidR="00021FDD">
        <w:rPr>
          <w:color w:val="000000" w:themeColor="text1"/>
        </w:rPr>
        <w:t> </w:t>
      </w:r>
      <w:r w:rsidR="00081D57" w:rsidRPr="001C3EC8">
        <w:rPr>
          <w:color w:val="000000" w:themeColor="text1"/>
        </w:rPr>
        <w:t>NSS</w:t>
      </w:r>
      <w:r w:rsidRPr="001C3EC8">
        <w:rPr>
          <w:color w:val="000000" w:themeColor="text1"/>
        </w:rPr>
        <w:t xml:space="preserve">. Ve srovnání s rokem 2019 </w:t>
      </w:r>
      <w:r w:rsidR="00021FDD" w:rsidRPr="001C3EC8">
        <w:rPr>
          <w:color w:val="000000" w:themeColor="text1"/>
        </w:rPr>
        <w:t>u</w:t>
      </w:r>
      <w:r w:rsidR="00021FDD">
        <w:rPr>
          <w:color w:val="000000" w:themeColor="text1"/>
        </w:rPr>
        <w:t> </w:t>
      </w:r>
      <w:r w:rsidRPr="001C3EC8">
        <w:rPr>
          <w:color w:val="000000" w:themeColor="text1"/>
        </w:rPr>
        <w:t>soudu ubyl jeden protokolující úředník, jinak počty zůstaly stejné.</w:t>
      </w:r>
    </w:p>
    <w:p w14:paraId="092C869E" w14:textId="57311879" w:rsidR="008430BD" w:rsidRPr="001C3EC8" w:rsidRDefault="008430BD" w:rsidP="008430BD">
      <w:pPr>
        <w:pStyle w:val="Podnadpis"/>
        <w:rPr>
          <w:b w:val="0"/>
          <w:iCs w:val="0"/>
          <w:color w:val="000000" w:themeColor="text1"/>
        </w:rPr>
      </w:pPr>
      <w:bookmarkStart w:id="896" w:name="_Toc515871506"/>
      <w:bookmarkStart w:id="897" w:name="_Toc11133272"/>
      <w:bookmarkStart w:id="898" w:name="_Toc43931254"/>
      <w:bookmarkStart w:id="899" w:name="_Toc75952388"/>
      <w:r w:rsidRPr="001C3EC8">
        <w:rPr>
          <w:color w:val="000000" w:themeColor="text1"/>
        </w:rPr>
        <w:t xml:space="preserve">Tabulka </w:t>
      </w:r>
      <w:r w:rsidRPr="001C3EC8">
        <w:rPr>
          <w:color w:val="000000" w:themeColor="text1"/>
        </w:rPr>
        <w:fldChar w:fldCharType="begin"/>
      </w:r>
      <w:r w:rsidRPr="001C3EC8">
        <w:rPr>
          <w:color w:val="000000" w:themeColor="text1"/>
        </w:rPr>
        <w:instrText xml:space="preserve"> SEQ Tabulka \* ARABIC </w:instrText>
      </w:r>
      <w:r w:rsidRPr="001C3EC8">
        <w:rPr>
          <w:color w:val="000000" w:themeColor="text1"/>
        </w:rPr>
        <w:fldChar w:fldCharType="separate"/>
      </w:r>
      <w:r w:rsidR="009C575D">
        <w:rPr>
          <w:noProof/>
          <w:color w:val="000000" w:themeColor="text1"/>
        </w:rPr>
        <w:t>85</w:t>
      </w:r>
      <w:r w:rsidRPr="001C3EC8">
        <w:rPr>
          <w:color w:val="000000" w:themeColor="text1"/>
        </w:rPr>
        <w:fldChar w:fldCharType="end"/>
      </w:r>
      <w:r w:rsidRPr="001C3EC8">
        <w:rPr>
          <w:color w:val="000000" w:themeColor="text1"/>
        </w:rPr>
        <w:t>: NSS – počet zaměstnanců ve výkonu</w:t>
      </w:r>
      <w:bookmarkEnd w:id="896"/>
      <w:bookmarkEnd w:id="897"/>
      <w:bookmarkEnd w:id="898"/>
      <w:bookmarkEnd w:id="899"/>
    </w:p>
    <w:tbl>
      <w:tblPr>
        <w:tblW w:w="5120" w:type="dxa"/>
        <w:tblCellMar>
          <w:left w:w="70" w:type="dxa"/>
          <w:right w:w="70" w:type="dxa"/>
        </w:tblCellMar>
        <w:tblLook w:val="04A0" w:firstRow="1" w:lastRow="0" w:firstColumn="1" w:lastColumn="0" w:noHBand="0" w:noVBand="1"/>
      </w:tblPr>
      <w:tblGrid>
        <w:gridCol w:w="3680"/>
        <w:gridCol w:w="1440"/>
      </w:tblGrid>
      <w:tr w:rsidR="008430BD" w:rsidRPr="001C3EC8" w14:paraId="6EED357C" w14:textId="77777777" w:rsidTr="00F66F3C">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0C351698" w14:textId="6DCB3CED" w:rsidR="008430BD" w:rsidRPr="001C3EC8" w:rsidRDefault="008430BD" w:rsidP="00FE43FA">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Soud</w:t>
            </w:r>
          </w:p>
        </w:tc>
        <w:tc>
          <w:tcPr>
            <w:tcW w:w="1440" w:type="dxa"/>
            <w:tcBorders>
              <w:top w:val="double" w:sz="6" w:space="0" w:color="auto"/>
              <w:left w:val="nil"/>
              <w:bottom w:val="double" w:sz="6" w:space="0" w:color="auto"/>
              <w:right w:val="nil"/>
            </w:tcBorders>
            <w:shd w:val="clear" w:color="auto" w:fill="auto"/>
            <w:noWrap/>
            <w:vAlign w:val="bottom"/>
            <w:hideMark/>
          </w:tcPr>
          <w:p w14:paraId="6BB08BB9"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Počet osob</w:t>
            </w:r>
          </w:p>
        </w:tc>
      </w:tr>
      <w:tr w:rsidR="008430BD" w:rsidRPr="001C3EC8" w14:paraId="3ECF059D" w14:textId="77777777" w:rsidTr="00E077F3">
        <w:trPr>
          <w:trHeight w:val="330"/>
        </w:trPr>
        <w:tc>
          <w:tcPr>
            <w:tcW w:w="3680" w:type="dxa"/>
            <w:tcBorders>
              <w:top w:val="nil"/>
              <w:left w:val="nil"/>
              <w:bottom w:val="single" w:sz="4" w:space="0" w:color="auto"/>
              <w:right w:val="nil"/>
            </w:tcBorders>
            <w:shd w:val="clear" w:color="auto" w:fill="auto"/>
            <w:noWrap/>
            <w:vAlign w:val="bottom"/>
            <w:hideMark/>
          </w:tcPr>
          <w:p w14:paraId="1D29CADD"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67583AA7"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61</w:t>
            </w:r>
          </w:p>
        </w:tc>
      </w:tr>
      <w:tr w:rsidR="008430BD" w:rsidRPr="001C3EC8" w14:paraId="7FD76BD7" w14:textId="77777777" w:rsidTr="00E077F3">
        <w:trPr>
          <w:trHeight w:val="315"/>
        </w:trPr>
        <w:tc>
          <w:tcPr>
            <w:tcW w:w="3680" w:type="dxa"/>
            <w:tcBorders>
              <w:top w:val="nil"/>
              <w:left w:val="nil"/>
              <w:bottom w:val="single" w:sz="4" w:space="0" w:color="auto"/>
              <w:right w:val="nil"/>
            </w:tcBorders>
            <w:shd w:val="clear" w:color="auto" w:fill="auto"/>
            <w:noWrap/>
            <w:vAlign w:val="bottom"/>
            <w:hideMark/>
          </w:tcPr>
          <w:p w14:paraId="271735EC"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407C6910"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11</w:t>
            </w:r>
          </w:p>
        </w:tc>
      </w:tr>
      <w:tr w:rsidR="008430BD" w:rsidRPr="001C3EC8" w14:paraId="224D7E12" w14:textId="77777777" w:rsidTr="00E077F3">
        <w:trPr>
          <w:trHeight w:val="315"/>
        </w:trPr>
        <w:tc>
          <w:tcPr>
            <w:tcW w:w="3680" w:type="dxa"/>
            <w:tcBorders>
              <w:top w:val="nil"/>
              <w:left w:val="nil"/>
              <w:bottom w:val="single" w:sz="4" w:space="0" w:color="auto"/>
              <w:right w:val="nil"/>
            </w:tcBorders>
            <w:shd w:val="clear" w:color="auto" w:fill="auto"/>
            <w:noWrap/>
            <w:vAlign w:val="bottom"/>
            <w:hideMark/>
          </w:tcPr>
          <w:p w14:paraId="06511FEE"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714294A5"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w:t>
            </w:r>
          </w:p>
        </w:tc>
      </w:tr>
      <w:tr w:rsidR="008430BD" w:rsidRPr="001C3EC8" w14:paraId="19FD1DE7" w14:textId="77777777" w:rsidTr="00E077F3">
        <w:trPr>
          <w:trHeight w:val="330"/>
        </w:trPr>
        <w:tc>
          <w:tcPr>
            <w:tcW w:w="3680" w:type="dxa"/>
            <w:tcBorders>
              <w:top w:val="nil"/>
              <w:left w:val="nil"/>
              <w:bottom w:val="double" w:sz="6" w:space="0" w:color="auto"/>
              <w:right w:val="nil"/>
            </w:tcBorders>
            <w:shd w:val="clear" w:color="auto" w:fill="auto"/>
            <w:noWrap/>
            <w:vAlign w:val="bottom"/>
            <w:hideMark/>
          </w:tcPr>
          <w:p w14:paraId="11EA4365" w14:textId="77777777" w:rsidR="008430BD" w:rsidRPr="001C3EC8" w:rsidRDefault="008430BD" w:rsidP="00E077F3">
            <w:pPr>
              <w:spacing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63283EC6" w14:textId="77777777" w:rsidR="008430BD" w:rsidRPr="001C3EC8" w:rsidRDefault="008430BD" w:rsidP="00E077F3">
            <w:pPr>
              <w:spacing w:line="240" w:lineRule="auto"/>
              <w:jc w:val="center"/>
              <w:rPr>
                <w:rFonts w:eastAsia="Times New Roman"/>
                <w:color w:val="000000" w:themeColor="text1"/>
                <w:szCs w:val="24"/>
                <w:lang w:eastAsia="cs-CZ"/>
              </w:rPr>
            </w:pPr>
            <w:r w:rsidRPr="001C3EC8">
              <w:rPr>
                <w:rFonts w:eastAsia="Times New Roman"/>
                <w:color w:val="000000" w:themeColor="text1"/>
                <w:szCs w:val="24"/>
                <w:lang w:eastAsia="cs-CZ"/>
              </w:rPr>
              <w:t>20</w:t>
            </w:r>
          </w:p>
        </w:tc>
      </w:tr>
      <w:tr w:rsidR="008430BD" w:rsidRPr="001C3EC8" w14:paraId="16D32F85" w14:textId="77777777" w:rsidTr="00E077F3">
        <w:trPr>
          <w:trHeight w:val="345"/>
        </w:trPr>
        <w:tc>
          <w:tcPr>
            <w:tcW w:w="3680" w:type="dxa"/>
            <w:tcBorders>
              <w:top w:val="nil"/>
              <w:left w:val="nil"/>
              <w:bottom w:val="double" w:sz="6" w:space="0" w:color="auto"/>
              <w:right w:val="nil"/>
            </w:tcBorders>
            <w:shd w:val="clear" w:color="auto" w:fill="auto"/>
            <w:noWrap/>
            <w:vAlign w:val="bottom"/>
            <w:hideMark/>
          </w:tcPr>
          <w:p w14:paraId="1E70F6F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Celkem ČR</w:t>
            </w:r>
          </w:p>
        </w:tc>
        <w:tc>
          <w:tcPr>
            <w:tcW w:w="1440" w:type="dxa"/>
            <w:tcBorders>
              <w:top w:val="nil"/>
              <w:left w:val="nil"/>
              <w:bottom w:val="double" w:sz="6" w:space="0" w:color="auto"/>
              <w:right w:val="nil"/>
            </w:tcBorders>
            <w:shd w:val="clear" w:color="auto" w:fill="auto"/>
            <w:noWrap/>
            <w:vAlign w:val="bottom"/>
            <w:hideMark/>
          </w:tcPr>
          <w:p w14:paraId="6EBE5516" w14:textId="77777777" w:rsidR="008430BD" w:rsidRPr="001C3EC8" w:rsidRDefault="008430BD" w:rsidP="00E077F3">
            <w:pPr>
              <w:spacing w:line="240" w:lineRule="auto"/>
              <w:jc w:val="center"/>
              <w:rPr>
                <w:rFonts w:eastAsia="Times New Roman"/>
                <w:b/>
                <w:bCs/>
                <w:color w:val="000000" w:themeColor="text1"/>
                <w:szCs w:val="24"/>
                <w:lang w:eastAsia="cs-CZ"/>
              </w:rPr>
            </w:pPr>
            <w:r w:rsidRPr="001C3EC8">
              <w:rPr>
                <w:rFonts w:eastAsia="Times New Roman"/>
                <w:b/>
                <w:bCs/>
                <w:color w:val="000000" w:themeColor="text1"/>
                <w:szCs w:val="24"/>
                <w:lang w:eastAsia="cs-CZ"/>
              </w:rPr>
              <w:t>94</w:t>
            </w:r>
          </w:p>
        </w:tc>
      </w:tr>
    </w:tbl>
    <w:p w14:paraId="3ED2C4FA" w14:textId="77777777" w:rsidR="008430BD" w:rsidRPr="001C3EC8" w:rsidRDefault="008430BD" w:rsidP="008430BD">
      <w:pPr>
        <w:rPr>
          <w:color w:val="000000" w:themeColor="text1"/>
          <w:lang w:eastAsia="cs-CZ"/>
        </w:rPr>
      </w:pPr>
    </w:p>
    <w:p w14:paraId="36DB857C" w14:textId="77777777" w:rsidR="008430BD" w:rsidRPr="001C3EC8" w:rsidRDefault="008430BD" w:rsidP="008430BD">
      <w:pPr>
        <w:spacing w:line="240" w:lineRule="auto"/>
        <w:jc w:val="left"/>
        <w:rPr>
          <w:color w:val="000000" w:themeColor="text1"/>
          <w:lang w:eastAsia="cs-CZ"/>
        </w:rPr>
      </w:pPr>
      <w:r w:rsidRPr="001C3EC8">
        <w:rPr>
          <w:color w:val="000000" w:themeColor="text1"/>
          <w:lang w:eastAsia="cs-CZ"/>
        </w:rPr>
        <w:br w:type="page"/>
      </w:r>
    </w:p>
    <w:p w14:paraId="1E9CB7A5" w14:textId="77777777" w:rsidR="008430BD" w:rsidRPr="001C3EC8" w:rsidRDefault="008430BD" w:rsidP="008430BD">
      <w:pPr>
        <w:pStyle w:val="Nadpis2"/>
        <w:numPr>
          <w:ilvl w:val="1"/>
          <w:numId w:val="1"/>
        </w:numPr>
        <w:spacing w:before="120"/>
      </w:pPr>
      <w:bookmarkStart w:id="900" w:name="_Toc487791312"/>
      <w:bookmarkStart w:id="901" w:name="_Toc515871310"/>
      <w:bookmarkStart w:id="902" w:name="_Toc75952160"/>
      <w:bookmarkStart w:id="903" w:name="_Toc487791314"/>
      <w:r w:rsidRPr="001C3EC8">
        <w:lastRenderedPageBreak/>
        <w:t>Řízení o kasačních stížnostech</w:t>
      </w:r>
      <w:bookmarkEnd w:id="900"/>
      <w:bookmarkEnd w:id="901"/>
      <w:bookmarkEnd w:id="902"/>
    </w:p>
    <w:p w14:paraId="7D3E075C" w14:textId="77777777" w:rsidR="008430BD" w:rsidRPr="001C3EC8" w:rsidRDefault="008430BD" w:rsidP="008430BD">
      <w:pPr>
        <w:pStyle w:val="OdstavecASR"/>
        <w:rPr>
          <w:color w:val="000000" w:themeColor="text1"/>
        </w:rPr>
      </w:pPr>
      <w:r w:rsidRPr="001C3EC8">
        <w:rPr>
          <w:color w:val="000000" w:themeColor="text1"/>
        </w:rPr>
        <w:t>Rejstříky spadající do této agendy jsou popsány v úvodu této části.</w:t>
      </w:r>
    </w:p>
    <w:p w14:paraId="4FAD4D21" w14:textId="77777777" w:rsidR="008430BD" w:rsidRPr="001C3EC8" w:rsidRDefault="008430BD" w:rsidP="008430BD">
      <w:pPr>
        <w:pStyle w:val="Nadpis3"/>
        <w:numPr>
          <w:ilvl w:val="2"/>
          <w:numId w:val="1"/>
        </w:numPr>
        <w:rPr>
          <w:color w:val="000000" w:themeColor="text1"/>
        </w:rPr>
      </w:pPr>
      <w:bookmarkStart w:id="904" w:name="_Toc515871311"/>
      <w:bookmarkStart w:id="905" w:name="_Toc75952161"/>
      <w:r w:rsidRPr="001C3EC8">
        <w:rPr>
          <w:color w:val="000000" w:themeColor="text1"/>
        </w:rPr>
        <w:t>Vyřizování věcí</w:t>
      </w:r>
      <w:bookmarkEnd w:id="904"/>
      <w:bookmarkEnd w:id="905"/>
    </w:p>
    <w:p w14:paraId="4674DCCE" w14:textId="77777777" w:rsidR="008430BD" w:rsidRPr="001C3EC8" w:rsidRDefault="008430BD" w:rsidP="008430BD">
      <w:pPr>
        <w:pStyle w:val="OdstavecASR"/>
        <w:rPr>
          <w:color w:val="000000" w:themeColor="text1"/>
        </w:rPr>
      </w:pPr>
      <w:r w:rsidRPr="001C3EC8">
        <w:rPr>
          <w:color w:val="000000" w:themeColor="text1"/>
        </w:rPr>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0C47A14F" w14:textId="44BCD991" w:rsidR="008430BD" w:rsidRPr="001C3EC8" w:rsidRDefault="008430BD" w:rsidP="008430BD">
      <w:pPr>
        <w:pStyle w:val="OdstavecASR"/>
        <w:rPr>
          <w:color w:val="000000" w:themeColor="text1"/>
        </w:rPr>
      </w:pPr>
      <w:r w:rsidRPr="001C3EC8">
        <w:rPr>
          <w:color w:val="000000" w:themeColor="text1"/>
        </w:rPr>
        <w:t xml:space="preserve">V posledních letech pozorujeme stálý a zvětšující se růst v nápadu. V letech 2016–2018 tak soud nebyl schopen vyřídit svůj nápad, který výrazně převýšil počet vyřízených věcí, což logicky vyústilo v rychlý růst počtu nevyřízených věcí. V roce 2018 nárůst příchozích věcí zpomalil, ale nezastavil se. Počet příchozích věcí tak výrazně převýšil počet věcí vyřízených, </w:t>
      </w:r>
      <w:r w:rsidR="00021FDD" w:rsidRPr="001C3EC8">
        <w:rPr>
          <w:color w:val="000000" w:themeColor="text1"/>
        </w:rPr>
        <w:t>a</w:t>
      </w:r>
      <w:r w:rsidR="00021FDD">
        <w:rPr>
          <w:color w:val="000000" w:themeColor="text1"/>
        </w:rPr>
        <w:t> </w:t>
      </w:r>
      <w:r w:rsidRPr="001C3EC8">
        <w:rPr>
          <w:color w:val="000000" w:themeColor="text1"/>
        </w:rPr>
        <w:t xml:space="preserve">došlo tak k růstu v počtu nevyřízených věcí. Tento růst plyne z růstu nápadu a počtu vyřízených věcí v první instanci. Obdobný závěr platí </w:t>
      </w:r>
      <w:r w:rsidR="00021FDD" w:rsidRPr="001C3EC8">
        <w:rPr>
          <w:color w:val="000000" w:themeColor="text1"/>
        </w:rPr>
        <w:t>i</w:t>
      </w:r>
      <w:r w:rsidR="00021FDD">
        <w:rPr>
          <w:color w:val="000000" w:themeColor="text1"/>
        </w:rPr>
        <w:t> </w:t>
      </w:r>
      <w:r w:rsidRPr="001C3EC8">
        <w:rPr>
          <w:color w:val="000000" w:themeColor="text1"/>
        </w:rPr>
        <w:t xml:space="preserve">pro rok 2019 s tím, že došlo k výraznému růstu v počtu vyřízených věcí a rozdíl mezi věcmi příchozími </w:t>
      </w:r>
      <w:r w:rsidR="00021FDD" w:rsidRPr="001C3EC8">
        <w:rPr>
          <w:color w:val="000000" w:themeColor="text1"/>
        </w:rPr>
        <w:t>a</w:t>
      </w:r>
      <w:r w:rsidR="00021FDD">
        <w:rPr>
          <w:color w:val="000000" w:themeColor="text1"/>
        </w:rPr>
        <w:t> </w:t>
      </w:r>
      <w:r w:rsidRPr="001C3EC8">
        <w:rPr>
          <w:color w:val="000000" w:themeColor="text1"/>
        </w:rPr>
        <w:t>vyřízenými se tak zmenšil.</w:t>
      </w:r>
    </w:p>
    <w:p w14:paraId="3144BB78" w14:textId="0C340B0E" w:rsidR="00B07E76" w:rsidRDefault="00A7463D" w:rsidP="008430BD">
      <w:pPr>
        <w:pStyle w:val="OdstavecASR"/>
        <w:rPr>
          <w:color w:val="000000" w:themeColor="text1"/>
        </w:rPr>
      </w:pPr>
      <w:r w:rsidRPr="001C3EC8">
        <w:rPr>
          <w:color w:val="000000" w:themeColor="text1"/>
        </w:rPr>
        <w:t>Zároveň</w:t>
      </w:r>
      <w:r w:rsidR="008430BD" w:rsidRPr="001C3EC8">
        <w:rPr>
          <w:color w:val="000000" w:themeColor="text1"/>
        </w:rPr>
        <w:t xml:space="preserve"> je třeba upozornit na to, že v roce 2019 došlo v prvostupňovém řízení k poklesu v počtu příchozích věcí. Počet vyřízených věcí ovšem stoupl, </w:t>
      </w:r>
      <w:r w:rsidR="00021FDD" w:rsidRPr="001C3EC8">
        <w:rPr>
          <w:color w:val="000000" w:themeColor="text1"/>
        </w:rPr>
        <w:t>a</w:t>
      </w:r>
      <w:r w:rsidR="00021FDD">
        <w:rPr>
          <w:color w:val="000000" w:themeColor="text1"/>
        </w:rPr>
        <w:t> </w:t>
      </w:r>
      <w:r w:rsidR="008430BD" w:rsidRPr="001C3EC8">
        <w:rPr>
          <w:color w:val="000000" w:themeColor="text1"/>
        </w:rPr>
        <w:t xml:space="preserve">tak narostl </w:t>
      </w:r>
      <w:r w:rsidR="00021FDD" w:rsidRPr="001C3EC8">
        <w:rPr>
          <w:color w:val="000000" w:themeColor="text1"/>
        </w:rPr>
        <w:t>i</w:t>
      </w:r>
      <w:r w:rsidR="00021FDD">
        <w:rPr>
          <w:color w:val="000000" w:themeColor="text1"/>
        </w:rPr>
        <w:t> </w:t>
      </w:r>
      <w:r w:rsidR="008430BD" w:rsidRPr="001C3EC8">
        <w:rPr>
          <w:color w:val="000000" w:themeColor="text1"/>
        </w:rPr>
        <w:t xml:space="preserve">počet napadlých kasačních stížností. V roce 2020 počet napadlých věcí konečně začal klesat. Jedná se jen </w:t>
      </w:r>
      <w:r w:rsidR="00021FDD" w:rsidRPr="001C3EC8">
        <w:rPr>
          <w:color w:val="000000" w:themeColor="text1"/>
        </w:rPr>
        <w:t>o</w:t>
      </w:r>
      <w:r w:rsidR="00021FDD">
        <w:rPr>
          <w:color w:val="000000" w:themeColor="text1"/>
        </w:rPr>
        <w:t> </w:t>
      </w:r>
      <w:r w:rsidR="008430BD" w:rsidRPr="001C3EC8">
        <w:rPr>
          <w:color w:val="000000" w:themeColor="text1"/>
        </w:rPr>
        <w:t>mírn</w:t>
      </w:r>
      <w:r w:rsidRPr="001C3EC8">
        <w:rPr>
          <w:color w:val="000000" w:themeColor="text1"/>
        </w:rPr>
        <w:t>ý pokles</w:t>
      </w:r>
      <w:r w:rsidR="008430BD" w:rsidRPr="001C3EC8">
        <w:rPr>
          <w:color w:val="000000" w:themeColor="text1"/>
        </w:rPr>
        <w:t xml:space="preserve">, </w:t>
      </w:r>
      <w:r w:rsidRPr="001C3EC8">
        <w:rPr>
          <w:color w:val="000000" w:themeColor="text1"/>
        </w:rPr>
        <w:t>který</w:t>
      </w:r>
      <w:r w:rsidR="008430BD" w:rsidRPr="001C3EC8">
        <w:rPr>
          <w:color w:val="000000" w:themeColor="text1"/>
        </w:rPr>
        <w:t xml:space="preserve"> ale </w:t>
      </w:r>
      <w:r w:rsidR="00021FDD" w:rsidRPr="001C3EC8">
        <w:rPr>
          <w:color w:val="000000" w:themeColor="text1"/>
        </w:rPr>
        <w:t>i</w:t>
      </w:r>
      <w:r w:rsidR="00021FDD">
        <w:rPr>
          <w:color w:val="000000" w:themeColor="text1"/>
        </w:rPr>
        <w:t> </w:t>
      </w:r>
      <w:r w:rsidR="008430BD" w:rsidRPr="001C3EC8">
        <w:rPr>
          <w:color w:val="000000" w:themeColor="text1"/>
        </w:rPr>
        <w:t xml:space="preserve">tak </w:t>
      </w:r>
      <w:r w:rsidRPr="001C3EC8">
        <w:rPr>
          <w:color w:val="000000" w:themeColor="text1"/>
        </w:rPr>
        <w:t>představuje</w:t>
      </w:r>
      <w:r w:rsidR="008430BD" w:rsidRPr="001C3EC8">
        <w:rPr>
          <w:color w:val="000000" w:themeColor="text1"/>
        </w:rPr>
        <w:t xml:space="preserve"> změnu trendu. Vzhledem k vývoji prvostupňové agendy lze očekávat </w:t>
      </w:r>
      <w:r w:rsidR="00021FDD" w:rsidRPr="001C3EC8">
        <w:rPr>
          <w:color w:val="000000" w:themeColor="text1"/>
        </w:rPr>
        <w:t>i</w:t>
      </w:r>
      <w:r w:rsidR="00021FDD">
        <w:rPr>
          <w:color w:val="000000" w:themeColor="text1"/>
        </w:rPr>
        <w:t> </w:t>
      </w:r>
      <w:r w:rsidR="008430BD" w:rsidRPr="001C3EC8">
        <w:rPr>
          <w:color w:val="000000" w:themeColor="text1"/>
        </w:rPr>
        <w:t>do budoucna další pokles. Počet nevyřízených věcí ale stále roste, soud má tedy stále problémy vyřizovat nápad.</w:t>
      </w:r>
    </w:p>
    <w:p w14:paraId="3A5AF4A0" w14:textId="69A31AB7" w:rsidR="008430BD" w:rsidRPr="001C3EC8" w:rsidRDefault="008430BD" w:rsidP="008430BD">
      <w:pPr>
        <w:pStyle w:val="Podnadpis"/>
        <w:rPr>
          <w:color w:val="000000" w:themeColor="text1"/>
        </w:rPr>
      </w:pPr>
      <w:bookmarkStart w:id="906" w:name="_Toc43841489"/>
      <w:bookmarkStart w:id="907" w:name="_Toc75952292"/>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112</w:t>
      </w:r>
      <w:r w:rsidRPr="001C3EC8">
        <w:rPr>
          <w:color w:val="000000" w:themeColor="text1"/>
        </w:rPr>
        <w:fldChar w:fldCharType="end"/>
      </w:r>
      <w:r w:rsidRPr="001C3EC8">
        <w:rPr>
          <w:color w:val="000000" w:themeColor="text1"/>
        </w:rPr>
        <w:t>: NSS – vyřizování kasačních věcí v letech 2008–20</w:t>
      </w:r>
      <w:bookmarkEnd w:id="906"/>
      <w:r w:rsidRPr="001C3EC8">
        <w:rPr>
          <w:color w:val="000000" w:themeColor="text1"/>
        </w:rPr>
        <w:t>20</w:t>
      </w:r>
      <w:bookmarkEnd w:id="907"/>
    </w:p>
    <w:p w14:paraId="4E6781DB" w14:textId="77777777" w:rsidR="008430BD" w:rsidRPr="001C3EC8" w:rsidRDefault="008430BD" w:rsidP="008430BD">
      <w:pPr>
        <w:rPr>
          <w:color w:val="000000" w:themeColor="text1"/>
          <w:highlight w:val="yellow"/>
        </w:rPr>
      </w:pPr>
      <w:r w:rsidRPr="001C3EC8">
        <w:rPr>
          <w:noProof/>
          <w:color w:val="000000" w:themeColor="text1"/>
          <w:lang w:eastAsia="cs-CZ"/>
        </w:rPr>
        <w:drawing>
          <wp:inline distT="0" distB="0" distL="0" distR="0" wp14:anchorId="7C656860" wp14:editId="5962223C">
            <wp:extent cx="5114925" cy="3743325"/>
            <wp:effectExtent l="0" t="0" r="0" b="9525"/>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73ED7F54" w14:textId="77777777" w:rsidR="008430BD" w:rsidRPr="001C3EC8" w:rsidRDefault="008430BD" w:rsidP="008430BD">
      <w:pPr>
        <w:spacing w:line="240" w:lineRule="auto"/>
        <w:jc w:val="left"/>
        <w:rPr>
          <w:color w:val="000000" w:themeColor="text1"/>
          <w:highlight w:val="yellow"/>
        </w:rPr>
      </w:pPr>
    </w:p>
    <w:p w14:paraId="793AB25F" w14:textId="77777777"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br w:type="page"/>
      </w:r>
    </w:p>
    <w:p w14:paraId="5BD9E643" w14:textId="77777777" w:rsidR="008430BD" w:rsidRPr="001C3EC8" w:rsidRDefault="008430BD" w:rsidP="008430BD">
      <w:pPr>
        <w:pStyle w:val="Nadpis2"/>
        <w:numPr>
          <w:ilvl w:val="1"/>
          <w:numId w:val="1"/>
        </w:numPr>
        <w:spacing w:before="120"/>
        <w:rPr>
          <w:lang w:eastAsia="cs-CZ"/>
        </w:rPr>
      </w:pPr>
      <w:bookmarkStart w:id="908" w:name="_Toc515871312"/>
      <w:bookmarkStart w:id="909" w:name="_Toc75952162"/>
      <w:r w:rsidRPr="001C3EC8">
        <w:rPr>
          <w:lang w:eastAsia="cs-CZ"/>
        </w:rPr>
        <w:lastRenderedPageBreak/>
        <w:t>Řízení ve věcech soudců</w:t>
      </w:r>
      <w:bookmarkEnd w:id="908"/>
      <w:bookmarkEnd w:id="909"/>
    </w:p>
    <w:p w14:paraId="51638D01" w14:textId="57A38FAA" w:rsidR="008430BD" w:rsidRPr="001C3EC8" w:rsidRDefault="008430BD" w:rsidP="008430BD">
      <w:pPr>
        <w:rPr>
          <w:color w:val="000000" w:themeColor="text1"/>
          <w:lang w:eastAsia="cs-CZ"/>
        </w:rPr>
      </w:pPr>
      <w:r w:rsidRPr="001C3EC8">
        <w:rPr>
          <w:color w:val="000000" w:themeColor="text1"/>
          <w:lang w:eastAsia="cs-CZ"/>
        </w:rPr>
        <w:t xml:space="preserve">Jedná se o řízení ve věcech kárné odpovědnosti soudců a ve věcech nezpůsobilosti soudce podle § 91 zákona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 xml:space="preserve">soudech a soudcích. Věci jsou zapisovány do rejstříku </w:t>
      </w:r>
      <w:proofErr w:type="spellStart"/>
      <w:r w:rsidRPr="001C3EC8">
        <w:rPr>
          <w:color w:val="000000" w:themeColor="text1"/>
          <w:lang w:eastAsia="cs-CZ"/>
        </w:rPr>
        <w:t>Kss</w:t>
      </w:r>
      <w:proofErr w:type="spellEnd"/>
      <w:r w:rsidRPr="001C3EC8">
        <w:rPr>
          <w:color w:val="000000" w:themeColor="text1"/>
          <w:lang w:eastAsia="cs-CZ"/>
        </w:rPr>
        <w:t>.</w:t>
      </w:r>
    </w:p>
    <w:p w14:paraId="73253215" w14:textId="77777777" w:rsidR="008430BD" w:rsidRPr="001C3EC8" w:rsidRDefault="008430BD" w:rsidP="008430BD">
      <w:pPr>
        <w:pStyle w:val="Nadpis3"/>
        <w:numPr>
          <w:ilvl w:val="2"/>
          <w:numId w:val="1"/>
        </w:numPr>
        <w:rPr>
          <w:color w:val="000000" w:themeColor="text1"/>
          <w:lang w:eastAsia="cs-CZ"/>
        </w:rPr>
      </w:pPr>
      <w:bookmarkStart w:id="910" w:name="_Toc515871313"/>
      <w:bookmarkStart w:id="911" w:name="_Toc75952163"/>
      <w:r w:rsidRPr="001C3EC8">
        <w:rPr>
          <w:color w:val="000000" w:themeColor="text1"/>
          <w:lang w:eastAsia="cs-CZ"/>
        </w:rPr>
        <w:t>Vyřizování věcí</w:t>
      </w:r>
      <w:bookmarkEnd w:id="910"/>
      <w:bookmarkEnd w:id="911"/>
    </w:p>
    <w:p w14:paraId="74FF3DD8" w14:textId="5F105FE9" w:rsidR="008430BD" w:rsidRPr="001C3EC8" w:rsidRDefault="008430BD" w:rsidP="008430BD">
      <w:pPr>
        <w:pStyle w:val="Podnadpis"/>
        <w:rPr>
          <w:color w:val="000000" w:themeColor="text1"/>
        </w:rPr>
      </w:pPr>
      <w:bookmarkStart w:id="912" w:name="_Toc515871433"/>
      <w:bookmarkStart w:id="913" w:name="_Toc11135164"/>
      <w:bookmarkStart w:id="914" w:name="_Toc43841490"/>
      <w:bookmarkStart w:id="915" w:name="_Toc75952293"/>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113</w:t>
      </w:r>
      <w:r w:rsidRPr="001C3EC8">
        <w:rPr>
          <w:color w:val="000000" w:themeColor="text1"/>
        </w:rPr>
        <w:fldChar w:fldCharType="end"/>
      </w:r>
      <w:r w:rsidRPr="001C3EC8">
        <w:rPr>
          <w:color w:val="000000" w:themeColor="text1"/>
        </w:rPr>
        <w:t>: NSS – vyřizování řízení ve věcech soudců v letech 2008–20</w:t>
      </w:r>
      <w:bookmarkEnd w:id="912"/>
      <w:bookmarkEnd w:id="913"/>
      <w:bookmarkEnd w:id="914"/>
      <w:r w:rsidRPr="001C3EC8">
        <w:rPr>
          <w:color w:val="000000" w:themeColor="text1"/>
        </w:rPr>
        <w:t>20</w:t>
      </w:r>
      <w:bookmarkEnd w:id="915"/>
    </w:p>
    <w:p w14:paraId="7EF48F29"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4C83F46" wp14:editId="3130345A">
            <wp:extent cx="5114925" cy="3743325"/>
            <wp:effectExtent l="0" t="0" r="0" b="9525"/>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34D54BEF" w14:textId="53C01F46" w:rsidR="008430BD" w:rsidRPr="001C3EC8" w:rsidRDefault="008430BD" w:rsidP="008430BD">
      <w:pPr>
        <w:pStyle w:val="OdstavecASR"/>
        <w:rPr>
          <w:color w:val="000000" w:themeColor="text1"/>
          <w:lang w:eastAsia="cs-CZ"/>
        </w:rPr>
      </w:pPr>
      <w:r w:rsidRPr="001C3EC8">
        <w:rPr>
          <w:color w:val="000000" w:themeColor="text1"/>
        </w:rPr>
        <w:t xml:space="preserve">Oproti agendě kasačních stížností je tato agenda velmi malá. Z toho také plyne velká variabilita. U takto malých čísel je možné, aby se v jeden rok „sešlo“ větší množství podaných kárných žalob, případně návrhů na zahájení řízení </w:t>
      </w:r>
      <w:r w:rsidR="00021FDD" w:rsidRPr="001C3EC8">
        <w:rPr>
          <w:color w:val="000000" w:themeColor="text1"/>
        </w:rPr>
        <w:t>o</w:t>
      </w:r>
      <w:r w:rsidR="00021FDD">
        <w:rPr>
          <w:color w:val="000000" w:themeColor="text1"/>
        </w:rPr>
        <w:t> </w:t>
      </w:r>
      <w:r w:rsidRPr="001C3EC8">
        <w:rPr>
          <w:color w:val="000000" w:themeColor="text1"/>
        </w:rPr>
        <w:t xml:space="preserve">způsobilosti soudce. V absolutních číslech se ale jedná o změny malé. </w:t>
      </w:r>
      <w:r w:rsidRPr="001C3EC8">
        <w:rPr>
          <w:color w:val="000000" w:themeColor="text1"/>
          <w:lang w:eastAsia="cs-CZ"/>
        </w:rPr>
        <w:t xml:space="preserve">V roce 2018 bylo </w:t>
      </w:r>
      <w:r w:rsidR="00021FDD" w:rsidRPr="001C3EC8">
        <w:rPr>
          <w:color w:val="000000" w:themeColor="text1"/>
          <w:lang w:eastAsia="cs-CZ"/>
        </w:rPr>
        <w:t>z</w:t>
      </w:r>
      <w:r w:rsidR="00021FDD">
        <w:rPr>
          <w:color w:val="000000" w:themeColor="text1"/>
          <w:lang w:eastAsia="cs-CZ"/>
        </w:rPr>
        <w:t> </w:t>
      </w:r>
      <w:r w:rsidRPr="001C3EC8">
        <w:rPr>
          <w:color w:val="000000" w:themeColor="text1"/>
          <w:lang w:eastAsia="cs-CZ"/>
        </w:rPr>
        <w:t xml:space="preserve">18 vyřízených věcí 10 soudců uznáno vinnými. V roce 2019 to bylo 20 soudců z 26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v roce 2020 10 soudc</w:t>
      </w:r>
      <w:r w:rsidR="00B927BD" w:rsidRPr="001C3EC8">
        <w:rPr>
          <w:color w:val="000000" w:themeColor="text1"/>
          <w:lang w:eastAsia="cs-CZ"/>
        </w:rPr>
        <w:t>ů</w:t>
      </w:r>
      <w:r w:rsidRPr="001C3EC8">
        <w:rPr>
          <w:color w:val="000000" w:themeColor="text1"/>
          <w:lang w:eastAsia="cs-CZ"/>
        </w:rPr>
        <w:t xml:space="preserve"> ze 17.</w:t>
      </w:r>
    </w:p>
    <w:p w14:paraId="75CEDFFF"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1C74211D" w14:textId="4C0E5948" w:rsidR="008430BD" w:rsidRPr="001C3EC8" w:rsidRDefault="008430BD" w:rsidP="008430BD">
      <w:pPr>
        <w:pStyle w:val="Nadpis1"/>
        <w:pageBreakBefore/>
        <w:numPr>
          <w:ilvl w:val="0"/>
          <w:numId w:val="1"/>
        </w:numPr>
        <w:spacing w:after="120"/>
        <w:rPr>
          <w:color w:val="000000" w:themeColor="text1"/>
          <w:lang w:eastAsia="cs-CZ"/>
        </w:rPr>
      </w:pPr>
      <w:bookmarkStart w:id="916" w:name="_Toc75952164"/>
      <w:r w:rsidRPr="001C3EC8">
        <w:rPr>
          <w:color w:val="000000" w:themeColor="text1"/>
          <w:lang w:eastAsia="cs-CZ"/>
        </w:rPr>
        <w:lastRenderedPageBreak/>
        <w:t xml:space="preserve">Shrnutí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mezinárodní srovnání</w:t>
      </w:r>
      <w:bookmarkEnd w:id="916"/>
    </w:p>
    <w:p w14:paraId="2E272988" w14:textId="0D9709BA" w:rsidR="008430BD" w:rsidRPr="001C3EC8" w:rsidRDefault="008430BD" w:rsidP="008430BD">
      <w:pPr>
        <w:rPr>
          <w:color w:val="000000" w:themeColor="text1"/>
          <w:lang w:eastAsia="cs-CZ"/>
        </w:rPr>
      </w:pPr>
      <w:r w:rsidRPr="001C3EC8">
        <w:rPr>
          <w:color w:val="000000" w:themeColor="text1"/>
          <w:lang w:eastAsia="cs-CZ"/>
        </w:rPr>
        <w:t>Předchozích šest částí Výroční statistické zprávy za rok 2020 se zabývá množstvím statistik pro všechny články soudní soustavy. V první kapitole této části pro lepší přehled</w:t>
      </w:r>
      <w:r w:rsidR="00B927BD" w:rsidRPr="001C3EC8">
        <w:rPr>
          <w:color w:val="000000" w:themeColor="text1"/>
          <w:lang w:eastAsia="cs-CZ"/>
        </w:rPr>
        <w:t xml:space="preserve"> </w:t>
      </w:r>
      <w:r w:rsidR="00021FDD" w:rsidRPr="001C3EC8">
        <w:rPr>
          <w:color w:val="000000" w:themeColor="text1"/>
          <w:lang w:eastAsia="cs-CZ"/>
        </w:rPr>
        <w:t>v</w:t>
      </w:r>
      <w:r w:rsidR="00021FDD">
        <w:rPr>
          <w:color w:val="000000" w:themeColor="text1"/>
          <w:lang w:eastAsia="cs-CZ"/>
        </w:rPr>
        <w:t> </w:t>
      </w:r>
      <w:r w:rsidRPr="001C3EC8">
        <w:rPr>
          <w:color w:val="000000" w:themeColor="text1"/>
          <w:lang w:eastAsia="cs-CZ"/>
        </w:rPr>
        <w:t xml:space="preserve">krátkosti shrneme data týkající se rychlosti soudů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jejich zatíženosti. Jedná se pouze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krátký přehled, daleko více detailů je pak v jednotlivých částech zprávy. V</w:t>
      </w:r>
      <w:r w:rsidR="00B927BD" w:rsidRPr="001C3EC8">
        <w:rPr>
          <w:color w:val="000000" w:themeColor="text1"/>
          <w:lang w:eastAsia="cs-CZ"/>
        </w:rPr>
        <w:t>e</w:t>
      </w:r>
      <w:r w:rsidRPr="001C3EC8">
        <w:rPr>
          <w:color w:val="000000" w:themeColor="text1"/>
          <w:lang w:eastAsia="cs-CZ"/>
        </w:rPr>
        <w:t> druhé kapitole jsou pak krátce české soudy srovnány se soudy v jiných evropských zemích.</w:t>
      </w:r>
    </w:p>
    <w:p w14:paraId="2F7111A3" w14:textId="17366A5E" w:rsidR="008430BD" w:rsidRPr="001C3EC8" w:rsidRDefault="008430BD" w:rsidP="008430BD">
      <w:pPr>
        <w:pStyle w:val="Nadpis2"/>
        <w:numPr>
          <w:ilvl w:val="1"/>
          <w:numId w:val="1"/>
        </w:numPr>
        <w:spacing w:before="120"/>
        <w:rPr>
          <w:lang w:eastAsia="cs-CZ"/>
        </w:rPr>
      </w:pPr>
      <w:bookmarkStart w:id="917" w:name="_Toc75952165"/>
      <w:r w:rsidRPr="001C3EC8">
        <w:rPr>
          <w:lang w:eastAsia="cs-CZ"/>
        </w:rPr>
        <w:t>Shrnutí</w:t>
      </w:r>
      <w:bookmarkEnd w:id="917"/>
    </w:p>
    <w:p w14:paraId="1FBE5BC8" w14:textId="77777777" w:rsidR="008430BD" w:rsidRPr="001C3EC8" w:rsidRDefault="008430BD" w:rsidP="00FE43FA">
      <w:pPr>
        <w:pStyle w:val="OdstavecASR"/>
        <w:keepNext/>
        <w:rPr>
          <w:b/>
          <w:bCs/>
          <w:color w:val="000000" w:themeColor="text1"/>
          <w:lang w:eastAsia="cs-CZ"/>
        </w:rPr>
      </w:pPr>
      <w:r w:rsidRPr="001C3EC8">
        <w:rPr>
          <w:b/>
          <w:bCs/>
          <w:color w:val="000000" w:themeColor="text1"/>
          <w:lang w:eastAsia="cs-CZ"/>
        </w:rPr>
        <w:t>Okresní soudy</w:t>
      </w:r>
    </w:p>
    <w:p w14:paraId="7EF6F76D" w14:textId="6C1EA655" w:rsidR="00B07E76" w:rsidRDefault="008430BD" w:rsidP="008430BD">
      <w:pPr>
        <w:rPr>
          <w:color w:val="000000" w:themeColor="text1"/>
          <w:lang w:eastAsia="cs-CZ"/>
        </w:rPr>
      </w:pPr>
      <w:r w:rsidRPr="001C3EC8">
        <w:rPr>
          <w:color w:val="000000" w:themeColor="text1"/>
          <w:lang w:eastAsia="cs-CZ"/>
        </w:rPr>
        <w:t xml:space="preserve">Počet soudců je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OS dlouhodobě stabilní. Nemění se ani velikost úseků</w:t>
      </w:r>
      <w:r w:rsidR="001D723D" w:rsidRPr="001C3EC8">
        <w:rPr>
          <w:color w:val="000000" w:themeColor="text1"/>
          <w:lang w:eastAsia="cs-CZ"/>
        </w:rPr>
        <w:t>,</w:t>
      </w:r>
      <w:r w:rsidRPr="001C3EC8">
        <w:rPr>
          <w:color w:val="000000" w:themeColor="text1"/>
          <w:lang w:eastAsia="cs-CZ"/>
        </w:rPr>
        <w:t xml:space="preserve"> ani zastoupení dle pohlaví.</w:t>
      </w:r>
    </w:p>
    <w:p w14:paraId="295FFD4B" w14:textId="5C7E593C" w:rsidR="008430BD" w:rsidRPr="001C3EC8" w:rsidRDefault="008430BD" w:rsidP="008430BD">
      <w:pPr>
        <w:rPr>
          <w:color w:val="000000" w:themeColor="text1"/>
          <w:lang w:eastAsia="cs-CZ"/>
        </w:rPr>
      </w:pPr>
      <w:r w:rsidRPr="001C3EC8">
        <w:rPr>
          <w:color w:val="000000" w:themeColor="text1"/>
          <w:lang w:eastAsia="cs-CZ"/>
        </w:rPr>
        <w:t xml:space="preserve">V civilní agendě došlo od roku 2013 (kdy asi byla situace nejhorší) k výraznému zlepšení. Došlo k razantnímu snížení v délkách řízení, dispozičním čase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počtech nevyřízených věcí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nedodělků. Problémy plynuly z velké variability mezi soudy. Mnoho soudů problémy nemělo, ale soudy v Jihomoravském </w:t>
      </w:r>
      <w:proofErr w:type="gramStart"/>
      <w:r w:rsidRPr="001C3EC8">
        <w:rPr>
          <w:color w:val="000000" w:themeColor="text1"/>
          <w:lang w:eastAsia="cs-CZ"/>
        </w:rPr>
        <w:t>kraji</w:t>
      </w:r>
      <w:proofErr w:type="gramEnd"/>
      <w:r w:rsidRPr="001C3EC8">
        <w:rPr>
          <w:color w:val="000000" w:themeColor="text1"/>
          <w:lang w:eastAsia="cs-CZ"/>
        </w:rPr>
        <w:t xml:space="preserve">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především v Severočeském kraji</w:t>
      </w:r>
      <w:r w:rsidR="00B927BD" w:rsidRPr="001C3EC8">
        <w:rPr>
          <w:color w:val="000000" w:themeColor="text1"/>
          <w:lang w:eastAsia="cs-CZ"/>
        </w:rPr>
        <w:t>,</w:t>
      </w:r>
      <w:r w:rsidRPr="001C3EC8">
        <w:rPr>
          <w:color w:val="000000" w:themeColor="text1"/>
          <w:lang w:eastAsia="cs-CZ"/>
        </w:rPr>
        <w:t xml:space="preserve"> vykazovaly značné problémy. Od roku 2013 se také velmi snížil nápad, což soudům samozřejmě pomohlo. Stále je ale co zlepšovat, neboť mezi soudy jsou </w:t>
      </w:r>
      <w:r w:rsidR="00B927BD" w:rsidRPr="001C3EC8">
        <w:rPr>
          <w:color w:val="000000" w:themeColor="text1"/>
          <w:lang w:eastAsia="cs-CZ"/>
        </w:rPr>
        <w:t xml:space="preserve">pořád </w:t>
      </w:r>
      <w:r w:rsidRPr="001C3EC8">
        <w:rPr>
          <w:color w:val="000000" w:themeColor="text1"/>
          <w:lang w:eastAsia="cs-CZ"/>
        </w:rPr>
        <w:t>nemalé rozdíly.</w:t>
      </w:r>
    </w:p>
    <w:p w14:paraId="6284EE2D" w14:textId="214366DA" w:rsidR="008430BD" w:rsidRPr="001C3EC8" w:rsidRDefault="008430BD" w:rsidP="008430BD">
      <w:pPr>
        <w:rPr>
          <w:color w:val="000000" w:themeColor="text1"/>
          <w:lang w:eastAsia="cs-CZ"/>
        </w:rPr>
      </w:pPr>
      <w:r w:rsidRPr="001C3EC8">
        <w:rPr>
          <w:color w:val="000000" w:themeColor="text1"/>
          <w:lang w:eastAsia="cs-CZ"/>
        </w:rPr>
        <w:t xml:space="preserve">Agenda elektronického platebního rozkazu byla vždy z hlediska délek řízení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vyřizování soudy jednoduchá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bezproblémová. Veškeré ukazatele jsou více či méně stabilní.</w:t>
      </w:r>
    </w:p>
    <w:p w14:paraId="1A10D88A" w14:textId="05EDD7C9" w:rsidR="00B07E76" w:rsidRDefault="008430BD" w:rsidP="008430BD">
      <w:pPr>
        <w:rPr>
          <w:color w:val="000000" w:themeColor="text1"/>
          <w:lang w:eastAsia="cs-CZ"/>
        </w:rPr>
      </w:pPr>
      <w:r w:rsidRPr="001C3EC8">
        <w:rPr>
          <w:color w:val="000000" w:themeColor="text1"/>
          <w:lang w:eastAsia="cs-CZ"/>
        </w:rPr>
        <w:t xml:space="preserve">V trestní agendě došlo rovněž ke zlepšení, </w:t>
      </w:r>
      <w:r w:rsidR="00021FDD" w:rsidRPr="001C3EC8">
        <w:rPr>
          <w:color w:val="000000" w:themeColor="text1"/>
          <w:lang w:eastAsia="cs-CZ"/>
        </w:rPr>
        <w:t>i</w:t>
      </w:r>
      <w:r w:rsidR="00021FDD">
        <w:rPr>
          <w:color w:val="000000" w:themeColor="text1"/>
          <w:lang w:eastAsia="cs-CZ"/>
        </w:rPr>
        <w:t> </w:t>
      </w:r>
      <w:r w:rsidRPr="001C3EC8">
        <w:rPr>
          <w:color w:val="000000" w:themeColor="text1"/>
          <w:lang w:eastAsia="cs-CZ"/>
        </w:rPr>
        <w:t xml:space="preserve">když méně patrnému než v agendě civilní. Délky řízení jsou celorepublikově stabilní, ale došlo ke snížení variability. Opět se tedy zlepšily některé problematické soudy. V počtu příchozích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nevyřízených věcí je patrný klesající trend od roku 2014. Nicméně v trestní agendě jsou soudy, které stále vykazují </w:t>
      </w:r>
      <w:r w:rsidR="00081D57" w:rsidRPr="001C3EC8">
        <w:rPr>
          <w:color w:val="000000" w:themeColor="text1"/>
          <w:lang w:eastAsia="cs-CZ"/>
        </w:rPr>
        <w:t xml:space="preserve">problémy, </w:t>
      </w:r>
      <w:r w:rsidR="00021FDD" w:rsidRPr="001C3EC8">
        <w:rPr>
          <w:color w:val="000000" w:themeColor="text1"/>
          <w:lang w:eastAsia="cs-CZ"/>
        </w:rPr>
        <w:t>a</w:t>
      </w:r>
      <w:r w:rsidR="00021FDD">
        <w:rPr>
          <w:color w:val="000000" w:themeColor="text1"/>
          <w:lang w:eastAsia="cs-CZ"/>
        </w:rPr>
        <w:t> </w:t>
      </w:r>
      <w:r w:rsidR="00081D57" w:rsidRPr="001C3EC8">
        <w:rPr>
          <w:color w:val="000000" w:themeColor="text1"/>
          <w:lang w:eastAsia="cs-CZ"/>
        </w:rPr>
        <w:t>situace</w:t>
      </w:r>
      <w:r w:rsidRPr="001C3EC8">
        <w:rPr>
          <w:color w:val="000000" w:themeColor="text1"/>
          <w:lang w:eastAsia="cs-CZ"/>
        </w:rPr>
        <w:t xml:space="preserve"> se tam příliš nezlepšuje. </w:t>
      </w:r>
      <w:r w:rsidR="00711F83" w:rsidRPr="001C3EC8">
        <w:rPr>
          <w:color w:val="000000" w:themeColor="text1"/>
          <w:lang w:eastAsia="cs-CZ"/>
        </w:rPr>
        <w:t>J</w:t>
      </w:r>
      <w:r w:rsidRPr="001C3EC8">
        <w:rPr>
          <w:color w:val="000000" w:themeColor="text1"/>
          <w:lang w:eastAsia="cs-CZ"/>
        </w:rPr>
        <w:t>e také třeba zmínit velký nárůst v počtu uložených peněžitých trestů v posledních letech.</w:t>
      </w:r>
    </w:p>
    <w:p w14:paraId="7AB217F3" w14:textId="042C1D07" w:rsidR="00B07E76" w:rsidRDefault="008430BD" w:rsidP="008430BD">
      <w:pPr>
        <w:rPr>
          <w:color w:val="000000" w:themeColor="text1"/>
        </w:rPr>
      </w:pPr>
      <w:r w:rsidRPr="001C3EC8">
        <w:rPr>
          <w:color w:val="000000" w:themeColor="text1"/>
        </w:rPr>
        <w:t xml:space="preserve">V opatrovnické agendě byla situace až do roku 2013 stabilní. </w:t>
      </w:r>
      <w:r w:rsidR="001D723D" w:rsidRPr="001C3EC8">
        <w:rPr>
          <w:color w:val="000000" w:themeColor="text1"/>
        </w:rPr>
        <w:t>V</w:t>
      </w:r>
      <w:r w:rsidRPr="001C3EC8">
        <w:rPr>
          <w:color w:val="000000" w:themeColor="text1"/>
        </w:rPr>
        <w:t xml:space="preserve"> roce 2014 </w:t>
      </w:r>
      <w:r w:rsidR="001D723D" w:rsidRPr="001C3EC8">
        <w:rPr>
          <w:color w:val="000000" w:themeColor="text1"/>
        </w:rPr>
        <w:t>však</w:t>
      </w:r>
      <w:r w:rsidRPr="001C3EC8">
        <w:rPr>
          <w:color w:val="000000" w:themeColor="text1"/>
        </w:rPr>
        <w:t xml:space="preserve"> nabyl účinnosti </w:t>
      </w:r>
      <w:r w:rsidR="004D00E2">
        <w:rPr>
          <w:color w:val="000000" w:themeColor="text1"/>
        </w:rPr>
        <w:t>nový</w:t>
      </w:r>
      <w:r w:rsidR="001E16FD">
        <w:rPr>
          <w:color w:val="000000" w:themeColor="text1"/>
        </w:rPr>
        <w:t xml:space="preserve"> občanský zákoník (</w:t>
      </w:r>
      <w:r w:rsidRPr="001C3EC8">
        <w:rPr>
          <w:color w:val="000000" w:themeColor="text1"/>
        </w:rPr>
        <w:t>zákon č. 89/2012 Sb.</w:t>
      </w:r>
      <w:r w:rsidR="001E16FD">
        <w:rPr>
          <w:color w:val="000000" w:themeColor="text1"/>
        </w:rPr>
        <w:t>)</w:t>
      </w:r>
      <w:r w:rsidRPr="001C3EC8">
        <w:rPr>
          <w:color w:val="000000" w:themeColor="text1"/>
        </w:rPr>
        <w:t xml:space="preserve">, což vedlo k růstu nápadu, délek řízení </w:t>
      </w:r>
      <w:r w:rsidR="00021FDD" w:rsidRPr="001C3EC8">
        <w:rPr>
          <w:color w:val="000000" w:themeColor="text1"/>
        </w:rPr>
        <w:t>a</w:t>
      </w:r>
      <w:r w:rsidR="00021FDD">
        <w:rPr>
          <w:color w:val="000000" w:themeColor="text1"/>
        </w:rPr>
        <w:t> </w:t>
      </w:r>
      <w:r w:rsidRPr="001C3EC8">
        <w:rPr>
          <w:color w:val="000000" w:themeColor="text1"/>
        </w:rPr>
        <w:t xml:space="preserve">počtu nevyřízených věcí. Od roku 2016 se pak počty nevyřízených začaly vracet do stavu před nabytím účinnosti zákona č. 89/2012 Sb. Délky řízení začaly klesat </w:t>
      </w:r>
      <w:r w:rsidR="00021FDD" w:rsidRPr="001C3EC8">
        <w:rPr>
          <w:color w:val="000000" w:themeColor="text1"/>
        </w:rPr>
        <w:t>o</w:t>
      </w:r>
      <w:r w:rsidR="00021FDD">
        <w:rPr>
          <w:color w:val="000000" w:themeColor="text1"/>
        </w:rPr>
        <w:t> </w:t>
      </w:r>
      <w:r w:rsidRPr="001C3EC8">
        <w:rPr>
          <w:color w:val="000000" w:themeColor="text1"/>
        </w:rPr>
        <w:t>rok později. Nápad zřejmě již trvale zůstane vyšší.</w:t>
      </w:r>
    </w:p>
    <w:p w14:paraId="4CCBA3C7" w14:textId="0445FFB9" w:rsidR="00B07E76" w:rsidRDefault="008430BD" w:rsidP="008430BD">
      <w:pPr>
        <w:rPr>
          <w:color w:val="000000" w:themeColor="text1"/>
        </w:rPr>
      </w:pPr>
      <w:r w:rsidRPr="001C3EC8">
        <w:rPr>
          <w:color w:val="000000" w:themeColor="text1"/>
        </w:rPr>
        <w:t xml:space="preserve">Celkově lze říct, že se situace </w:t>
      </w:r>
      <w:r w:rsidR="00021FDD" w:rsidRPr="001C3EC8">
        <w:rPr>
          <w:color w:val="000000" w:themeColor="text1"/>
        </w:rPr>
        <w:t>u</w:t>
      </w:r>
      <w:r w:rsidR="00021FDD">
        <w:rPr>
          <w:color w:val="000000" w:themeColor="text1"/>
        </w:rPr>
        <w:t> </w:t>
      </w:r>
      <w:r w:rsidRPr="001C3EC8">
        <w:rPr>
          <w:color w:val="000000" w:themeColor="text1"/>
        </w:rPr>
        <w:t>okresních soudů (</w:t>
      </w:r>
      <w:r w:rsidR="00021FDD" w:rsidRPr="001C3EC8">
        <w:rPr>
          <w:color w:val="000000" w:themeColor="text1"/>
        </w:rPr>
        <w:t>z</w:t>
      </w:r>
      <w:r w:rsidR="00021FDD">
        <w:rPr>
          <w:color w:val="000000" w:themeColor="text1"/>
        </w:rPr>
        <w:t> </w:t>
      </w:r>
      <w:r w:rsidRPr="001C3EC8">
        <w:rPr>
          <w:color w:val="000000" w:themeColor="text1"/>
        </w:rPr>
        <w:t xml:space="preserve">hlediska délek řízení </w:t>
      </w:r>
      <w:r w:rsidR="00021FDD" w:rsidRPr="001C3EC8">
        <w:rPr>
          <w:color w:val="000000" w:themeColor="text1"/>
        </w:rPr>
        <w:t>a</w:t>
      </w:r>
      <w:r w:rsidR="00021FDD">
        <w:rPr>
          <w:color w:val="000000" w:themeColor="text1"/>
        </w:rPr>
        <w:t> </w:t>
      </w:r>
      <w:r w:rsidRPr="001C3EC8">
        <w:rPr>
          <w:color w:val="000000" w:themeColor="text1"/>
        </w:rPr>
        <w:t xml:space="preserve">zatíženosti soudů) za posledních </w:t>
      </w:r>
      <w:r w:rsidR="00021FDD" w:rsidRPr="001C3EC8">
        <w:rPr>
          <w:color w:val="000000" w:themeColor="text1"/>
        </w:rPr>
        <w:t>7</w:t>
      </w:r>
      <w:r w:rsidR="00021FDD">
        <w:rPr>
          <w:color w:val="000000" w:themeColor="text1"/>
        </w:rPr>
        <w:t> </w:t>
      </w:r>
      <w:r w:rsidRPr="001C3EC8">
        <w:rPr>
          <w:color w:val="000000" w:themeColor="text1"/>
        </w:rPr>
        <w:t xml:space="preserve">let výrazně zlepšila, především pak v Severočeském kraji. Stále jsou ale soudy, které mají potíže s vyřizováním agend </w:t>
      </w:r>
      <w:r w:rsidR="00021FDD" w:rsidRPr="001C3EC8">
        <w:rPr>
          <w:color w:val="000000" w:themeColor="text1"/>
        </w:rPr>
        <w:t>a</w:t>
      </w:r>
      <w:r w:rsidR="00021FDD">
        <w:rPr>
          <w:color w:val="000000" w:themeColor="text1"/>
        </w:rPr>
        <w:t> </w:t>
      </w:r>
      <w:r w:rsidRPr="001C3EC8">
        <w:rPr>
          <w:color w:val="000000" w:themeColor="text1"/>
        </w:rPr>
        <w:t>je stále prostor pro zlepšení.</w:t>
      </w:r>
    </w:p>
    <w:p w14:paraId="7F89298A" w14:textId="2CE2216B" w:rsidR="008430BD" w:rsidRPr="001C3EC8" w:rsidRDefault="008430BD" w:rsidP="008430BD">
      <w:pPr>
        <w:rPr>
          <w:color w:val="000000" w:themeColor="text1"/>
        </w:rPr>
      </w:pPr>
      <w:r w:rsidRPr="001C3EC8">
        <w:rPr>
          <w:color w:val="000000" w:themeColor="text1"/>
        </w:rPr>
        <w:t xml:space="preserve">Je také třeba zmínit vliv pandemie </w:t>
      </w:r>
      <w:r w:rsidR="000C3B1E">
        <w:rPr>
          <w:color w:val="000000" w:themeColor="text1"/>
        </w:rPr>
        <w:t>COVID</w:t>
      </w:r>
      <w:r w:rsidR="000C3B1E">
        <w:rPr>
          <w:color w:val="000000" w:themeColor="text1"/>
        </w:rPr>
        <w:noBreakHyphen/>
        <w:t>19</w:t>
      </w:r>
      <w:r w:rsidRPr="001C3EC8">
        <w:rPr>
          <w:color w:val="000000" w:themeColor="text1"/>
        </w:rPr>
        <w:t xml:space="preserve">. Tato pandemie </w:t>
      </w:r>
      <w:r w:rsidR="00021FDD" w:rsidRPr="001C3EC8">
        <w:rPr>
          <w:color w:val="000000" w:themeColor="text1"/>
        </w:rPr>
        <w:t>a</w:t>
      </w:r>
      <w:r w:rsidR="00021FDD">
        <w:rPr>
          <w:color w:val="000000" w:themeColor="text1"/>
        </w:rPr>
        <w:t> </w:t>
      </w:r>
      <w:r w:rsidR="00021FDD" w:rsidRPr="001C3EC8">
        <w:rPr>
          <w:color w:val="000000" w:themeColor="text1"/>
        </w:rPr>
        <w:t>s</w:t>
      </w:r>
      <w:r w:rsidR="00021FDD">
        <w:rPr>
          <w:color w:val="000000" w:themeColor="text1"/>
        </w:rPr>
        <w:t> </w:t>
      </w:r>
      <w:r w:rsidRPr="001C3EC8">
        <w:rPr>
          <w:color w:val="000000" w:themeColor="text1"/>
        </w:rPr>
        <w:t>ní související opatření měla rovněž dopad na okresní soudy. Ve většině agend došlo k výraznému poklesu v nápadu. Pandemie také soudů</w:t>
      </w:r>
      <w:r w:rsidR="00711F83" w:rsidRPr="001C3EC8">
        <w:rPr>
          <w:color w:val="000000" w:themeColor="text1"/>
        </w:rPr>
        <w:t>m</w:t>
      </w:r>
      <w:r w:rsidRPr="001C3EC8">
        <w:rPr>
          <w:color w:val="000000" w:themeColor="text1"/>
        </w:rPr>
        <w:t xml:space="preserve"> ztížila práci, nicméně </w:t>
      </w:r>
      <w:r w:rsidR="00CA7D8F" w:rsidRPr="001C3EC8">
        <w:rPr>
          <w:color w:val="000000" w:themeColor="text1"/>
        </w:rPr>
        <w:t>do statistik</w:t>
      </w:r>
      <w:r w:rsidRPr="001C3EC8">
        <w:rPr>
          <w:color w:val="000000" w:themeColor="text1"/>
        </w:rPr>
        <w:t xml:space="preserve"> vyřizování věcí </w:t>
      </w:r>
      <w:r w:rsidR="00021FDD" w:rsidRPr="001C3EC8">
        <w:rPr>
          <w:color w:val="000000" w:themeColor="text1"/>
        </w:rPr>
        <w:t>a</w:t>
      </w:r>
      <w:r w:rsidR="00021FDD">
        <w:rPr>
          <w:color w:val="000000" w:themeColor="text1"/>
        </w:rPr>
        <w:t> </w:t>
      </w:r>
      <w:r w:rsidR="00711F83" w:rsidRPr="001C3EC8">
        <w:rPr>
          <w:color w:val="000000" w:themeColor="text1"/>
        </w:rPr>
        <w:t>délek</w:t>
      </w:r>
      <w:r w:rsidRPr="001C3EC8">
        <w:rPr>
          <w:color w:val="000000" w:themeColor="text1"/>
        </w:rPr>
        <w:t xml:space="preserve"> řízení se to příliš nepromítlo</w:t>
      </w:r>
      <w:r w:rsidR="001D723D" w:rsidRPr="001C3EC8">
        <w:rPr>
          <w:color w:val="000000" w:themeColor="text1"/>
        </w:rPr>
        <w:t xml:space="preserve">, snad </w:t>
      </w:r>
      <w:r w:rsidR="00021FDD" w:rsidRPr="001C3EC8">
        <w:rPr>
          <w:color w:val="000000" w:themeColor="text1"/>
        </w:rPr>
        <w:t>s</w:t>
      </w:r>
      <w:r w:rsidR="00021FDD">
        <w:rPr>
          <w:color w:val="000000" w:themeColor="text1"/>
        </w:rPr>
        <w:t> </w:t>
      </w:r>
      <w:r w:rsidR="001D723D" w:rsidRPr="001C3EC8">
        <w:rPr>
          <w:color w:val="000000" w:themeColor="text1"/>
        </w:rPr>
        <w:t>výjimkou</w:t>
      </w:r>
      <w:r w:rsidRPr="001C3EC8">
        <w:rPr>
          <w:color w:val="000000" w:themeColor="text1"/>
        </w:rPr>
        <w:t> rejstříku C.</w:t>
      </w:r>
    </w:p>
    <w:p w14:paraId="4C0B9A9A" w14:textId="77777777" w:rsidR="008430BD" w:rsidRPr="001C3EC8" w:rsidRDefault="008430BD" w:rsidP="00FE43FA">
      <w:pPr>
        <w:pStyle w:val="OdstavecASR"/>
        <w:keepNext/>
        <w:rPr>
          <w:b/>
          <w:bCs/>
          <w:color w:val="000000" w:themeColor="text1"/>
          <w:lang w:eastAsia="cs-CZ"/>
        </w:rPr>
      </w:pPr>
      <w:r w:rsidRPr="001C3EC8">
        <w:rPr>
          <w:b/>
          <w:bCs/>
          <w:color w:val="000000" w:themeColor="text1"/>
          <w:lang w:eastAsia="cs-CZ"/>
        </w:rPr>
        <w:t>Krajské soudy</w:t>
      </w:r>
    </w:p>
    <w:p w14:paraId="0DA8144C" w14:textId="65C3406E" w:rsidR="00B07E76" w:rsidRDefault="008430BD" w:rsidP="008430BD">
      <w:pPr>
        <w:rPr>
          <w:color w:val="000000" w:themeColor="text1"/>
          <w:lang w:eastAsia="cs-CZ"/>
        </w:rPr>
      </w:pPr>
      <w:r w:rsidRPr="001C3EC8">
        <w:rPr>
          <w:color w:val="000000" w:themeColor="text1"/>
          <w:lang w:eastAsia="cs-CZ"/>
        </w:rPr>
        <w:t xml:space="preserve">Počet soudců je </w:t>
      </w:r>
      <w:r w:rsidR="00021FDD" w:rsidRPr="001C3EC8">
        <w:rPr>
          <w:color w:val="000000" w:themeColor="text1"/>
          <w:lang w:eastAsia="cs-CZ"/>
        </w:rPr>
        <w:t>u</w:t>
      </w:r>
      <w:r w:rsidR="00021FDD">
        <w:rPr>
          <w:color w:val="000000" w:themeColor="text1"/>
          <w:lang w:eastAsia="cs-CZ"/>
        </w:rPr>
        <w:t> </w:t>
      </w:r>
      <w:r w:rsidRPr="001C3EC8">
        <w:rPr>
          <w:color w:val="000000" w:themeColor="text1"/>
          <w:lang w:eastAsia="cs-CZ"/>
        </w:rPr>
        <w:t>KS dlouhodobě stabilní. Nemění se ani velikost úseků, ale stoupá podíl mužů mezi soudci. Soudy mají dlouhodobě nižší evidenční počet soudců, než je plán.</w:t>
      </w:r>
    </w:p>
    <w:p w14:paraId="41ED8D0D" w14:textId="002AA43D" w:rsidR="00B07E76" w:rsidRDefault="008430BD" w:rsidP="008430BD">
      <w:pPr>
        <w:rPr>
          <w:color w:val="000000" w:themeColor="text1"/>
        </w:rPr>
      </w:pPr>
      <w:r w:rsidRPr="001C3EC8">
        <w:rPr>
          <w:color w:val="000000" w:themeColor="text1"/>
          <w:lang w:eastAsia="cs-CZ"/>
        </w:rPr>
        <w:t xml:space="preserve">V prvostupňové civilní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obchodní agendě velmi prudce klesl nápad, což se projevilo pokles</w:t>
      </w:r>
      <w:r w:rsidR="00FE43FA" w:rsidRPr="001C3EC8">
        <w:rPr>
          <w:color w:val="000000" w:themeColor="text1"/>
          <w:lang w:eastAsia="cs-CZ"/>
        </w:rPr>
        <w:t>em</w:t>
      </w:r>
      <w:r w:rsidRPr="001C3EC8">
        <w:rPr>
          <w:color w:val="000000" w:themeColor="text1"/>
          <w:lang w:eastAsia="cs-CZ"/>
        </w:rPr>
        <w:t> počtu nevyřízených věcí</w:t>
      </w:r>
      <w:r w:rsidR="001D723D" w:rsidRPr="001C3EC8">
        <w:rPr>
          <w:color w:val="000000" w:themeColor="text1"/>
          <w:lang w:eastAsia="cs-CZ"/>
        </w:rPr>
        <w:t>. To</w:t>
      </w:r>
      <w:r w:rsidRPr="001C3EC8">
        <w:rPr>
          <w:color w:val="000000" w:themeColor="text1"/>
          <w:lang w:eastAsia="cs-CZ"/>
        </w:rPr>
        <w:t xml:space="preserve"> lze označit za pozitivní zprávu. </w:t>
      </w:r>
      <w:r w:rsidR="001D723D" w:rsidRPr="001C3EC8">
        <w:rPr>
          <w:color w:val="000000" w:themeColor="text1"/>
          <w:lang w:eastAsia="cs-CZ"/>
        </w:rPr>
        <w:t xml:space="preserve">Pokles </w:t>
      </w:r>
      <w:r w:rsidRPr="001C3EC8">
        <w:rPr>
          <w:color w:val="000000" w:themeColor="text1"/>
          <w:lang w:eastAsia="cs-CZ"/>
        </w:rPr>
        <w:t xml:space="preserve">se ale nepromítl do délek řízení především kvůli tomu, že je </w:t>
      </w:r>
      <w:r w:rsidRPr="001C3EC8">
        <w:rPr>
          <w:color w:val="000000" w:themeColor="text1"/>
        </w:rPr>
        <w:t xml:space="preserve">velká část věcí přerušena z důvodu </w:t>
      </w:r>
      <w:r w:rsidR="00A46239" w:rsidRPr="001C3EC8">
        <w:rPr>
          <w:color w:val="000000" w:themeColor="text1"/>
        </w:rPr>
        <w:t xml:space="preserve">rozhodnutí </w:t>
      </w:r>
      <w:r w:rsidR="00021FDD" w:rsidRPr="001C3EC8">
        <w:rPr>
          <w:color w:val="000000" w:themeColor="text1"/>
        </w:rPr>
        <w:t>o</w:t>
      </w:r>
      <w:r w:rsidR="00021FDD">
        <w:rPr>
          <w:color w:val="000000" w:themeColor="text1"/>
        </w:rPr>
        <w:t> </w:t>
      </w:r>
      <w:r w:rsidR="00A46239" w:rsidRPr="001C3EC8">
        <w:rPr>
          <w:color w:val="000000" w:themeColor="text1"/>
        </w:rPr>
        <w:t xml:space="preserve">úpadku </w:t>
      </w:r>
      <w:r w:rsidRPr="001C3EC8">
        <w:rPr>
          <w:color w:val="000000" w:themeColor="text1"/>
        </w:rPr>
        <w:lastRenderedPageBreak/>
        <w:t xml:space="preserve">či konkursu. </w:t>
      </w:r>
      <w:r w:rsidR="001D723D" w:rsidRPr="001C3EC8">
        <w:rPr>
          <w:color w:val="000000" w:themeColor="text1"/>
        </w:rPr>
        <w:t>Přerušené</w:t>
      </w:r>
      <w:r w:rsidRPr="001C3EC8">
        <w:rPr>
          <w:color w:val="000000" w:themeColor="text1"/>
        </w:rPr>
        <w:t xml:space="preserve"> věci se promít</w:t>
      </w:r>
      <w:r w:rsidR="001D723D" w:rsidRPr="001C3EC8">
        <w:rPr>
          <w:color w:val="000000" w:themeColor="text1"/>
        </w:rPr>
        <w:t>ají</w:t>
      </w:r>
      <w:r w:rsidRPr="001C3EC8">
        <w:rPr>
          <w:color w:val="000000" w:themeColor="text1"/>
        </w:rPr>
        <w:t xml:space="preserve"> do statistik </w:t>
      </w:r>
      <w:r w:rsidR="00021FDD" w:rsidRPr="001C3EC8">
        <w:rPr>
          <w:color w:val="000000" w:themeColor="text1"/>
        </w:rPr>
        <w:t>a</w:t>
      </w:r>
      <w:r w:rsidR="00021FDD">
        <w:rPr>
          <w:color w:val="000000" w:themeColor="text1"/>
        </w:rPr>
        <w:t> </w:t>
      </w:r>
      <w:r w:rsidR="001D723D" w:rsidRPr="001C3EC8">
        <w:rPr>
          <w:color w:val="000000" w:themeColor="text1"/>
        </w:rPr>
        <w:t xml:space="preserve">dochází </w:t>
      </w:r>
      <w:r w:rsidRPr="001C3EC8">
        <w:rPr>
          <w:color w:val="000000" w:themeColor="text1"/>
        </w:rPr>
        <w:t>tak ke zvýšení vykázaných délek řízení.</w:t>
      </w:r>
    </w:p>
    <w:p w14:paraId="154EB01A" w14:textId="15C6562D" w:rsidR="008430BD" w:rsidRPr="001C3EC8" w:rsidRDefault="008430BD" w:rsidP="008430BD">
      <w:pPr>
        <w:rPr>
          <w:color w:val="000000" w:themeColor="text1"/>
        </w:rPr>
      </w:pPr>
      <w:r w:rsidRPr="001C3EC8">
        <w:rPr>
          <w:color w:val="000000" w:themeColor="text1"/>
        </w:rPr>
        <w:t xml:space="preserve">V civilní odvolací agendě došlo rovněž k poklesu v nápadu, což plyne z poklesu v nápadu u okresních soudů. To vyústilo v pokles počtu nevyřízených věcí. Délky řízení jsou zde nicméně stabilní. Jsou také poměrně nízké </w:t>
      </w:r>
      <w:r w:rsidR="00021FDD" w:rsidRPr="001C3EC8">
        <w:rPr>
          <w:color w:val="000000" w:themeColor="text1"/>
        </w:rPr>
        <w:t>a</w:t>
      </w:r>
      <w:r w:rsidR="00021FDD">
        <w:rPr>
          <w:color w:val="000000" w:themeColor="text1"/>
        </w:rPr>
        <w:t> </w:t>
      </w:r>
      <w:r w:rsidRPr="001C3EC8">
        <w:rPr>
          <w:color w:val="000000" w:themeColor="text1"/>
        </w:rPr>
        <w:t>v porovnání s prvostupňovou agendou</w:t>
      </w:r>
      <w:r w:rsidR="00CD0B05" w:rsidRPr="001C3EC8">
        <w:rPr>
          <w:color w:val="000000" w:themeColor="text1"/>
        </w:rPr>
        <w:t>.</w:t>
      </w:r>
      <w:r w:rsidRPr="001C3EC8">
        <w:rPr>
          <w:color w:val="000000" w:themeColor="text1"/>
        </w:rPr>
        <w:t xml:space="preserve"> </w:t>
      </w:r>
      <w:r w:rsidR="00CD0B05" w:rsidRPr="001C3EC8">
        <w:rPr>
          <w:color w:val="000000" w:themeColor="text1"/>
        </w:rPr>
        <w:t>T</w:t>
      </w:r>
      <w:r w:rsidRPr="001C3EC8">
        <w:rPr>
          <w:color w:val="000000" w:themeColor="text1"/>
        </w:rPr>
        <w:t>uto agendu lze označit za celkem bezproblémovou</w:t>
      </w:r>
      <w:r w:rsidR="00CD0B05" w:rsidRPr="001C3EC8">
        <w:rPr>
          <w:color w:val="000000" w:themeColor="text1"/>
        </w:rPr>
        <w:t>, byť</w:t>
      </w:r>
      <w:r w:rsidRPr="001C3EC8">
        <w:rPr>
          <w:color w:val="000000" w:themeColor="text1"/>
        </w:rPr>
        <w:t xml:space="preserve"> jsou </w:t>
      </w:r>
      <w:r w:rsidR="00021FDD" w:rsidRPr="001C3EC8">
        <w:rPr>
          <w:color w:val="000000" w:themeColor="text1"/>
        </w:rPr>
        <w:t>i</w:t>
      </w:r>
      <w:r w:rsidR="00021FDD">
        <w:rPr>
          <w:color w:val="000000" w:themeColor="text1"/>
        </w:rPr>
        <w:t> </w:t>
      </w:r>
      <w:r w:rsidRPr="001C3EC8">
        <w:rPr>
          <w:color w:val="000000" w:themeColor="text1"/>
        </w:rPr>
        <w:t>zde přítomn</w:t>
      </w:r>
      <w:r w:rsidR="00CD0B05" w:rsidRPr="001C3EC8">
        <w:rPr>
          <w:color w:val="000000" w:themeColor="text1"/>
        </w:rPr>
        <w:t>y</w:t>
      </w:r>
      <w:r w:rsidRPr="001C3EC8">
        <w:rPr>
          <w:color w:val="000000" w:themeColor="text1"/>
        </w:rPr>
        <w:t xml:space="preserve"> určité rozdíly mezi soudy. V roce 2020 vzrostla délka řízení </w:t>
      </w:r>
      <w:r w:rsidR="00021FDD" w:rsidRPr="001C3EC8">
        <w:rPr>
          <w:color w:val="000000" w:themeColor="text1"/>
        </w:rPr>
        <w:t>a</w:t>
      </w:r>
      <w:r w:rsidR="00021FDD">
        <w:rPr>
          <w:color w:val="000000" w:themeColor="text1"/>
        </w:rPr>
        <w:t> </w:t>
      </w:r>
      <w:r w:rsidRPr="001C3EC8">
        <w:rPr>
          <w:color w:val="000000" w:themeColor="text1"/>
        </w:rPr>
        <w:t xml:space="preserve">počet nevyřízených věcí, což může souviset s pandemií onemocnění </w:t>
      </w:r>
      <w:r w:rsidR="000C3B1E">
        <w:rPr>
          <w:color w:val="000000" w:themeColor="text1"/>
        </w:rPr>
        <w:t>COVID</w:t>
      </w:r>
      <w:r w:rsidR="000C3B1E">
        <w:rPr>
          <w:color w:val="000000" w:themeColor="text1"/>
        </w:rPr>
        <w:noBreakHyphen/>
        <w:t>19</w:t>
      </w:r>
      <w:r w:rsidRPr="001C3EC8">
        <w:rPr>
          <w:color w:val="000000" w:themeColor="text1"/>
        </w:rPr>
        <w:t>.</w:t>
      </w:r>
    </w:p>
    <w:p w14:paraId="06C68C85" w14:textId="6B8A1B88" w:rsidR="008430BD" w:rsidRPr="001C3EC8" w:rsidRDefault="008430BD" w:rsidP="008430BD">
      <w:pPr>
        <w:rPr>
          <w:color w:val="000000" w:themeColor="text1"/>
        </w:rPr>
      </w:pPr>
      <w:r w:rsidRPr="001C3EC8">
        <w:rPr>
          <w:color w:val="000000" w:themeColor="text1"/>
        </w:rPr>
        <w:t xml:space="preserve">Statistické sledování prvostupňové trestní agendy </w:t>
      </w:r>
      <w:r w:rsidR="00CD0B05" w:rsidRPr="001C3EC8">
        <w:rPr>
          <w:color w:val="000000" w:themeColor="text1"/>
        </w:rPr>
        <w:t>z</w:t>
      </w:r>
      <w:r w:rsidRPr="001C3EC8">
        <w:rPr>
          <w:color w:val="000000" w:themeColor="text1"/>
        </w:rPr>
        <w:t xml:space="preserve">těžuje to, že se jedná </w:t>
      </w:r>
      <w:r w:rsidR="00021FDD" w:rsidRPr="001C3EC8">
        <w:rPr>
          <w:color w:val="000000" w:themeColor="text1"/>
        </w:rPr>
        <w:t>o</w:t>
      </w:r>
      <w:r w:rsidR="00021FDD">
        <w:rPr>
          <w:color w:val="000000" w:themeColor="text1"/>
        </w:rPr>
        <w:t> </w:t>
      </w:r>
      <w:r w:rsidRPr="001C3EC8">
        <w:rPr>
          <w:color w:val="000000" w:themeColor="text1"/>
        </w:rPr>
        <w:t xml:space="preserve">malou agendu z hlediska počtu věcí, </w:t>
      </w:r>
      <w:r w:rsidR="00CD0B05" w:rsidRPr="001C3EC8">
        <w:rPr>
          <w:color w:val="000000" w:themeColor="text1"/>
        </w:rPr>
        <w:t>což</w:t>
      </w:r>
      <w:r w:rsidRPr="001C3EC8">
        <w:rPr>
          <w:color w:val="000000" w:themeColor="text1"/>
        </w:rPr>
        <w:t xml:space="preserve"> znamená malý počet pozorování, a tedy velkou variabilitu dat</w:t>
      </w:r>
      <w:r w:rsidR="00711F83" w:rsidRPr="001C3EC8">
        <w:rPr>
          <w:color w:val="000000" w:themeColor="text1"/>
        </w:rPr>
        <w:t>.</w:t>
      </w:r>
      <w:r w:rsidRPr="001C3EC8">
        <w:rPr>
          <w:color w:val="000000" w:themeColor="text1"/>
        </w:rPr>
        <w:t xml:space="preserve"> Některé soudy vykazují v této agendě určité problémy, dlouhodobě ale lze situaci označit za stabilní, </w:t>
      </w:r>
      <w:r w:rsidR="00021FDD" w:rsidRPr="001C3EC8">
        <w:rPr>
          <w:color w:val="000000" w:themeColor="text1"/>
        </w:rPr>
        <w:t>i</w:t>
      </w:r>
      <w:r w:rsidR="00021FDD">
        <w:rPr>
          <w:color w:val="000000" w:themeColor="text1"/>
        </w:rPr>
        <w:t> </w:t>
      </w:r>
      <w:r w:rsidRPr="001C3EC8">
        <w:rPr>
          <w:color w:val="000000" w:themeColor="text1"/>
        </w:rPr>
        <w:t>když s určitými výkyvy. Je třeba přiznat, že se zde situace ze statistického hlediska nevylepšila.</w:t>
      </w:r>
    </w:p>
    <w:p w14:paraId="0A099134" w14:textId="4F209239" w:rsidR="008430BD" w:rsidRPr="001C3EC8" w:rsidRDefault="008430BD" w:rsidP="008430BD">
      <w:pPr>
        <w:rPr>
          <w:color w:val="000000" w:themeColor="text1"/>
        </w:rPr>
      </w:pPr>
      <w:r w:rsidRPr="001C3EC8">
        <w:rPr>
          <w:color w:val="000000" w:themeColor="text1"/>
        </w:rPr>
        <w:t xml:space="preserve">Trestní odvolací agenda je z dlouhodobého hlediska bezproblémová – nízké délky řízení </w:t>
      </w:r>
      <w:r w:rsidR="00021FDD" w:rsidRPr="001C3EC8">
        <w:rPr>
          <w:color w:val="000000" w:themeColor="text1"/>
        </w:rPr>
        <w:t>a</w:t>
      </w:r>
      <w:r w:rsidR="00021FDD">
        <w:rPr>
          <w:color w:val="000000" w:themeColor="text1"/>
        </w:rPr>
        <w:t> </w:t>
      </w:r>
      <w:r w:rsidRPr="001C3EC8">
        <w:rPr>
          <w:color w:val="000000" w:themeColor="text1"/>
        </w:rPr>
        <w:t>DT</w:t>
      </w:r>
      <w:r w:rsidR="001E16FD">
        <w:rPr>
          <w:color w:val="000000" w:themeColor="text1"/>
        </w:rPr>
        <w:t xml:space="preserve"> (</w:t>
      </w:r>
      <w:proofErr w:type="spellStart"/>
      <w:r w:rsidR="001E16FD">
        <w:rPr>
          <w:color w:val="000000" w:themeColor="text1"/>
        </w:rPr>
        <w:t>disposition</w:t>
      </w:r>
      <w:proofErr w:type="spellEnd"/>
      <w:r w:rsidR="001E16FD">
        <w:rPr>
          <w:color w:val="000000" w:themeColor="text1"/>
        </w:rPr>
        <w:t xml:space="preserve"> </w:t>
      </w:r>
      <w:proofErr w:type="spellStart"/>
      <w:r w:rsidR="001E16FD">
        <w:rPr>
          <w:color w:val="000000" w:themeColor="text1"/>
        </w:rPr>
        <w:t>time</w:t>
      </w:r>
      <w:proofErr w:type="spellEnd"/>
      <w:r w:rsidR="001E16FD">
        <w:rPr>
          <w:color w:val="000000" w:themeColor="text1"/>
        </w:rPr>
        <w:t>)</w:t>
      </w:r>
      <w:r w:rsidRPr="001C3EC8">
        <w:rPr>
          <w:color w:val="000000" w:themeColor="text1"/>
        </w:rPr>
        <w:t xml:space="preserve">, málo nevyřízených věcí </w:t>
      </w:r>
      <w:r w:rsidR="00021FDD" w:rsidRPr="001C3EC8">
        <w:rPr>
          <w:color w:val="000000" w:themeColor="text1"/>
        </w:rPr>
        <w:t>a</w:t>
      </w:r>
      <w:r w:rsidR="00021FDD">
        <w:rPr>
          <w:color w:val="000000" w:themeColor="text1"/>
        </w:rPr>
        <w:t> </w:t>
      </w:r>
      <w:r w:rsidRPr="001C3EC8">
        <w:rPr>
          <w:color w:val="000000" w:themeColor="text1"/>
        </w:rPr>
        <w:t xml:space="preserve">nevelké rozdíly mezi soudy. V roce 2020 výrazně klesl nápad kvůli pandemii onemocnění </w:t>
      </w:r>
      <w:r w:rsidR="000C3B1E">
        <w:rPr>
          <w:color w:val="000000" w:themeColor="text1"/>
        </w:rPr>
        <w:t>COVID</w:t>
      </w:r>
      <w:r w:rsidR="000C3B1E">
        <w:rPr>
          <w:color w:val="000000" w:themeColor="text1"/>
        </w:rPr>
        <w:noBreakHyphen/>
        <w:t>19</w:t>
      </w:r>
      <w:r w:rsidRPr="001C3EC8">
        <w:rPr>
          <w:color w:val="000000" w:themeColor="text1"/>
        </w:rPr>
        <w:t>.</w:t>
      </w:r>
    </w:p>
    <w:p w14:paraId="2C1424ED" w14:textId="65BDFCF0" w:rsidR="008430BD" w:rsidRPr="001C3EC8" w:rsidRDefault="008430BD" w:rsidP="008430BD">
      <w:pPr>
        <w:rPr>
          <w:color w:val="000000" w:themeColor="text1"/>
        </w:rPr>
      </w:pPr>
      <w:r w:rsidRPr="001C3EC8">
        <w:rPr>
          <w:color w:val="000000" w:themeColor="text1"/>
        </w:rPr>
        <w:t>Správní agenda je ze statistického hlediska rozhodně nejproblematičtěj</w:t>
      </w:r>
      <w:r w:rsidR="00CD0B05" w:rsidRPr="001C3EC8">
        <w:rPr>
          <w:color w:val="000000" w:themeColor="text1"/>
        </w:rPr>
        <w:t>ší</w:t>
      </w:r>
      <w:r w:rsidRPr="001C3EC8">
        <w:rPr>
          <w:color w:val="000000" w:themeColor="text1"/>
        </w:rPr>
        <w:t xml:space="preserve"> agendou krajských soudů. Dlouhodobě </w:t>
      </w:r>
      <w:r w:rsidR="00F36AF7">
        <w:rPr>
          <w:color w:val="000000" w:themeColor="text1"/>
        </w:rPr>
        <w:t xml:space="preserve">se jedná </w:t>
      </w:r>
      <w:r w:rsidR="00021FDD">
        <w:rPr>
          <w:color w:val="000000" w:themeColor="text1"/>
        </w:rPr>
        <w:t>o </w:t>
      </w:r>
      <w:r w:rsidRPr="001C3EC8">
        <w:rPr>
          <w:color w:val="000000" w:themeColor="text1"/>
        </w:rPr>
        <w:t xml:space="preserve">vysoké délky řízení </w:t>
      </w:r>
      <w:r w:rsidR="00021FDD" w:rsidRPr="001C3EC8">
        <w:rPr>
          <w:color w:val="000000" w:themeColor="text1"/>
        </w:rPr>
        <w:t>a</w:t>
      </w:r>
      <w:r w:rsidR="00021FDD">
        <w:rPr>
          <w:color w:val="000000" w:themeColor="text1"/>
        </w:rPr>
        <w:t>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w:t>
      </w:r>
      <w:r w:rsidR="00021FDD" w:rsidRPr="001C3EC8">
        <w:rPr>
          <w:color w:val="000000" w:themeColor="text1"/>
        </w:rPr>
        <w:t>i</w:t>
      </w:r>
      <w:r w:rsidR="00021FDD">
        <w:rPr>
          <w:color w:val="000000" w:themeColor="text1"/>
        </w:rPr>
        <w:t> </w:t>
      </w:r>
      <w:r w:rsidRPr="001C3EC8">
        <w:rPr>
          <w:color w:val="000000" w:themeColor="text1"/>
        </w:rPr>
        <w:t xml:space="preserve">velké množství nevyřízených věcí na soudce. Až do roku 2018 prudce rostl nápad </w:t>
      </w:r>
      <w:r w:rsidR="00021FDD" w:rsidRPr="001C3EC8">
        <w:rPr>
          <w:color w:val="000000" w:themeColor="text1"/>
        </w:rPr>
        <w:t>a</w:t>
      </w:r>
      <w:r w:rsidR="00021FDD">
        <w:rPr>
          <w:color w:val="000000" w:themeColor="text1"/>
        </w:rPr>
        <w:t> </w:t>
      </w:r>
      <w:r w:rsidRPr="001C3EC8">
        <w:rPr>
          <w:color w:val="000000" w:themeColor="text1"/>
        </w:rPr>
        <w:t>počet nevyřízených věcí. V letech 2019 a</w:t>
      </w:r>
      <w:r w:rsidR="00F36AF7">
        <w:rPr>
          <w:color w:val="000000" w:themeColor="text1"/>
        </w:rPr>
        <w:t> </w:t>
      </w:r>
      <w:r w:rsidRPr="001C3EC8">
        <w:rPr>
          <w:color w:val="000000" w:themeColor="text1"/>
        </w:rPr>
        <w:t>2020 obojí razantně kleslo, což znamená</w:t>
      </w:r>
      <w:r w:rsidR="00FE43FA" w:rsidRPr="001C3EC8">
        <w:rPr>
          <w:color w:val="000000" w:themeColor="text1"/>
        </w:rPr>
        <w:t>,</w:t>
      </w:r>
      <w:r w:rsidRPr="001C3EC8">
        <w:rPr>
          <w:color w:val="000000" w:themeColor="text1"/>
        </w:rPr>
        <w:t xml:space="preserve"> že situace se začíná zlepšovat. Rovněž pomohlo posílení správních úseků krajských soudů. Stále se ale jedná </w:t>
      </w:r>
      <w:r w:rsidR="00021FDD" w:rsidRPr="001C3EC8">
        <w:rPr>
          <w:color w:val="000000" w:themeColor="text1"/>
        </w:rPr>
        <w:t>o</w:t>
      </w:r>
      <w:r w:rsidR="00021FDD">
        <w:rPr>
          <w:color w:val="000000" w:themeColor="text1"/>
        </w:rPr>
        <w:t> </w:t>
      </w:r>
      <w:r w:rsidRPr="001C3EC8">
        <w:rPr>
          <w:color w:val="000000" w:themeColor="text1"/>
        </w:rPr>
        <w:t xml:space="preserve">velmi problematickou agendu, zvlášť </w:t>
      </w:r>
      <w:r w:rsidR="00021FDD" w:rsidRPr="001C3EC8">
        <w:rPr>
          <w:color w:val="000000" w:themeColor="text1"/>
        </w:rPr>
        <w:t>u</w:t>
      </w:r>
      <w:r w:rsidR="00021FDD">
        <w:rPr>
          <w:color w:val="000000" w:themeColor="text1"/>
        </w:rPr>
        <w:t> </w:t>
      </w:r>
      <w:r w:rsidRPr="001C3EC8">
        <w:rPr>
          <w:color w:val="000000" w:themeColor="text1"/>
        </w:rPr>
        <w:t>některých soudů.</w:t>
      </w:r>
    </w:p>
    <w:p w14:paraId="7B30426B" w14:textId="5C391986" w:rsidR="00B07E76" w:rsidRDefault="008430BD" w:rsidP="008430BD">
      <w:pPr>
        <w:rPr>
          <w:color w:val="000000" w:themeColor="text1"/>
        </w:rPr>
      </w:pPr>
      <w:r w:rsidRPr="001C3EC8">
        <w:rPr>
          <w:color w:val="000000" w:themeColor="text1"/>
        </w:rPr>
        <w:t xml:space="preserve">Statistiky </w:t>
      </w:r>
      <w:r w:rsidR="00021FDD" w:rsidRPr="001C3EC8">
        <w:rPr>
          <w:color w:val="000000" w:themeColor="text1"/>
        </w:rPr>
        <w:t>o</w:t>
      </w:r>
      <w:r w:rsidR="00021FDD">
        <w:rPr>
          <w:color w:val="000000" w:themeColor="text1"/>
        </w:rPr>
        <w:t> </w:t>
      </w:r>
      <w:r w:rsidRPr="001C3EC8">
        <w:rPr>
          <w:color w:val="000000" w:themeColor="text1"/>
        </w:rPr>
        <w:t xml:space="preserve">insolvenční agendě jsou silně ovlivněny jejím charakterem </w:t>
      </w:r>
      <w:r w:rsidR="00021FDD" w:rsidRPr="001C3EC8">
        <w:rPr>
          <w:color w:val="000000" w:themeColor="text1"/>
        </w:rPr>
        <w:t>a</w:t>
      </w:r>
      <w:r w:rsidR="00021FDD">
        <w:rPr>
          <w:color w:val="000000" w:themeColor="text1"/>
        </w:rPr>
        <w:t> </w:t>
      </w:r>
      <w:r w:rsidRPr="001C3EC8">
        <w:rPr>
          <w:color w:val="000000" w:themeColor="text1"/>
        </w:rPr>
        <w:t xml:space="preserve">tím, že je relativně nová. Data ukazují, že soudy nemají problémy s rozhodováním </w:t>
      </w:r>
      <w:r w:rsidR="00021FDD" w:rsidRPr="001C3EC8">
        <w:rPr>
          <w:color w:val="000000" w:themeColor="text1"/>
        </w:rPr>
        <w:t>o</w:t>
      </w:r>
      <w:r w:rsidR="00021FDD">
        <w:rPr>
          <w:color w:val="000000" w:themeColor="text1"/>
        </w:rPr>
        <w:t> </w:t>
      </w:r>
      <w:r w:rsidRPr="001C3EC8">
        <w:rPr>
          <w:color w:val="000000" w:themeColor="text1"/>
        </w:rPr>
        <w:t>úpadku. Vyř</w:t>
      </w:r>
      <w:r w:rsidR="00FE43FA" w:rsidRPr="001C3EC8">
        <w:rPr>
          <w:color w:val="000000" w:themeColor="text1"/>
        </w:rPr>
        <w:t>i</w:t>
      </w:r>
      <w:r w:rsidRPr="001C3EC8">
        <w:rPr>
          <w:color w:val="000000" w:themeColor="text1"/>
        </w:rPr>
        <w:t>zování věcí a délky řízení pak plynou z charakteru agend</w:t>
      </w:r>
      <w:r w:rsidR="00FE43FA" w:rsidRPr="001C3EC8">
        <w:rPr>
          <w:color w:val="000000" w:themeColor="text1"/>
        </w:rPr>
        <w:t>y</w:t>
      </w:r>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soud na ně má jen omezený vliv. Až do roku 2013 nápad vykazoval jasný stoupající trend, pak začal klesat. Počet vyřízených věcí ho s několikaletým zpožděním následoval. Vývoj v agendě je také silně ovlivněn četnými novelizacemi insolvenčního zákona.</w:t>
      </w:r>
    </w:p>
    <w:p w14:paraId="5B08A7A7" w14:textId="21BE4A1C" w:rsidR="00B07E76" w:rsidRDefault="008430BD" w:rsidP="008430BD">
      <w:pPr>
        <w:rPr>
          <w:color w:val="000000" w:themeColor="text1"/>
        </w:rPr>
      </w:pPr>
      <w:r w:rsidRPr="001C3EC8">
        <w:rPr>
          <w:color w:val="000000" w:themeColor="text1"/>
        </w:rPr>
        <w:t xml:space="preserve">Incidenční spory </w:t>
      </w:r>
      <w:r w:rsidR="00CD0B05" w:rsidRPr="001C3EC8">
        <w:rPr>
          <w:color w:val="000000" w:themeColor="text1"/>
        </w:rPr>
        <w:t xml:space="preserve">jsou vyvolány </w:t>
      </w:r>
      <w:r w:rsidRPr="001C3EC8">
        <w:rPr>
          <w:color w:val="000000" w:themeColor="text1"/>
        </w:rPr>
        <w:t xml:space="preserve">insolvenčním řízením </w:t>
      </w:r>
      <w:r w:rsidR="00021FDD" w:rsidRPr="001C3EC8">
        <w:rPr>
          <w:color w:val="000000" w:themeColor="text1"/>
        </w:rPr>
        <w:t>a</w:t>
      </w:r>
      <w:r w:rsidR="00021FDD">
        <w:rPr>
          <w:color w:val="000000" w:themeColor="text1"/>
        </w:rPr>
        <w:t> </w:t>
      </w:r>
      <w:r w:rsidRPr="001C3EC8">
        <w:rPr>
          <w:color w:val="000000" w:themeColor="text1"/>
        </w:rPr>
        <w:t>projednáv</w:t>
      </w:r>
      <w:r w:rsidR="00CD0B05" w:rsidRPr="001C3EC8">
        <w:rPr>
          <w:color w:val="000000" w:themeColor="text1"/>
        </w:rPr>
        <w:t>á</w:t>
      </w:r>
      <w:r w:rsidRPr="001C3EC8">
        <w:rPr>
          <w:color w:val="000000" w:themeColor="text1"/>
        </w:rPr>
        <w:t>n</w:t>
      </w:r>
      <w:r w:rsidR="00CD0B05" w:rsidRPr="001C3EC8">
        <w:rPr>
          <w:color w:val="000000" w:themeColor="text1"/>
        </w:rPr>
        <w:t>y</w:t>
      </w:r>
      <w:r w:rsidRPr="001C3EC8">
        <w:rPr>
          <w:color w:val="000000" w:themeColor="text1"/>
        </w:rPr>
        <w:t xml:space="preserve"> v jeho rámci. Proto vývoj příchozích věcí s určitým zpožděním sleduje vývoj příchozích věcí v insolvenční agendě. Vysoké délky řízení, nemalý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 xml:space="preserve">značné množství nevyřízených věcí ukazuje, že se jedná o náročnou agendu. Dobré znamení je to, že většina ukazatelů v posledních letech alespoň mírně poklesla. Stále se ale jedná </w:t>
      </w:r>
      <w:r w:rsidR="00021FDD" w:rsidRPr="001C3EC8">
        <w:rPr>
          <w:color w:val="000000" w:themeColor="text1"/>
        </w:rPr>
        <w:t>o</w:t>
      </w:r>
      <w:r w:rsidR="00021FDD">
        <w:rPr>
          <w:color w:val="000000" w:themeColor="text1"/>
        </w:rPr>
        <w:t> </w:t>
      </w:r>
      <w:r w:rsidRPr="001C3EC8">
        <w:rPr>
          <w:color w:val="000000" w:themeColor="text1"/>
        </w:rPr>
        <w:t xml:space="preserve">nelehkou agendu, </w:t>
      </w:r>
      <w:r w:rsidR="00021FDD" w:rsidRPr="001C3EC8">
        <w:rPr>
          <w:color w:val="000000" w:themeColor="text1"/>
        </w:rPr>
        <w:t>a</w:t>
      </w:r>
      <w:r w:rsidR="00021FDD">
        <w:rPr>
          <w:color w:val="000000" w:themeColor="text1"/>
        </w:rPr>
        <w:t> </w:t>
      </w:r>
      <w:r w:rsidRPr="001C3EC8">
        <w:rPr>
          <w:color w:val="000000" w:themeColor="text1"/>
        </w:rPr>
        <w:t xml:space="preserve">zvlášť některé soudy vykazují určité problémy s jejím vyřizováním. Většina ukazatelů rovněž vykazuje </w:t>
      </w:r>
      <w:r w:rsidR="00F36AF7">
        <w:rPr>
          <w:color w:val="000000" w:themeColor="text1"/>
        </w:rPr>
        <w:t>velkou</w:t>
      </w:r>
      <w:r w:rsidR="00F36AF7" w:rsidRPr="001C3EC8">
        <w:rPr>
          <w:color w:val="000000" w:themeColor="text1"/>
        </w:rPr>
        <w:t xml:space="preserve"> </w:t>
      </w:r>
      <w:r w:rsidRPr="001C3EC8">
        <w:rPr>
          <w:color w:val="000000" w:themeColor="text1"/>
        </w:rPr>
        <w:t>variabilitu.</w:t>
      </w:r>
    </w:p>
    <w:p w14:paraId="7F4A92FF" w14:textId="5C090D49" w:rsidR="008430BD" w:rsidRDefault="008430BD" w:rsidP="008430BD">
      <w:pPr>
        <w:rPr>
          <w:color w:val="000000" w:themeColor="text1"/>
        </w:rPr>
      </w:pPr>
      <w:r w:rsidRPr="001C3EC8">
        <w:rPr>
          <w:color w:val="000000" w:themeColor="text1"/>
        </w:rPr>
        <w:t xml:space="preserve">Zatímco </w:t>
      </w:r>
      <w:r w:rsidR="00021FDD" w:rsidRPr="001C3EC8">
        <w:rPr>
          <w:color w:val="000000" w:themeColor="text1"/>
        </w:rPr>
        <w:t>u</w:t>
      </w:r>
      <w:r w:rsidR="00021FDD">
        <w:rPr>
          <w:color w:val="000000" w:themeColor="text1"/>
        </w:rPr>
        <w:t> </w:t>
      </w:r>
      <w:r w:rsidRPr="001C3EC8">
        <w:rPr>
          <w:color w:val="000000" w:themeColor="text1"/>
        </w:rPr>
        <w:t xml:space="preserve">okresních soudů </w:t>
      </w:r>
      <w:r w:rsidR="00CD0B05" w:rsidRPr="001C3EC8">
        <w:rPr>
          <w:color w:val="000000" w:themeColor="text1"/>
        </w:rPr>
        <w:t>je možné</w:t>
      </w:r>
      <w:r w:rsidRPr="001C3EC8">
        <w:rPr>
          <w:color w:val="000000" w:themeColor="text1"/>
        </w:rPr>
        <w:t xml:space="preserve"> učinit závěr, že dochází ke zlepšení, </w:t>
      </w:r>
      <w:r w:rsidR="00021FDD" w:rsidRPr="001C3EC8">
        <w:rPr>
          <w:color w:val="000000" w:themeColor="text1"/>
        </w:rPr>
        <w:t>u</w:t>
      </w:r>
      <w:r w:rsidR="00021FDD">
        <w:rPr>
          <w:color w:val="000000" w:themeColor="text1"/>
        </w:rPr>
        <w:t> </w:t>
      </w:r>
      <w:r w:rsidRPr="001C3EC8">
        <w:rPr>
          <w:color w:val="000000" w:themeColor="text1"/>
        </w:rPr>
        <w:t xml:space="preserve">krajských soudů je situace složitější. V některých agendách klesá nápad </w:t>
      </w:r>
      <w:r w:rsidR="00021FDD" w:rsidRPr="001C3EC8">
        <w:rPr>
          <w:color w:val="000000" w:themeColor="text1"/>
        </w:rPr>
        <w:t>a</w:t>
      </w:r>
      <w:r w:rsidR="00021FDD">
        <w:rPr>
          <w:color w:val="000000" w:themeColor="text1"/>
        </w:rPr>
        <w:t> </w:t>
      </w:r>
      <w:r w:rsidRPr="001C3EC8">
        <w:rPr>
          <w:color w:val="000000" w:themeColor="text1"/>
        </w:rPr>
        <w:t xml:space="preserve">dochází tak k mírnému zlepšení (civilní odvolací a prvostupňová agenda), někde je situace dlouhodobě bezproblémová (trestní odvolací agenda), jinde je situace stabilní, ale vykazuje určité problémy (trestní prvostupňová agenda). V další agendě (insolvenční) </w:t>
      </w:r>
      <w:r w:rsidR="00CD0B05" w:rsidRPr="001C3EC8">
        <w:rPr>
          <w:color w:val="000000" w:themeColor="text1"/>
        </w:rPr>
        <w:t xml:space="preserve">je </w:t>
      </w:r>
      <w:r w:rsidRPr="001C3EC8">
        <w:rPr>
          <w:color w:val="000000" w:themeColor="text1"/>
        </w:rPr>
        <w:t>značná část statisti</w:t>
      </w:r>
      <w:r w:rsidR="00CD0B05" w:rsidRPr="001C3EC8">
        <w:rPr>
          <w:color w:val="000000" w:themeColor="text1"/>
        </w:rPr>
        <w:t>ckých hodnot ovlivněna</w:t>
      </w:r>
      <w:r w:rsidRPr="001C3EC8">
        <w:rPr>
          <w:color w:val="000000" w:themeColor="text1"/>
        </w:rPr>
        <w:t xml:space="preserve"> podstat</w:t>
      </w:r>
      <w:r w:rsidR="00CD0B05" w:rsidRPr="001C3EC8">
        <w:rPr>
          <w:color w:val="000000" w:themeColor="text1"/>
        </w:rPr>
        <w:t>ou</w:t>
      </w:r>
      <w:r w:rsidRPr="001C3EC8">
        <w:rPr>
          <w:color w:val="000000" w:themeColor="text1"/>
        </w:rPr>
        <w:t xml:space="preserve"> agendy. </w:t>
      </w:r>
      <w:r w:rsidR="00CD0B05" w:rsidRPr="001C3EC8">
        <w:rPr>
          <w:color w:val="000000" w:themeColor="text1"/>
        </w:rPr>
        <w:t>J</w:t>
      </w:r>
      <w:r w:rsidRPr="001C3EC8">
        <w:rPr>
          <w:color w:val="000000" w:themeColor="text1"/>
        </w:rPr>
        <w:t xml:space="preserve">sou </w:t>
      </w:r>
      <w:r w:rsidR="00CD0B05" w:rsidRPr="001C3EC8">
        <w:rPr>
          <w:color w:val="000000" w:themeColor="text1"/>
        </w:rPr>
        <w:t>pak</w:t>
      </w:r>
      <w:r w:rsidRPr="001C3EC8">
        <w:rPr>
          <w:color w:val="000000" w:themeColor="text1"/>
        </w:rPr>
        <w:t xml:space="preserve"> </w:t>
      </w:r>
      <w:r w:rsidR="00CD0B05" w:rsidRPr="001C3EC8">
        <w:rPr>
          <w:color w:val="000000" w:themeColor="text1"/>
        </w:rPr>
        <w:t>i </w:t>
      </w:r>
      <w:r w:rsidRPr="001C3EC8">
        <w:rPr>
          <w:color w:val="000000" w:themeColor="text1"/>
        </w:rPr>
        <w:t>agendy, kde rozhodně data ukazují problémy (částečně incidenční spory, ale především správní agenda).</w:t>
      </w:r>
    </w:p>
    <w:p w14:paraId="5AD5428B" w14:textId="0637781E" w:rsidR="00A1099F" w:rsidRDefault="00A1099F" w:rsidP="008430BD">
      <w:pPr>
        <w:rPr>
          <w:color w:val="000000" w:themeColor="text1"/>
        </w:rPr>
      </w:pPr>
    </w:p>
    <w:p w14:paraId="1907DCF6" w14:textId="77777777" w:rsidR="00A1099F" w:rsidRPr="001C3EC8" w:rsidRDefault="00A1099F" w:rsidP="008430BD">
      <w:pPr>
        <w:rPr>
          <w:color w:val="000000" w:themeColor="text1"/>
        </w:rPr>
      </w:pPr>
    </w:p>
    <w:p w14:paraId="6AF62EDB" w14:textId="77777777" w:rsidR="008430BD" w:rsidRPr="001C3EC8" w:rsidRDefault="008430BD" w:rsidP="00FE43FA">
      <w:pPr>
        <w:pStyle w:val="OdstavecASR"/>
        <w:keepNext/>
        <w:rPr>
          <w:b/>
          <w:bCs/>
          <w:color w:val="000000" w:themeColor="text1"/>
          <w:lang w:eastAsia="cs-CZ"/>
        </w:rPr>
      </w:pPr>
      <w:r w:rsidRPr="001C3EC8">
        <w:rPr>
          <w:b/>
          <w:bCs/>
          <w:color w:val="000000" w:themeColor="text1"/>
          <w:lang w:eastAsia="cs-CZ"/>
        </w:rPr>
        <w:lastRenderedPageBreak/>
        <w:t>Vrchní soudy</w:t>
      </w:r>
    </w:p>
    <w:p w14:paraId="017068E5" w14:textId="0D23050D" w:rsidR="008430BD" w:rsidRPr="001C3EC8" w:rsidRDefault="008430BD" w:rsidP="008430BD">
      <w:pPr>
        <w:rPr>
          <w:color w:val="000000" w:themeColor="text1"/>
        </w:rPr>
      </w:pPr>
      <w:r w:rsidRPr="001C3EC8">
        <w:rPr>
          <w:color w:val="000000" w:themeColor="text1"/>
        </w:rPr>
        <w:t xml:space="preserve">VS v Praze je více než dvakrát větší než VS v Olomouci. Počet soudců, podíl soudkyň </w:t>
      </w:r>
      <w:r w:rsidR="00021FDD" w:rsidRPr="001C3EC8">
        <w:rPr>
          <w:color w:val="000000" w:themeColor="text1"/>
        </w:rPr>
        <w:t>a</w:t>
      </w:r>
      <w:r w:rsidR="00021FDD">
        <w:rPr>
          <w:color w:val="000000" w:themeColor="text1"/>
        </w:rPr>
        <w:t> </w:t>
      </w:r>
      <w:r w:rsidRPr="001C3EC8">
        <w:rPr>
          <w:color w:val="000000" w:themeColor="text1"/>
        </w:rPr>
        <w:t xml:space="preserve">velikost úseků se </w:t>
      </w:r>
      <w:r w:rsidR="00021FDD" w:rsidRPr="001C3EC8">
        <w:rPr>
          <w:color w:val="000000" w:themeColor="text1"/>
        </w:rPr>
        <w:t>u</w:t>
      </w:r>
      <w:r w:rsidR="00021FDD">
        <w:rPr>
          <w:color w:val="000000" w:themeColor="text1"/>
        </w:rPr>
        <w:t> </w:t>
      </w:r>
      <w:r w:rsidRPr="001C3EC8">
        <w:rPr>
          <w:color w:val="000000" w:themeColor="text1"/>
        </w:rPr>
        <w:t>obou soudů v průběhu let mírně mění.</w:t>
      </w:r>
    </w:p>
    <w:p w14:paraId="5074CADE" w14:textId="4BCE05E4" w:rsidR="008430BD" w:rsidRPr="001C3EC8" w:rsidRDefault="008430BD" w:rsidP="008430BD">
      <w:pPr>
        <w:rPr>
          <w:color w:val="000000" w:themeColor="text1"/>
        </w:rPr>
      </w:pPr>
      <w:r w:rsidRPr="001C3EC8">
        <w:rPr>
          <w:color w:val="000000" w:themeColor="text1"/>
        </w:rPr>
        <w:t>V civilní odvolací agendě je nemalý rozdíl mezi oběma soudy. VS Olomouc má výrazně lepší statistiky (nevyřízen</w:t>
      </w:r>
      <w:r w:rsidR="00CD0B05" w:rsidRPr="001C3EC8">
        <w:rPr>
          <w:color w:val="000000" w:themeColor="text1"/>
        </w:rPr>
        <w:t>é věci</w:t>
      </w:r>
      <w:r w:rsidRPr="001C3EC8">
        <w:rPr>
          <w:color w:val="000000" w:themeColor="text1"/>
        </w:rPr>
        <w:t xml:space="preserve"> na soudce,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délky řízení). </w:t>
      </w:r>
      <w:r w:rsidR="00021FDD" w:rsidRPr="001C3EC8">
        <w:rPr>
          <w:color w:val="000000" w:themeColor="text1"/>
        </w:rPr>
        <w:t>U</w:t>
      </w:r>
      <w:r w:rsidR="00021FDD">
        <w:rPr>
          <w:color w:val="000000" w:themeColor="text1"/>
        </w:rPr>
        <w:t> </w:t>
      </w:r>
      <w:r w:rsidRPr="001C3EC8">
        <w:rPr>
          <w:color w:val="000000" w:themeColor="text1"/>
        </w:rPr>
        <w:t xml:space="preserve">obou soudů prudce klesá počet příchozích věcí, což vede ke snížení počtu nevyřízených věcí. Délky řízení nicméně neklesají. Celkově lze </w:t>
      </w:r>
      <w:r w:rsidR="00F36AF7">
        <w:rPr>
          <w:color w:val="000000" w:themeColor="text1"/>
        </w:rPr>
        <w:t>shrnout</w:t>
      </w:r>
      <w:r w:rsidRPr="001C3EC8">
        <w:rPr>
          <w:color w:val="000000" w:themeColor="text1"/>
        </w:rPr>
        <w:t xml:space="preserve">, že situace </w:t>
      </w:r>
      <w:r w:rsidR="00021FDD" w:rsidRPr="001C3EC8">
        <w:rPr>
          <w:color w:val="000000" w:themeColor="text1"/>
        </w:rPr>
        <w:t>u</w:t>
      </w:r>
      <w:r w:rsidR="00021FDD">
        <w:rPr>
          <w:color w:val="000000" w:themeColor="text1"/>
        </w:rPr>
        <w:t> </w:t>
      </w:r>
      <w:r w:rsidRPr="001C3EC8">
        <w:rPr>
          <w:color w:val="000000" w:themeColor="text1"/>
        </w:rPr>
        <w:t>VS v Olomouci je dobrá</w:t>
      </w:r>
      <w:r w:rsidR="00CD0B05" w:rsidRPr="001C3EC8">
        <w:rPr>
          <w:color w:val="000000" w:themeColor="text1"/>
        </w:rPr>
        <w:t>,</w:t>
      </w:r>
      <w:r w:rsidRPr="001C3EC8">
        <w:rPr>
          <w:color w:val="000000" w:themeColor="text1"/>
        </w:rPr>
        <w:t xml:space="preserve"> </w:t>
      </w:r>
      <w:r w:rsidR="00021FDD" w:rsidRPr="001C3EC8">
        <w:rPr>
          <w:color w:val="000000" w:themeColor="text1"/>
        </w:rPr>
        <w:t>u</w:t>
      </w:r>
      <w:r w:rsidR="00021FDD">
        <w:rPr>
          <w:color w:val="000000" w:themeColor="text1"/>
        </w:rPr>
        <w:t> </w:t>
      </w:r>
      <w:r w:rsidRPr="001C3EC8">
        <w:rPr>
          <w:color w:val="000000" w:themeColor="text1"/>
        </w:rPr>
        <w:t>VS v Praze horší, ale díky snižování nápadu se postupně zlepšuje</w:t>
      </w:r>
      <w:r w:rsidR="00081D57" w:rsidRPr="001C3EC8">
        <w:rPr>
          <w:color w:val="000000" w:themeColor="text1"/>
        </w:rPr>
        <w:t>.</w:t>
      </w:r>
    </w:p>
    <w:p w14:paraId="0D6F6972" w14:textId="77777777" w:rsidR="00B07E76" w:rsidRDefault="008430BD" w:rsidP="008430BD">
      <w:pPr>
        <w:rPr>
          <w:color w:val="000000" w:themeColor="text1"/>
        </w:rPr>
      </w:pPr>
      <w:r w:rsidRPr="001C3EC8">
        <w:rPr>
          <w:color w:val="000000" w:themeColor="text1"/>
        </w:rPr>
        <w:t>V trestní odvolací agendě je situace vyrovnanější. Z dlouhodobého hlediska soudy vykazují velmi vyrovnané statistiky.</w:t>
      </w:r>
    </w:p>
    <w:p w14:paraId="046458DE" w14:textId="456DE9A6" w:rsidR="00B07E76" w:rsidRDefault="008430BD" w:rsidP="008430BD">
      <w:pPr>
        <w:rPr>
          <w:color w:val="000000" w:themeColor="text1"/>
        </w:rPr>
      </w:pPr>
      <w:r w:rsidRPr="001C3EC8">
        <w:rPr>
          <w:color w:val="000000" w:themeColor="text1"/>
        </w:rPr>
        <w:t>V insolvenční agendě I</w:t>
      </w:r>
      <w:r w:rsidR="000C3B1E">
        <w:rPr>
          <w:color w:val="000000" w:themeColor="text1"/>
        </w:rPr>
        <w:t>I. stupně</w:t>
      </w:r>
      <w:r w:rsidRPr="001C3EC8">
        <w:rPr>
          <w:color w:val="000000" w:themeColor="text1"/>
        </w:rPr>
        <w:t xml:space="preserve"> mají časové řady příchozích, vyřízených </w:t>
      </w:r>
      <w:r w:rsidR="00021FDD" w:rsidRPr="001C3EC8">
        <w:rPr>
          <w:color w:val="000000" w:themeColor="text1"/>
        </w:rPr>
        <w:t>i</w:t>
      </w:r>
      <w:r w:rsidR="00021FDD">
        <w:rPr>
          <w:color w:val="000000" w:themeColor="text1"/>
        </w:rPr>
        <w:t> </w:t>
      </w:r>
      <w:r w:rsidRPr="001C3EC8">
        <w:rPr>
          <w:color w:val="000000" w:themeColor="text1"/>
        </w:rPr>
        <w:t xml:space="preserve">nevyřízených věcí tvar obráceného U, nyní tedy klesají. V současné době jsou na tom oba soudy poměrně dobře, </w:t>
      </w:r>
      <w:r w:rsidR="00021FDD" w:rsidRPr="001C3EC8">
        <w:rPr>
          <w:color w:val="000000" w:themeColor="text1"/>
        </w:rPr>
        <w:t>a</w:t>
      </w:r>
      <w:r w:rsidR="00021FDD">
        <w:rPr>
          <w:color w:val="000000" w:themeColor="text1"/>
        </w:rPr>
        <w:t> </w:t>
      </w:r>
      <w:r w:rsidRPr="001C3EC8">
        <w:rPr>
          <w:color w:val="000000" w:themeColor="text1"/>
        </w:rPr>
        <w:t>to díky poklesu v počtu napadlých věcí.</w:t>
      </w:r>
    </w:p>
    <w:p w14:paraId="7C13DBC7" w14:textId="782605EA" w:rsidR="00B07E76" w:rsidRDefault="008430BD" w:rsidP="008430BD">
      <w:pPr>
        <w:rPr>
          <w:color w:val="000000" w:themeColor="text1"/>
        </w:rPr>
      </w:pPr>
      <w:r w:rsidRPr="001C3EC8">
        <w:rPr>
          <w:color w:val="000000" w:themeColor="text1"/>
        </w:rPr>
        <w:t>V incidenčních sporech I</w:t>
      </w:r>
      <w:r w:rsidR="000C3B1E">
        <w:rPr>
          <w:color w:val="000000" w:themeColor="text1"/>
        </w:rPr>
        <w:t>I. stupně</w:t>
      </w:r>
      <w:r w:rsidRPr="001C3EC8">
        <w:rPr>
          <w:color w:val="000000" w:themeColor="text1"/>
        </w:rPr>
        <w:t xml:space="preserve"> si lépe vede VS v Olomouci, </w:t>
      </w:r>
      <w:r w:rsidR="00CD0B05" w:rsidRPr="001C3EC8">
        <w:rPr>
          <w:color w:val="000000" w:themeColor="text1"/>
        </w:rPr>
        <w:t xml:space="preserve">který </w:t>
      </w:r>
      <w:r w:rsidRPr="001C3EC8">
        <w:rPr>
          <w:color w:val="000000" w:themeColor="text1"/>
        </w:rPr>
        <w:t xml:space="preserve">vykazuje nižší délky řízení, menší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w:t>
      </w:r>
      <w:r w:rsidR="00021FDD" w:rsidRPr="001C3EC8">
        <w:rPr>
          <w:color w:val="000000" w:themeColor="text1"/>
        </w:rPr>
        <w:t>i</w:t>
      </w:r>
      <w:r w:rsidR="00021FDD">
        <w:rPr>
          <w:color w:val="000000" w:themeColor="text1"/>
        </w:rPr>
        <w:t> </w:t>
      </w:r>
      <w:r w:rsidRPr="001C3EC8">
        <w:rPr>
          <w:color w:val="000000" w:themeColor="text1"/>
        </w:rPr>
        <w:t>méně nevyřízených věcí na soudce.</w:t>
      </w:r>
    </w:p>
    <w:p w14:paraId="09E94BCC" w14:textId="18B1E7BC" w:rsidR="008430BD" w:rsidRPr="001C3EC8" w:rsidRDefault="008430BD" w:rsidP="00FE43FA">
      <w:pPr>
        <w:pStyle w:val="OdstavecASR"/>
        <w:keepNext/>
        <w:rPr>
          <w:b/>
          <w:bCs/>
          <w:color w:val="000000" w:themeColor="text1"/>
          <w:lang w:eastAsia="cs-CZ"/>
        </w:rPr>
      </w:pPr>
      <w:r w:rsidRPr="001C3EC8">
        <w:rPr>
          <w:b/>
          <w:bCs/>
          <w:color w:val="000000" w:themeColor="text1"/>
          <w:lang w:eastAsia="cs-CZ"/>
        </w:rPr>
        <w:t>Nejvyšší soud</w:t>
      </w:r>
    </w:p>
    <w:p w14:paraId="560D8C74" w14:textId="7E3C1607" w:rsidR="008430BD" w:rsidRPr="001C3EC8" w:rsidRDefault="00021FDD" w:rsidP="008430BD">
      <w:pPr>
        <w:rPr>
          <w:color w:val="000000" w:themeColor="text1"/>
        </w:rPr>
      </w:pPr>
      <w:r w:rsidRPr="001C3EC8">
        <w:rPr>
          <w:color w:val="000000" w:themeColor="text1"/>
        </w:rPr>
        <w:t>U</w:t>
      </w:r>
      <w:r>
        <w:rPr>
          <w:color w:val="000000" w:themeColor="text1"/>
        </w:rPr>
        <w:t> </w:t>
      </w:r>
      <w:r w:rsidR="008430BD" w:rsidRPr="001C3EC8">
        <w:rPr>
          <w:color w:val="000000" w:themeColor="text1"/>
        </w:rPr>
        <w:t xml:space="preserve">Nejvyššího soudu došlo v roce 2019 k navýšení plánovaného počtu soudců </w:t>
      </w:r>
      <w:r w:rsidRPr="001C3EC8">
        <w:rPr>
          <w:color w:val="000000" w:themeColor="text1"/>
        </w:rPr>
        <w:t>a</w:t>
      </w:r>
      <w:r>
        <w:rPr>
          <w:color w:val="000000" w:themeColor="text1"/>
        </w:rPr>
        <w:t> </w:t>
      </w:r>
      <w:r w:rsidR="008430BD" w:rsidRPr="001C3EC8">
        <w:rPr>
          <w:color w:val="000000" w:themeColor="text1"/>
        </w:rPr>
        <w:t xml:space="preserve">v roce 2020 pak vzrostl </w:t>
      </w:r>
      <w:r w:rsidRPr="001C3EC8">
        <w:rPr>
          <w:color w:val="000000" w:themeColor="text1"/>
        </w:rPr>
        <w:t>i</w:t>
      </w:r>
      <w:r>
        <w:rPr>
          <w:color w:val="000000" w:themeColor="text1"/>
        </w:rPr>
        <w:t> </w:t>
      </w:r>
      <w:r w:rsidR="008430BD" w:rsidRPr="001C3EC8">
        <w:rPr>
          <w:color w:val="000000" w:themeColor="text1"/>
        </w:rPr>
        <w:t xml:space="preserve">evidenční počet soudců, </w:t>
      </w:r>
      <w:r w:rsidRPr="001C3EC8">
        <w:rPr>
          <w:color w:val="000000" w:themeColor="text1"/>
        </w:rPr>
        <w:t>a</w:t>
      </w:r>
      <w:r>
        <w:rPr>
          <w:color w:val="000000" w:themeColor="text1"/>
        </w:rPr>
        <w:t> </w:t>
      </w:r>
      <w:r w:rsidR="008430BD" w:rsidRPr="001C3EC8">
        <w:rPr>
          <w:color w:val="000000" w:themeColor="text1"/>
        </w:rPr>
        <w:t xml:space="preserve">to především </w:t>
      </w:r>
      <w:r w:rsidR="00CD0B05" w:rsidRPr="001C3EC8">
        <w:rPr>
          <w:color w:val="000000" w:themeColor="text1"/>
        </w:rPr>
        <w:t xml:space="preserve">na </w:t>
      </w:r>
      <w:r w:rsidR="008430BD" w:rsidRPr="001C3EC8">
        <w:rPr>
          <w:color w:val="000000" w:themeColor="text1"/>
        </w:rPr>
        <w:t xml:space="preserve">civilním úseku, </w:t>
      </w:r>
      <w:r w:rsidR="00CD0B05" w:rsidRPr="001C3EC8">
        <w:rPr>
          <w:color w:val="000000" w:themeColor="text1"/>
        </w:rPr>
        <w:t>který</w:t>
      </w:r>
      <w:r w:rsidR="008430BD" w:rsidRPr="001C3EC8">
        <w:rPr>
          <w:color w:val="000000" w:themeColor="text1"/>
        </w:rPr>
        <w:t xml:space="preserve"> bylo třeba posílit. </w:t>
      </w:r>
      <w:r w:rsidR="00B44261">
        <w:rPr>
          <w:color w:val="000000" w:themeColor="text1"/>
        </w:rPr>
        <w:t xml:space="preserve">Civilní dovolovací agenda </w:t>
      </w:r>
      <w:r>
        <w:rPr>
          <w:color w:val="000000" w:themeColor="text1"/>
        </w:rPr>
        <w:t>a </w:t>
      </w:r>
      <w:r w:rsidR="00B44261">
        <w:rPr>
          <w:color w:val="000000" w:themeColor="text1"/>
        </w:rPr>
        <w:t>trestní dovolovací agenda jsou n</w:t>
      </w:r>
      <w:r w:rsidR="00B44261" w:rsidRPr="001C3EC8">
        <w:rPr>
          <w:color w:val="000000" w:themeColor="text1"/>
        </w:rPr>
        <w:t xml:space="preserve">ejvýznamnější </w:t>
      </w:r>
      <w:r w:rsidRPr="001C3EC8">
        <w:rPr>
          <w:color w:val="000000" w:themeColor="text1"/>
        </w:rPr>
        <w:t>a</w:t>
      </w:r>
      <w:r>
        <w:rPr>
          <w:color w:val="000000" w:themeColor="text1"/>
        </w:rPr>
        <w:t> </w:t>
      </w:r>
      <w:r w:rsidR="00B44261" w:rsidRPr="001C3EC8">
        <w:rPr>
          <w:color w:val="000000" w:themeColor="text1"/>
        </w:rPr>
        <w:t>největší agendy Nejvyššího</w:t>
      </w:r>
      <w:r w:rsidR="00B44261">
        <w:rPr>
          <w:color w:val="000000" w:themeColor="text1"/>
        </w:rPr>
        <w:t xml:space="preserve"> soudu</w:t>
      </w:r>
      <w:r w:rsidR="00B44261" w:rsidRPr="001C3EC8">
        <w:rPr>
          <w:color w:val="000000" w:themeColor="text1"/>
        </w:rPr>
        <w:t>.</w:t>
      </w:r>
    </w:p>
    <w:p w14:paraId="4E3CD597" w14:textId="1E738C89" w:rsidR="00B07E76" w:rsidRDefault="008430BD" w:rsidP="008430BD">
      <w:pPr>
        <w:rPr>
          <w:color w:val="000000" w:themeColor="text1"/>
        </w:rPr>
      </w:pPr>
      <w:r w:rsidRPr="001C3EC8">
        <w:rPr>
          <w:color w:val="000000" w:themeColor="text1"/>
        </w:rPr>
        <w:t xml:space="preserve">Nápad civilní dovolací agendy se v průběhu let poměrně zásadně měnil. Velmi vysoký byl v letech 2008 </w:t>
      </w:r>
      <w:r w:rsidR="00021FDD" w:rsidRPr="001C3EC8">
        <w:rPr>
          <w:color w:val="000000" w:themeColor="text1"/>
        </w:rPr>
        <w:t>a</w:t>
      </w:r>
      <w:r w:rsidR="00021FDD">
        <w:rPr>
          <w:color w:val="000000" w:themeColor="text1"/>
        </w:rPr>
        <w:t> </w:t>
      </w:r>
      <w:r w:rsidRPr="001C3EC8">
        <w:rPr>
          <w:color w:val="000000" w:themeColor="text1"/>
        </w:rPr>
        <w:t xml:space="preserve">2009. </w:t>
      </w:r>
      <w:r w:rsidR="00CD0B05" w:rsidRPr="001C3EC8">
        <w:rPr>
          <w:color w:val="000000" w:themeColor="text1"/>
        </w:rPr>
        <w:t>V</w:t>
      </w:r>
      <w:r w:rsidRPr="001C3EC8">
        <w:rPr>
          <w:color w:val="000000" w:themeColor="text1"/>
        </w:rPr>
        <w:t xml:space="preserve"> tuto dobu soud také vykazoval velmi vysoké počty nevyřízených věcí. Následně došlo k poklesu nápadu </w:t>
      </w:r>
      <w:r w:rsidR="00021FDD" w:rsidRPr="001C3EC8">
        <w:rPr>
          <w:color w:val="000000" w:themeColor="text1"/>
        </w:rPr>
        <w:t>i</w:t>
      </w:r>
      <w:r w:rsidR="00021FDD">
        <w:rPr>
          <w:color w:val="000000" w:themeColor="text1"/>
        </w:rPr>
        <w:t> </w:t>
      </w:r>
      <w:r w:rsidRPr="001C3EC8">
        <w:rPr>
          <w:color w:val="000000" w:themeColor="text1"/>
        </w:rPr>
        <w:t xml:space="preserve">nevyřízených věcí. V letech 2013 až 2017 ale nápad opět rostl. Tentokrát soud zvládl zvýšený nápor </w:t>
      </w:r>
      <w:r w:rsidR="00021FDD" w:rsidRPr="001C3EC8">
        <w:rPr>
          <w:color w:val="000000" w:themeColor="text1"/>
        </w:rPr>
        <w:t>a</w:t>
      </w:r>
      <w:r w:rsidR="00021FDD">
        <w:rPr>
          <w:color w:val="000000" w:themeColor="text1"/>
        </w:rPr>
        <w:t> </w:t>
      </w:r>
      <w:r w:rsidRPr="001C3EC8">
        <w:rPr>
          <w:color w:val="000000" w:themeColor="text1"/>
        </w:rPr>
        <w:t>počet nevyřízených věcí se nezvě</w:t>
      </w:r>
      <w:r w:rsidR="00FE43FA" w:rsidRPr="001C3EC8">
        <w:rPr>
          <w:color w:val="000000" w:themeColor="text1"/>
        </w:rPr>
        <w:t>tš</w:t>
      </w:r>
      <w:r w:rsidRPr="001C3EC8">
        <w:rPr>
          <w:color w:val="000000" w:themeColor="text1"/>
        </w:rPr>
        <w:t xml:space="preserve">oval. Od roku 2018 nápad rychle klesá </w:t>
      </w:r>
      <w:r w:rsidR="00021FDD" w:rsidRPr="001C3EC8">
        <w:rPr>
          <w:color w:val="000000" w:themeColor="text1"/>
        </w:rPr>
        <w:t>a</w:t>
      </w:r>
      <w:r w:rsidR="00021FDD">
        <w:rPr>
          <w:color w:val="000000" w:themeColor="text1"/>
        </w:rPr>
        <w:t> </w:t>
      </w:r>
      <w:r w:rsidRPr="001C3EC8">
        <w:rPr>
          <w:color w:val="000000" w:themeColor="text1"/>
        </w:rPr>
        <w:t xml:space="preserve">díky tomu klesá </w:t>
      </w:r>
      <w:r w:rsidR="00021FDD" w:rsidRPr="001C3EC8">
        <w:rPr>
          <w:color w:val="000000" w:themeColor="text1"/>
        </w:rPr>
        <w:t>i</w:t>
      </w:r>
      <w:r w:rsidR="00021FDD">
        <w:rPr>
          <w:color w:val="000000" w:themeColor="text1"/>
        </w:rPr>
        <w:t> </w:t>
      </w:r>
      <w:r w:rsidRPr="001C3EC8">
        <w:rPr>
          <w:color w:val="000000" w:themeColor="text1"/>
        </w:rPr>
        <w:t>počet nevyřízených věcí, který je nyní nejnižší za sledované období</w:t>
      </w:r>
      <w:r w:rsidR="00850194">
        <w:rPr>
          <w:color w:val="000000" w:themeColor="text1"/>
        </w:rPr>
        <w:t xml:space="preserve"> 2008 až 2020</w:t>
      </w:r>
      <w:r w:rsidRPr="001C3EC8">
        <w:rPr>
          <w:color w:val="000000" w:themeColor="text1"/>
        </w:rPr>
        <w:t>.</w:t>
      </w:r>
    </w:p>
    <w:p w14:paraId="761FD32A" w14:textId="7414FC29" w:rsidR="008430BD" w:rsidRPr="001C3EC8" w:rsidRDefault="008430BD" w:rsidP="008430BD">
      <w:pPr>
        <w:rPr>
          <w:color w:val="000000" w:themeColor="text1"/>
        </w:rPr>
      </w:pPr>
      <w:r w:rsidRPr="001C3EC8">
        <w:rPr>
          <w:color w:val="000000" w:themeColor="text1"/>
        </w:rPr>
        <w:t xml:space="preserve">Situace v trestní dovolací agendě je mnohem stabilnější. Nápad </w:t>
      </w:r>
      <w:r w:rsidR="00021FDD" w:rsidRPr="001C3EC8">
        <w:rPr>
          <w:color w:val="000000" w:themeColor="text1"/>
        </w:rPr>
        <w:t>i</w:t>
      </w:r>
      <w:r w:rsidR="00021FDD">
        <w:rPr>
          <w:color w:val="000000" w:themeColor="text1"/>
        </w:rPr>
        <w:t> </w:t>
      </w:r>
      <w:r w:rsidRPr="001C3EC8">
        <w:rPr>
          <w:color w:val="000000" w:themeColor="text1"/>
        </w:rPr>
        <w:t>počet vyřízených věcí se až na výjimky pohybuje mezi 1</w:t>
      </w:r>
      <w:r w:rsidR="00021FDD">
        <w:rPr>
          <w:color w:val="000000" w:themeColor="text1"/>
        </w:rPr>
        <w:t> </w:t>
      </w:r>
      <w:r w:rsidRPr="001C3EC8">
        <w:rPr>
          <w:color w:val="000000" w:themeColor="text1"/>
        </w:rPr>
        <w:t xml:space="preserve">450 </w:t>
      </w:r>
      <w:r w:rsidR="00021FDD" w:rsidRPr="001C3EC8">
        <w:rPr>
          <w:color w:val="000000" w:themeColor="text1"/>
        </w:rPr>
        <w:t>a</w:t>
      </w:r>
      <w:r w:rsidR="00021FDD">
        <w:rPr>
          <w:color w:val="000000" w:themeColor="text1"/>
        </w:rPr>
        <w:t> </w:t>
      </w:r>
      <w:r w:rsidRPr="001C3EC8">
        <w:rPr>
          <w:color w:val="000000" w:themeColor="text1"/>
        </w:rPr>
        <w:t>1</w:t>
      </w:r>
      <w:r w:rsidR="00021FDD">
        <w:rPr>
          <w:color w:val="000000" w:themeColor="text1"/>
        </w:rPr>
        <w:t> </w:t>
      </w:r>
      <w:r w:rsidRPr="001C3EC8">
        <w:rPr>
          <w:color w:val="000000" w:themeColor="text1"/>
        </w:rPr>
        <w:t xml:space="preserve">700 věci ročně. Počet nevyřízených věcí se pak pohybuje (opět až na výjimky) mezi 150 </w:t>
      </w:r>
      <w:r w:rsidR="00021FDD" w:rsidRPr="001C3EC8">
        <w:rPr>
          <w:color w:val="000000" w:themeColor="text1"/>
        </w:rPr>
        <w:t>a</w:t>
      </w:r>
      <w:r w:rsidR="00021FDD">
        <w:rPr>
          <w:color w:val="000000" w:themeColor="text1"/>
        </w:rPr>
        <w:t> </w:t>
      </w:r>
      <w:r w:rsidRPr="001C3EC8">
        <w:rPr>
          <w:color w:val="000000" w:themeColor="text1"/>
        </w:rPr>
        <w:t>200.</w:t>
      </w:r>
    </w:p>
    <w:p w14:paraId="3DF4E7D2" w14:textId="77777777" w:rsidR="008430BD" w:rsidRPr="001C3EC8" w:rsidRDefault="008430BD" w:rsidP="00FE43FA">
      <w:pPr>
        <w:pStyle w:val="OdstavecASR"/>
        <w:keepNext/>
        <w:rPr>
          <w:b/>
          <w:bCs/>
          <w:color w:val="000000" w:themeColor="text1"/>
          <w:lang w:eastAsia="cs-CZ"/>
        </w:rPr>
      </w:pPr>
      <w:r w:rsidRPr="001C3EC8">
        <w:rPr>
          <w:b/>
          <w:bCs/>
          <w:color w:val="000000" w:themeColor="text1"/>
          <w:lang w:eastAsia="cs-CZ"/>
        </w:rPr>
        <w:t>Nejvyšší správní soud</w:t>
      </w:r>
    </w:p>
    <w:p w14:paraId="7DB7E6FF" w14:textId="77777777" w:rsidR="00B07E76" w:rsidRDefault="008430BD" w:rsidP="008430BD">
      <w:pPr>
        <w:rPr>
          <w:color w:val="000000" w:themeColor="text1"/>
        </w:rPr>
      </w:pPr>
      <w:r w:rsidRPr="001C3EC8">
        <w:rPr>
          <w:color w:val="000000" w:themeColor="text1"/>
        </w:rPr>
        <w:t>V letech 2013 až 2015 došlo k nárůstu v počtu soudců, od té doby je počet soudců víceméně stabilní.</w:t>
      </w:r>
    </w:p>
    <w:p w14:paraId="5B262CEB" w14:textId="49253305" w:rsidR="008430BD" w:rsidRDefault="008430BD" w:rsidP="008430BD">
      <w:pPr>
        <w:rPr>
          <w:color w:val="000000" w:themeColor="text1"/>
        </w:rPr>
      </w:pPr>
      <w:r w:rsidRPr="001C3EC8">
        <w:rPr>
          <w:color w:val="000000" w:themeColor="text1"/>
        </w:rPr>
        <w:t>Nejvýznamnější agend</w:t>
      </w:r>
      <w:r w:rsidR="00CD0B05" w:rsidRPr="001C3EC8">
        <w:rPr>
          <w:color w:val="000000" w:themeColor="text1"/>
        </w:rPr>
        <w:t>ou</w:t>
      </w:r>
      <w:r w:rsidRPr="001C3EC8">
        <w:rPr>
          <w:color w:val="000000" w:themeColor="text1"/>
        </w:rPr>
        <w:t xml:space="preserve"> NSS je agenda řízení </w:t>
      </w:r>
      <w:r w:rsidR="00021FDD" w:rsidRPr="001C3EC8">
        <w:rPr>
          <w:color w:val="000000" w:themeColor="text1"/>
        </w:rPr>
        <w:t>o</w:t>
      </w:r>
      <w:r w:rsidR="00021FDD">
        <w:rPr>
          <w:color w:val="000000" w:themeColor="text1"/>
        </w:rPr>
        <w:t> </w:t>
      </w:r>
      <w:r w:rsidRPr="001C3EC8">
        <w:rPr>
          <w:color w:val="000000" w:themeColor="text1"/>
        </w:rPr>
        <w:t xml:space="preserve">kasačních stížnostech. V této agendě se bohužel projevuje trend, který </w:t>
      </w:r>
      <w:r w:rsidR="00CD0B05" w:rsidRPr="001C3EC8">
        <w:rPr>
          <w:color w:val="000000" w:themeColor="text1"/>
        </w:rPr>
        <w:t>pozorujeme</w:t>
      </w:r>
      <w:r w:rsidRPr="001C3EC8">
        <w:rPr>
          <w:color w:val="000000" w:themeColor="text1"/>
        </w:rPr>
        <w:t xml:space="preserve"> ve správním soudnictví </w:t>
      </w:r>
      <w:r w:rsidR="00021FDD" w:rsidRPr="001C3EC8">
        <w:rPr>
          <w:color w:val="000000" w:themeColor="text1"/>
        </w:rPr>
        <w:t>u</w:t>
      </w:r>
      <w:r w:rsidR="00021FDD">
        <w:rPr>
          <w:color w:val="000000" w:themeColor="text1"/>
        </w:rPr>
        <w:t> </w:t>
      </w:r>
      <w:r w:rsidRPr="001C3EC8">
        <w:rPr>
          <w:color w:val="000000" w:themeColor="text1"/>
        </w:rPr>
        <w:t xml:space="preserve">krajských soudů. Od roku 2014 až </w:t>
      </w:r>
      <w:r w:rsidR="00CD0B05" w:rsidRPr="001C3EC8">
        <w:rPr>
          <w:color w:val="000000" w:themeColor="text1"/>
        </w:rPr>
        <w:t xml:space="preserve">do roku </w:t>
      </w:r>
      <w:r w:rsidRPr="001C3EC8">
        <w:rPr>
          <w:color w:val="000000" w:themeColor="text1"/>
        </w:rPr>
        <w:t>2019 rostl nápad. Soud sice zvládl zvyšovat počet vyřízených věcí, ale nápad počet vyřízených věcí stále převyšoval. To potvrzuje</w:t>
      </w:r>
      <w:r w:rsidR="00CD0B05" w:rsidRPr="001C3EC8">
        <w:rPr>
          <w:color w:val="000000" w:themeColor="text1"/>
        </w:rPr>
        <w:t>, že</w:t>
      </w:r>
      <w:r w:rsidRPr="001C3EC8">
        <w:rPr>
          <w:color w:val="000000" w:themeColor="text1"/>
        </w:rPr>
        <w:t xml:space="preserve"> </w:t>
      </w:r>
      <w:r w:rsidR="00944075" w:rsidRPr="001C3EC8">
        <w:rPr>
          <w:color w:val="000000" w:themeColor="text1"/>
        </w:rPr>
        <w:t xml:space="preserve">ze statistického hlediska </w:t>
      </w:r>
      <w:r w:rsidR="00944075">
        <w:rPr>
          <w:color w:val="000000" w:themeColor="text1"/>
        </w:rPr>
        <w:t xml:space="preserve">je </w:t>
      </w:r>
      <w:r w:rsidRPr="001C3EC8">
        <w:rPr>
          <w:color w:val="000000" w:themeColor="text1"/>
        </w:rPr>
        <w:t xml:space="preserve">správní soudnictví </w:t>
      </w:r>
      <w:r w:rsidR="00CD0B05" w:rsidRPr="001C3EC8">
        <w:rPr>
          <w:color w:val="000000" w:themeColor="text1"/>
        </w:rPr>
        <w:t>je nejproblematičtější</w:t>
      </w:r>
      <w:r w:rsidR="00944075">
        <w:rPr>
          <w:color w:val="000000" w:themeColor="text1"/>
        </w:rPr>
        <w:t xml:space="preserve">. </w:t>
      </w:r>
      <w:r w:rsidRPr="001C3EC8">
        <w:rPr>
          <w:color w:val="000000" w:themeColor="text1"/>
        </w:rPr>
        <w:t xml:space="preserve">Rok 2020 ale naznačuje zlepšení, neboť nápad </w:t>
      </w:r>
      <w:r w:rsidR="00021FDD" w:rsidRPr="001C3EC8">
        <w:rPr>
          <w:color w:val="000000" w:themeColor="text1"/>
        </w:rPr>
        <w:t>u</w:t>
      </w:r>
      <w:r w:rsidR="00021FDD">
        <w:rPr>
          <w:color w:val="000000" w:themeColor="text1"/>
        </w:rPr>
        <w:t> </w:t>
      </w:r>
      <w:r w:rsidRPr="001C3EC8">
        <w:rPr>
          <w:color w:val="000000" w:themeColor="text1"/>
        </w:rPr>
        <w:t>krajských soud</w:t>
      </w:r>
      <w:r w:rsidR="00FE43FA" w:rsidRPr="001C3EC8">
        <w:rPr>
          <w:color w:val="000000" w:themeColor="text1"/>
        </w:rPr>
        <w:t>ů</w:t>
      </w:r>
      <w:r w:rsidRPr="001C3EC8">
        <w:rPr>
          <w:color w:val="000000" w:themeColor="text1"/>
        </w:rPr>
        <w:t xml:space="preserve"> již dva roky klesá </w:t>
      </w:r>
      <w:r w:rsidR="00021FDD" w:rsidRPr="001C3EC8">
        <w:rPr>
          <w:color w:val="000000" w:themeColor="text1"/>
        </w:rPr>
        <w:t>a</w:t>
      </w:r>
      <w:r w:rsidR="00021FDD">
        <w:rPr>
          <w:color w:val="000000" w:themeColor="text1"/>
        </w:rPr>
        <w:t> </w:t>
      </w:r>
      <w:r w:rsidRPr="001C3EC8">
        <w:rPr>
          <w:color w:val="000000" w:themeColor="text1"/>
        </w:rPr>
        <w:t xml:space="preserve">v roce 2020 mírně klesl </w:t>
      </w:r>
      <w:r w:rsidR="00021FDD" w:rsidRPr="001C3EC8">
        <w:rPr>
          <w:color w:val="000000" w:themeColor="text1"/>
        </w:rPr>
        <w:t>i</w:t>
      </w:r>
      <w:r w:rsidR="00021FDD">
        <w:rPr>
          <w:color w:val="000000" w:themeColor="text1"/>
        </w:rPr>
        <w:t> </w:t>
      </w:r>
      <w:r w:rsidRPr="001C3EC8">
        <w:rPr>
          <w:color w:val="000000" w:themeColor="text1"/>
        </w:rPr>
        <w:t xml:space="preserve">nápad </w:t>
      </w:r>
      <w:r w:rsidR="00021FDD" w:rsidRPr="001C3EC8">
        <w:rPr>
          <w:color w:val="000000" w:themeColor="text1"/>
        </w:rPr>
        <w:t>u</w:t>
      </w:r>
      <w:r w:rsidR="00021FDD">
        <w:rPr>
          <w:color w:val="000000" w:themeColor="text1"/>
        </w:rPr>
        <w:t> </w:t>
      </w:r>
      <w:r w:rsidRPr="001C3EC8">
        <w:rPr>
          <w:color w:val="000000" w:themeColor="text1"/>
        </w:rPr>
        <w:t>NSS.</w:t>
      </w:r>
    </w:p>
    <w:p w14:paraId="299D555A" w14:textId="358B8392" w:rsidR="00E10CA4" w:rsidRDefault="00E10CA4">
      <w:pPr>
        <w:spacing w:after="160" w:line="259" w:lineRule="auto"/>
        <w:jc w:val="left"/>
        <w:rPr>
          <w:color w:val="000000" w:themeColor="text1"/>
        </w:rPr>
      </w:pPr>
      <w:r>
        <w:rPr>
          <w:color w:val="000000" w:themeColor="text1"/>
        </w:rPr>
        <w:br w:type="page"/>
      </w:r>
    </w:p>
    <w:p w14:paraId="62961500" w14:textId="0326BFAD" w:rsidR="008430BD" w:rsidRPr="001C3EC8" w:rsidRDefault="008430BD" w:rsidP="008430BD">
      <w:pPr>
        <w:pStyle w:val="Nadpis2"/>
        <w:numPr>
          <w:ilvl w:val="1"/>
          <w:numId w:val="1"/>
        </w:numPr>
        <w:spacing w:before="120"/>
        <w:rPr>
          <w:lang w:eastAsia="cs-CZ"/>
        </w:rPr>
      </w:pPr>
      <w:bookmarkStart w:id="918" w:name="_Toc75952166"/>
      <w:r w:rsidRPr="001C3EC8">
        <w:rPr>
          <w:lang w:eastAsia="cs-CZ"/>
        </w:rPr>
        <w:lastRenderedPageBreak/>
        <w:t>Mezinárodní srovnání</w:t>
      </w:r>
      <w:r w:rsidR="00B032F5">
        <w:rPr>
          <w:lang w:eastAsia="cs-CZ"/>
        </w:rPr>
        <w:t xml:space="preserve"> v netrestní agendě</w:t>
      </w:r>
      <w:bookmarkEnd w:id="918"/>
    </w:p>
    <w:p w14:paraId="32B094D7" w14:textId="052D2A01" w:rsidR="008430BD" w:rsidRPr="001C3EC8" w:rsidRDefault="008430BD" w:rsidP="008430BD">
      <w:pPr>
        <w:rPr>
          <w:color w:val="000000" w:themeColor="text1"/>
        </w:rPr>
      </w:pPr>
      <w:r w:rsidRPr="001C3EC8">
        <w:rPr>
          <w:color w:val="000000" w:themeColor="text1"/>
          <w:lang w:eastAsia="cs-CZ"/>
        </w:rPr>
        <w:t xml:space="preserve">Srovnání (nejen statistické) mezi státy je předmětem zájmu už dlouho dobu,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to velmi často na úrovni Evropské unie. Poměrně častá jsou srovnání kriminality, kd</w:t>
      </w:r>
      <w:r w:rsidR="001D723D" w:rsidRPr="001C3EC8">
        <w:rPr>
          <w:color w:val="000000" w:themeColor="text1"/>
          <w:lang w:eastAsia="cs-CZ"/>
        </w:rPr>
        <w:t>e je</w:t>
      </w:r>
      <w:r w:rsidRPr="001C3EC8">
        <w:rPr>
          <w:color w:val="000000" w:themeColor="text1"/>
          <w:lang w:eastAsia="cs-CZ"/>
        </w:rPr>
        <w:t xml:space="preserve"> z našeho pohledu zajímavé především srovnání počtu odsouzených </w:t>
      </w:r>
      <w:r w:rsidR="00021FDD" w:rsidRPr="001C3EC8">
        <w:rPr>
          <w:color w:val="000000" w:themeColor="text1"/>
          <w:lang w:eastAsia="cs-CZ"/>
        </w:rPr>
        <w:t>v</w:t>
      </w:r>
      <w:r w:rsidR="00021FDD">
        <w:rPr>
          <w:color w:val="000000" w:themeColor="text1"/>
          <w:lang w:eastAsia="cs-CZ"/>
        </w:rPr>
        <w:t> </w:t>
      </w:r>
      <w:r w:rsidRPr="001C3EC8">
        <w:rPr>
          <w:color w:val="000000" w:themeColor="text1"/>
          <w:lang w:eastAsia="cs-CZ"/>
        </w:rPr>
        <w:t xml:space="preserve">přepočtu na obyvatele. Zájem je hlavně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 xml:space="preserve">data </w:t>
      </w:r>
      <w:r w:rsidR="001D723D" w:rsidRPr="001C3EC8">
        <w:rPr>
          <w:color w:val="000000" w:themeColor="text1"/>
          <w:lang w:eastAsia="cs-CZ"/>
        </w:rPr>
        <w:t>o </w:t>
      </w:r>
      <w:r w:rsidRPr="001C3EC8">
        <w:rPr>
          <w:color w:val="000000" w:themeColor="text1"/>
          <w:lang w:eastAsia="cs-CZ"/>
        </w:rPr>
        <w:t xml:space="preserve">drogových trestných činech či o </w:t>
      </w:r>
      <w:r w:rsidR="00157663" w:rsidRPr="001C3EC8">
        <w:rPr>
          <w:color w:val="000000" w:themeColor="text1"/>
          <w:lang w:eastAsia="cs-CZ"/>
        </w:rPr>
        <w:t>obchodová</w:t>
      </w:r>
      <w:r w:rsidR="00081D57" w:rsidRPr="001C3EC8">
        <w:rPr>
          <w:color w:val="000000" w:themeColor="text1"/>
          <w:lang w:eastAsia="cs-CZ"/>
        </w:rPr>
        <w:t>ní</w:t>
      </w:r>
      <w:r w:rsidR="00157663" w:rsidRPr="001C3EC8">
        <w:rPr>
          <w:color w:val="000000" w:themeColor="text1"/>
          <w:lang w:eastAsia="cs-CZ"/>
        </w:rPr>
        <w:t xml:space="preserve"> s lidmi</w:t>
      </w:r>
      <w:r w:rsidRPr="001C3EC8">
        <w:rPr>
          <w:color w:val="000000" w:themeColor="text1"/>
          <w:lang w:eastAsia="cs-CZ"/>
        </w:rPr>
        <w:t xml:space="preserve"> (například </w:t>
      </w:r>
      <w:hyperlink r:id="rId139" w:history="1">
        <w:r w:rsidRPr="00021FDD">
          <w:rPr>
            <w:rStyle w:val="Hypertextovodkaz"/>
          </w:rPr>
          <w:t>zde</w:t>
        </w:r>
      </w:hyperlink>
      <w:r w:rsidR="00663949" w:rsidRPr="001C3EC8">
        <w:rPr>
          <w:color w:val="000000" w:themeColor="text1"/>
          <w:lang w:eastAsia="cs-CZ"/>
        </w:rPr>
        <w:t>)</w:t>
      </w:r>
      <w:r w:rsidRPr="001C3EC8">
        <w:rPr>
          <w:color w:val="000000" w:themeColor="text1"/>
          <w:lang w:eastAsia="cs-CZ"/>
        </w:rPr>
        <w:t xml:space="preserve">. Tato zpráva se ale zaměřuje na personální </w:t>
      </w:r>
      <w:proofErr w:type="gramStart"/>
      <w:r w:rsidRPr="001C3EC8">
        <w:rPr>
          <w:color w:val="000000" w:themeColor="text1"/>
          <w:lang w:eastAsia="cs-CZ"/>
        </w:rPr>
        <w:t>data</w:t>
      </w:r>
      <w:proofErr w:type="gramEnd"/>
      <w:r w:rsidRPr="001C3EC8">
        <w:rPr>
          <w:color w:val="000000" w:themeColor="text1"/>
          <w:lang w:eastAsia="cs-CZ"/>
        </w:rPr>
        <w:t xml:space="preserve">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hlavně na data </w:t>
      </w:r>
      <w:r w:rsidR="00021FDD" w:rsidRPr="001C3EC8">
        <w:rPr>
          <w:color w:val="000000" w:themeColor="text1"/>
          <w:lang w:eastAsia="cs-CZ"/>
        </w:rPr>
        <w:t>o</w:t>
      </w:r>
      <w:r w:rsidR="00021FDD">
        <w:rPr>
          <w:color w:val="000000" w:themeColor="text1"/>
          <w:lang w:eastAsia="cs-CZ"/>
        </w:rPr>
        <w:t> </w:t>
      </w:r>
      <w:r w:rsidRPr="001C3EC8">
        <w:rPr>
          <w:color w:val="000000" w:themeColor="text1"/>
          <w:lang w:eastAsia="cs-CZ"/>
        </w:rPr>
        <w:t xml:space="preserve">vyřizování věcí </w:t>
      </w:r>
      <w:r w:rsidR="00021FDD" w:rsidRPr="001C3EC8">
        <w:rPr>
          <w:color w:val="000000" w:themeColor="text1"/>
          <w:lang w:eastAsia="cs-CZ"/>
        </w:rPr>
        <w:t>a</w:t>
      </w:r>
      <w:r w:rsidR="00021FDD">
        <w:rPr>
          <w:color w:val="000000" w:themeColor="text1"/>
          <w:lang w:eastAsia="cs-CZ"/>
        </w:rPr>
        <w:t> </w:t>
      </w:r>
      <w:r w:rsidRPr="001C3EC8">
        <w:rPr>
          <w:color w:val="000000" w:themeColor="text1"/>
          <w:lang w:eastAsia="cs-CZ"/>
        </w:rPr>
        <w:t xml:space="preserve">výkonu soudní soustavy. Pro anglicky mluvící zájemce rozhodně můžeme doporučit velmi rozsáhlou zprávu </w:t>
      </w:r>
      <w:r w:rsidRPr="001C3EC8">
        <w:rPr>
          <w:color w:val="000000" w:themeColor="text1"/>
        </w:rPr>
        <w:t>CEPEJ</w:t>
      </w:r>
      <w:r w:rsidRPr="001C3EC8">
        <w:rPr>
          <w:rStyle w:val="Znakapoznpodarou"/>
          <w:color w:val="000000" w:themeColor="text1"/>
        </w:rPr>
        <w:footnoteReference w:id="13"/>
      </w:r>
      <w:r w:rsidRPr="001C3EC8">
        <w:rPr>
          <w:color w:val="000000" w:themeColor="text1"/>
        </w:rPr>
        <w:t xml:space="preserve"> nazvanou „</w:t>
      </w:r>
      <w:proofErr w:type="spellStart"/>
      <w:r w:rsidR="00FE43FA" w:rsidRPr="001C3EC8">
        <w:rPr>
          <w:color w:val="000000" w:themeColor="text1"/>
        </w:rPr>
        <w:t>Efficiency</w:t>
      </w:r>
      <w:proofErr w:type="spellEnd"/>
      <w:r w:rsidR="00FE43FA" w:rsidRPr="001C3EC8">
        <w:rPr>
          <w:color w:val="000000" w:themeColor="text1"/>
        </w:rPr>
        <w:t xml:space="preserve"> and </w:t>
      </w:r>
      <w:proofErr w:type="spellStart"/>
      <w:r w:rsidR="00FE43FA" w:rsidRPr="001C3EC8">
        <w:rPr>
          <w:color w:val="000000" w:themeColor="text1"/>
        </w:rPr>
        <w:t>Quality</w:t>
      </w:r>
      <w:proofErr w:type="spellEnd"/>
      <w:r w:rsidR="00FE43FA" w:rsidRPr="001C3EC8">
        <w:rPr>
          <w:color w:val="000000" w:themeColor="text1"/>
        </w:rPr>
        <w:t xml:space="preserve"> </w:t>
      </w:r>
      <w:proofErr w:type="spellStart"/>
      <w:r w:rsidR="00FE43FA" w:rsidRPr="001C3EC8">
        <w:rPr>
          <w:color w:val="000000" w:themeColor="text1"/>
        </w:rPr>
        <w:t>of</w:t>
      </w:r>
      <w:proofErr w:type="spellEnd"/>
      <w:r w:rsidR="00FE43FA" w:rsidRPr="001C3EC8">
        <w:rPr>
          <w:color w:val="000000" w:themeColor="text1"/>
        </w:rPr>
        <w:t xml:space="preserve"> Justice in </w:t>
      </w:r>
      <w:proofErr w:type="spellStart"/>
      <w:r w:rsidR="00FE43FA" w:rsidRPr="001C3EC8">
        <w:rPr>
          <w:color w:val="000000" w:themeColor="text1"/>
        </w:rPr>
        <w:t>Europe</w:t>
      </w:r>
      <w:proofErr w:type="spellEnd"/>
      <w:r w:rsidR="00FE43FA" w:rsidRPr="001C3EC8">
        <w:rPr>
          <w:color w:val="000000" w:themeColor="text1"/>
        </w:rPr>
        <w:t>: 2020 Report</w:t>
      </w:r>
      <w:r w:rsidRPr="001C3EC8">
        <w:rPr>
          <w:color w:val="000000" w:themeColor="text1"/>
        </w:rPr>
        <w:t>“</w:t>
      </w:r>
      <w:r w:rsidRPr="001C3EC8">
        <w:rPr>
          <w:rStyle w:val="Znakapoznpodarou"/>
          <w:color w:val="000000" w:themeColor="text1"/>
          <w:lang w:eastAsia="cs-CZ"/>
        </w:rPr>
        <w:footnoteReference w:id="14"/>
      </w:r>
      <w:r w:rsidRPr="001C3EC8">
        <w:rPr>
          <w:color w:val="000000" w:themeColor="text1"/>
        </w:rPr>
        <w:t xml:space="preserve">. </w:t>
      </w:r>
      <w:r w:rsidR="001D723D" w:rsidRPr="001C3EC8">
        <w:rPr>
          <w:color w:val="000000" w:themeColor="text1"/>
        </w:rPr>
        <w:t>Zpráva</w:t>
      </w:r>
      <w:r w:rsidRPr="001C3EC8">
        <w:rPr>
          <w:color w:val="000000" w:themeColor="text1"/>
        </w:rPr>
        <w:t xml:space="preserve"> na více než 100 </w:t>
      </w:r>
      <w:r w:rsidR="001D723D" w:rsidRPr="001C3EC8">
        <w:rPr>
          <w:color w:val="000000" w:themeColor="text1"/>
        </w:rPr>
        <w:t xml:space="preserve">stranách </w:t>
      </w:r>
      <w:r w:rsidRPr="001C3EC8">
        <w:rPr>
          <w:color w:val="000000" w:themeColor="text1"/>
        </w:rPr>
        <w:t>srovnává rozpočty, personální zabezpečení, kvalitu či výkon soudních soustav členských států.</w:t>
      </w:r>
    </w:p>
    <w:p w14:paraId="6DAD1593" w14:textId="78E42A44" w:rsidR="00F66F3C" w:rsidRPr="001C3EC8" w:rsidRDefault="008430BD" w:rsidP="00F66F3C">
      <w:pPr>
        <w:rPr>
          <w:color w:val="000000" w:themeColor="text1"/>
        </w:rPr>
      </w:pPr>
      <w:r w:rsidRPr="001C3EC8">
        <w:rPr>
          <w:color w:val="000000" w:themeColor="text1"/>
        </w:rPr>
        <w:t xml:space="preserve">My si v této zprávě dovolíme využít data z jiné </w:t>
      </w:r>
      <w:r w:rsidR="001D723D" w:rsidRPr="001C3EC8">
        <w:rPr>
          <w:color w:val="000000" w:themeColor="text1"/>
        </w:rPr>
        <w:t>zprávy</w:t>
      </w:r>
      <w:r w:rsidRPr="001C3EC8">
        <w:rPr>
          <w:color w:val="000000" w:themeColor="text1"/>
        </w:rPr>
        <w:t xml:space="preserve">, </w:t>
      </w:r>
      <w:r w:rsidR="001D723D" w:rsidRPr="001C3EC8">
        <w:rPr>
          <w:color w:val="000000" w:themeColor="text1"/>
        </w:rPr>
        <w:t>kterou je</w:t>
      </w:r>
      <w:r w:rsidRPr="001C3EC8">
        <w:rPr>
          <w:color w:val="000000" w:themeColor="text1"/>
        </w:rPr>
        <w:t xml:space="preserve"> tzv. EU Justice </w:t>
      </w:r>
      <w:proofErr w:type="spellStart"/>
      <w:r w:rsidR="00FE43FA" w:rsidRPr="001C3EC8">
        <w:rPr>
          <w:color w:val="000000" w:themeColor="text1"/>
        </w:rPr>
        <w:t>S</w:t>
      </w:r>
      <w:r w:rsidRPr="001C3EC8">
        <w:rPr>
          <w:color w:val="000000" w:themeColor="text1"/>
        </w:rPr>
        <w:t>coreboard</w:t>
      </w:r>
      <w:proofErr w:type="spellEnd"/>
      <w:r w:rsidRPr="001C3EC8">
        <w:rPr>
          <w:color w:val="000000" w:themeColor="text1"/>
        </w:rPr>
        <w:t xml:space="preserve"> (Srovnávací přehled EU </w:t>
      </w:r>
      <w:r w:rsidR="00021FDD" w:rsidRPr="001C3EC8">
        <w:rPr>
          <w:color w:val="000000" w:themeColor="text1"/>
        </w:rPr>
        <w:t>o</w:t>
      </w:r>
      <w:r w:rsidR="00021FDD">
        <w:rPr>
          <w:color w:val="000000" w:themeColor="text1"/>
        </w:rPr>
        <w:t> </w:t>
      </w:r>
      <w:r w:rsidRPr="001C3EC8">
        <w:rPr>
          <w:color w:val="000000" w:themeColor="text1"/>
        </w:rPr>
        <w:t>soudnictví za rok 2020)</w:t>
      </w:r>
      <w:r w:rsidRPr="001C3EC8">
        <w:rPr>
          <w:rStyle w:val="Znakapoznpodarou"/>
          <w:color w:val="000000" w:themeColor="text1"/>
        </w:rPr>
        <w:footnoteReference w:id="15"/>
      </w:r>
      <w:r w:rsidRPr="001C3EC8">
        <w:rPr>
          <w:color w:val="000000" w:themeColor="text1"/>
        </w:rPr>
        <w:t xml:space="preserve">. Tento dokument srovnává justiční systémy členských států EU. Zabývá se pouze netrestními agendami. Vychází z různých zdrojů včetně výše uvedeného reportu CEPEJ. Níže uvádíme několik vybraných grafů ze zprávy EU </w:t>
      </w:r>
      <w:proofErr w:type="spellStart"/>
      <w:r w:rsidRPr="001C3EC8">
        <w:rPr>
          <w:color w:val="000000" w:themeColor="text1"/>
        </w:rPr>
        <w:t>Scoreboard</w:t>
      </w:r>
      <w:proofErr w:type="spellEnd"/>
      <w:r w:rsidRPr="001C3EC8">
        <w:rPr>
          <w:color w:val="000000" w:themeColor="text1"/>
        </w:rPr>
        <w:t xml:space="preserve"> kombinovaných se zprávou CEPEJ. Před uvedením statistik je na místě podoktnout, že každý stát je unikátní, liší se jejich justiční systémy </w:t>
      </w:r>
      <w:r w:rsidR="00021FDD" w:rsidRPr="001C3EC8">
        <w:rPr>
          <w:color w:val="000000" w:themeColor="text1"/>
        </w:rPr>
        <w:t>i</w:t>
      </w:r>
      <w:r w:rsidR="00021FDD">
        <w:rPr>
          <w:color w:val="000000" w:themeColor="text1"/>
        </w:rPr>
        <w:t> </w:t>
      </w:r>
      <w:r w:rsidRPr="001C3EC8">
        <w:rPr>
          <w:color w:val="000000" w:themeColor="text1"/>
        </w:rPr>
        <w:t xml:space="preserve">způsob vykazování dat. To je třeba brát při interpretaci dat </w:t>
      </w:r>
      <w:r w:rsidR="00021FDD" w:rsidRPr="001C3EC8">
        <w:rPr>
          <w:color w:val="000000" w:themeColor="text1"/>
        </w:rPr>
        <w:t>v</w:t>
      </w:r>
      <w:r w:rsidR="00021FDD">
        <w:rPr>
          <w:color w:val="000000" w:themeColor="text1"/>
        </w:rPr>
        <w:t> </w:t>
      </w:r>
      <w:r w:rsidR="0043419B" w:rsidRPr="001C3EC8">
        <w:rPr>
          <w:color w:val="000000" w:themeColor="text1"/>
        </w:rPr>
        <w:t>úvahu</w:t>
      </w:r>
      <w:r w:rsidRPr="001C3EC8">
        <w:rPr>
          <w:color w:val="000000" w:themeColor="text1"/>
        </w:rPr>
        <w:t xml:space="preserve">. </w:t>
      </w:r>
      <w:r w:rsidR="00F66F3C" w:rsidRPr="001C3EC8">
        <w:rPr>
          <w:color w:val="000000" w:themeColor="text1"/>
        </w:rPr>
        <w:t xml:space="preserve">Seznam použitých zkratek zemí je </w:t>
      </w:r>
      <w:r w:rsidR="001D723D" w:rsidRPr="001C3EC8">
        <w:rPr>
          <w:color w:val="000000" w:themeColor="text1"/>
        </w:rPr>
        <w:t>uveden</w:t>
      </w:r>
      <w:r w:rsidR="00F66F3C" w:rsidRPr="001C3EC8">
        <w:rPr>
          <w:color w:val="000000" w:themeColor="text1"/>
        </w:rPr>
        <w:t xml:space="preserve"> na konci této kapitoly.</w:t>
      </w:r>
    </w:p>
    <w:p w14:paraId="14331AB3" w14:textId="21A24BC3" w:rsidR="00F66F3C" w:rsidRPr="001C3EC8" w:rsidRDefault="00F66F3C" w:rsidP="008430BD">
      <w:pPr>
        <w:rPr>
          <w:color w:val="000000" w:themeColor="text1"/>
        </w:rPr>
      </w:pPr>
    </w:p>
    <w:p w14:paraId="7F3D5028" w14:textId="44F29171" w:rsidR="008430BD" w:rsidRPr="001C3EC8" w:rsidRDefault="00F66F3C" w:rsidP="00F66F3C">
      <w:pPr>
        <w:pStyle w:val="Podnadpis"/>
        <w:rPr>
          <w:color w:val="000000" w:themeColor="text1"/>
        </w:rPr>
      </w:pPr>
      <w:bookmarkStart w:id="919" w:name="_Toc75952294"/>
      <w:r w:rsidRPr="001C3EC8">
        <w:rPr>
          <w:color w:val="000000" w:themeColor="text1"/>
        </w:rPr>
        <w:t xml:space="preserve">Graf </w:t>
      </w:r>
      <w:r w:rsidR="00F521C6" w:rsidRPr="001C3EC8">
        <w:rPr>
          <w:color w:val="000000" w:themeColor="text1"/>
        </w:rPr>
        <w:fldChar w:fldCharType="begin"/>
      </w:r>
      <w:r w:rsidR="00F521C6" w:rsidRPr="001C3EC8">
        <w:rPr>
          <w:color w:val="000000" w:themeColor="text1"/>
        </w:rPr>
        <w:instrText xml:space="preserve"> SEQ Graf \* ARABIC </w:instrText>
      </w:r>
      <w:r w:rsidR="00F521C6" w:rsidRPr="001C3EC8">
        <w:rPr>
          <w:color w:val="000000" w:themeColor="text1"/>
        </w:rPr>
        <w:fldChar w:fldCharType="separate"/>
      </w:r>
      <w:r w:rsidR="009C575D">
        <w:rPr>
          <w:noProof/>
          <w:color w:val="000000" w:themeColor="text1"/>
        </w:rPr>
        <w:t>114</w:t>
      </w:r>
      <w:r w:rsidR="00F521C6" w:rsidRPr="001C3EC8">
        <w:rPr>
          <w:noProof/>
          <w:color w:val="000000" w:themeColor="text1"/>
        </w:rPr>
        <w:fldChar w:fldCharType="end"/>
      </w:r>
      <w:r w:rsidRPr="001C3EC8">
        <w:rPr>
          <w:color w:val="000000" w:themeColor="text1"/>
        </w:rPr>
        <w:t xml:space="preserve">: </w:t>
      </w:r>
      <w:r w:rsidR="008430BD" w:rsidRPr="001C3EC8">
        <w:rPr>
          <w:color w:val="000000" w:themeColor="text1"/>
        </w:rPr>
        <w:t>Počet soudců na 100</w:t>
      </w:r>
      <w:r w:rsidR="0043419B" w:rsidRPr="001C3EC8">
        <w:rPr>
          <w:color w:val="000000" w:themeColor="text1"/>
        </w:rPr>
        <w:t xml:space="preserve"> </w:t>
      </w:r>
      <w:r w:rsidR="008430BD" w:rsidRPr="001C3EC8">
        <w:rPr>
          <w:color w:val="000000" w:themeColor="text1"/>
        </w:rPr>
        <w:t>000 obyvatel</w:t>
      </w:r>
      <w:bookmarkEnd w:id="919"/>
    </w:p>
    <w:p w14:paraId="1CB242BC"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215524F5" wp14:editId="5A7790B0">
            <wp:extent cx="5759450" cy="2245500"/>
            <wp:effectExtent l="0" t="0" r="0" b="2540"/>
            <wp:docPr id="312" name="Obráze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59450" cy="2245500"/>
                    </a:xfrm>
                    <a:prstGeom prst="rect">
                      <a:avLst/>
                    </a:prstGeom>
                  </pic:spPr>
                </pic:pic>
              </a:graphicData>
            </a:graphic>
          </wp:inline>
        </w:drawing>
      </w:r>
    </w:p>
    <w:p w14:paraId="7DB6ECA7" w14:textId="43C78C90" w:rsidR="008430BD" w:rsidRPr="001C3EC8" w:rsidRDefault="008430BD" w:rsidP="008430BD">
      <w:pPr>
        <w:rPr>
          <w:color w:val="000000" w:themeColor="text1"/>
          <w:sz w:val="18"/>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38</w:t>
      </w:r>
    </w:p>
    <w:p w14:paraId="6DA1B202" w14:textId="77777777" w:rsidR="008430BD" w:rsidRPr="001C3EC8" w:rsidRDefault="008430BD" w:rsidP="008430BD">
      <w:pPr>
        <w:rPr>
          <w:color w:val="000000" w:themeColor="text1"/>
        </w:rPr>
      </w:pPr>
    </w:p>
    <w:p w14:paraId="6F36F3EE" w14:textId="0DF61288" w:rsidR="008430BD" w:rsidRPr="001C3EC8" w:rsidRDefault="008430BD" w:rsidP="008430BD">
      <w:pPr>
        <w:rPr>
          <w:color w:val="000000" w:themeColor="text1"/>
        </w:rPr>
      </w:pPr>
      <w:r w:rsidRPr="001C3EC8">
        <w:rPr>
          <w:color w:val="000000" w:themeColor="text1"/>
        </w:rPr>
        <w:t>Jak je vidět z grafu, počet soudců na 100</w:t>
      </w:r>
      <w:r w:rsidR="0043419B" w:rsidRPr="001C3EC8">
        <w:rPr>
          <w:color w:val="000000" w:themeColor="text1"/>
        </w:rPr>
        <w:t xml:space="preserve"> </w:t>
      </w:r>
      <w:r w:rsidRPr="001C3EC8">
        <w:rPr>
          <w:color w:val="000000" w:themeColor="text1"/>
        </w:rPr>
        <w:t xml:space="preserve">000 obyvatel </w:t>
      </w:r>
      <w:r w:rsidR="00F66F3C" w:rsidRPr="001C3EC8">
        <w:rPr>
          <w:color w:val="000000" w:themeColor="text1"/>
        </w:rPr>
        <w:t xml:space="preserve">se </w:t>
      </w:r>
      <w:r w:rsidR="001F0A0A">
        <w:rPr>
          <w:color w:val="000000" w:themeColor="text1"/>
        </w:rPr>
        <w:t>v roce 2018 pohyboval</w:t>
      </w:r>
      <w:r w:rsidR="001F0A0A" w:rsidRPr="001C3EC8">
        <w:rPr>
          <w:color w:val="000000" w:themeColor="text1"/>
        </w:rPr>
        <w:t xml:space="preserve"> </w:t>
      </w:r>
      <w:r w:rsidR="002A2C14" w:rsidRPr="001C3EC8">
        <w:rPr>
          <w:color w:val="000000" w:themeColor="text1"/>
        </w:rPr>
        <w:t>v</w:t>
      </w:r>
      <w:r w:rsidR="001F0A0A">
        <w:rPr>
          <w:color w:val="000000" w:themeColor="text1"/>
        </w:rPr>
        <w:t xml:space="preserve"> zemích </w:t>
      </w:r>
      <w:r w:rsidR="002A2C14" w:rsidRPr="001C3EC8">
        <w:rPr>
          <w:color w:val="000000" w:themeColor="text1"/>
        </w:rPr>
        <w:t xml:space="preserve">EU </w:t>
      </w:r>
      <w:r w:rsidRPr="001C3EC8">
        <w:rPr>
          <w:color w:val="000000" w:themeColor="text1"/>
        </w:rPr>
        <w:t xml:space="preserve">mezi </w:t>
      </w:r>
      <w:r w:rsidR="00021FDD" w:rsidRPr="001C3EC8">
        <w:rPr>
          <w:color w:val="000000" w:themeColor="text1"/>
        </w:rPr>
        <w:t>3</w:t>
      </w:r>
      <w:r w:rsidR="00021FDD">
        <w:rPr>
          <w:color w:val="000000" w:themeColor="text1"/>
        </w:rPr>
        <w:t> </w:t>
      </w:r>
      <w:r w:rsidRPr="001C3EC8">
        <w:rPr>
          <w:color w:val="000000" w:themeColor="text1"/>
        </w:rPr>
        <w:t>až 4</w:t>
      </w:r>
      <w:r w:rsidR="004F4260" w:rsidRPr="001C3EC8">
        <w:rPr>
          <w:color w:val="000000" w:themeColor="text1"/>
        </w:rPr>
        <w:t>2</w:t>
      </w:r>
      <w:r w:rsidRPr="001C3EC8">
        <w:rPr>
          <w:color w:val="000000" w:themeColor="text1"/>
        </w:rPr>
        <w:t xml:space="preserve"> soudci</w:t>
      </w:r>
      <w:r w:rsidR="00B67582">
        <w:rPr>
          <w:color w:val="000000" w:themeColor="text1"/>
        </w:rPr>
        <w:t xml:space="preserve"> (</w:t>
      </w:r>
      <w:r w:rsidR="00021FDD">
        <w:rPr>
          <w:color w:val="000000" w:themeColor="text1"/>
        </w:rPr>
        <w:t>v </w:t>
      </w:r>
      <w:r w:rsidR="00B67582">
        <w:rPr>
          <w:color w:val="000000" w:themeColor="text1"/>
        </w:rPr>
        <w:t>ČR 28,</w:t>
      </w:r>
      <w:r w:rsidR="00021FDD">
        <w:rPr>
          <w:color w:val="000000" w:themeColor="text1"/>
        </w:rPr>
        <w:t>4 </w:t>
      </w:r>
      <w:r w:rsidR="00B67582">
        <w:rPr>
          <w:color w:val="000000" w:themeColor="text1"/>
        </w:rPr>
        <w:t>vs. průměr za celou EU 22,</w:t>
      </w:r>
      <w:r w:rsidR="00021FDD">
        <w:rPr>
          <w:color w:val="000000" w:themeColor="text1"/>
        </w:rPr>
        <w:t>4 </w:t>
      </w:r>
      <w:r w:rsidR="00B67582">
        <w:rPr>
          <w:color w:val="000000" w:themeColor="text1"/>
        </w:rPr>
        <w:t>soudce / 100 tis. obyv.)</w:t>
      </w:r>
      <w:r w:rsidRPr="001C3EC8">
        <w:rPr>
          <w:color w:val="000000" w:themeColor="text1"/>
        </w:rPr>
        <w:t xml:space="preserve">. Dále snadno zjistíme, že v čase se počty soudců v jednotlivých zemích </w:t>
      </w:r>
      <w:r w:rsidR="004F4260" w:rsidRPr="001C3EC8">
        <w:rPr>
          <w:color w:val="000000" w:themeColor="text1"/>
        </w:rPr>
        <w:t>příliš nemění</w:t>
      </w:r>
      <w:r w:rsidRPr="001C3EC8">
        <w:rPr>
          <w:color w:val="000000" w:themeColor="text1"/>
        </w:rPr>
        <w:t>. Zajímavé by také mohlo být srovnání počtu soudců na 100</w:t>
      </w:r>
      <w:r w:rsidR="0043419B" w:rsidRPr="001C3EC8">
        <w:rPr>
          <w:color w:val="000000" w:themeColor="text1"/>
        </w:rPr>
        <w:t xml:space="preserve"> </w:t>
      </w:r>
      <w:r w:rsidRPr="001C3EC8">
        <w:rPr>
          <w:color w:val="000000" w:themeColor="text1"/>
        </w:rPr>
        <w:t>000</w:t>
      </w:r>
      <w:r w:rsidR="0043419B" w:rsidRPr="001C3EC8">
        <w:rPr>
          <w:color w:val="000000" w:themeColor="text1"/>
        </w:rPr>
        <w:t xml:space="preserve"> </w:t>
      </w:r>
      <w:r w:rsidRPr="001C3EC8">
        <w:rPr>
          <w:color w:val="000000" w:themeColor="text1"/>
        </w:rPr>
        <w:t>obyvatel s velikostí země (počtem obyvatel země)</w:t>
      </w:r>
      <w:r w:rsidR="0060457B" w:rsidRPr="001C3EC8">
        <w:rPr>
          <w:color w:val="000000" w:themeColor="text1"/>
        </w:rPr>
        <w:t xml:space="preserve"> nebo</w:t>
      </w:r>
      <w:r w:rsidR="001D7559" w:rsidRPr="001C3EC8">
        <w:rPr>
          <w:color w:val="000000" w:themeColor="text1"/>
        </w:rPr>
        <w:t> s </w:t>
      </w:r>
      <w:r w:rsidR="0060457B" w:rsidRPr="001C3EC8">
        <w:rPr>
          <w:color w:val="000000" w:themeColor="text1"/>
        </w:rPr>
        <w:t>geografickou polohou v rámci EU (smě</w:t>
      </w:r>
      <w:r w:rsidR="001D7559" w:rsidRPr="001C3EC8">
        <w:rPr>
          <w:color w:val="000000" w:themeColor="text1"/>
        </w:rPr>
        <w:t>r severozápad – jihovýchod)</w:t>
      </w:r>
      <w:r w:rsidRPr="001C3EC8">
        <w:rPr>
          <w:color w:val="000000" w:themeColor="text1"/>
        </w:rPr>
        <w:t xml:space="preserve">, </w:t>
      </w:r>
      <w:r w:rsidR="0060457B" w:rsidRPr="001C3EC8">
        <w:rPr>
          <w:color w:val="000000" w:themeColor="text1"/>
        </w:rPr>
        <w:t xml:space="preserve">taková </w:t>
      </w:r>
      <w:r w:rsidRPr="001C3EC8">
        <w:rPr>
          <w:color w:val="000000" w:themeColor="text1"/>
        </w:rPr>
        <w:t xml:space="preserve">zkoumání však </w:t>
      </w:r>
      <w:r w:rsidR="0060457B" w:rsidRPr="001C3EC8">
        <w:rPr>
          <w:color w:val="000000" w:themeColor="text1"/>
        </w:rPr>
        <w:t xml:space="preserve">nejsou </w:t>
      </w:r>
      <w:r w:rsidRPr="001C3EC8">
        <w:rPr>
          <w:color w:val="000000" w:themeColor="text1"/>
        </w:rPr>
        <w:t>předmětem této zprávy.</w:t>
      </w:r>
    </w:p>
    <w:p w14:paraId="37325800" w14:textId="77777777" w:rsidR="001F0A0A" w:rsidRDefault="001F0A0A">
      <w:pPr>
        <w:spacing w:after="160" w:line="259" w:lineRule="auto"/>
        <w:jc w:val="left"/>
        <w:rPr>
          <w:color w:val="000000" w:themeColor="text1"/>
        </w:rPr>
      </w:pPr>
    </w:p>
    <w:p w14:paraId="4A7F70C6" w14:textId="77777777" w:rsidR="00944075" w:rsidRDefault="00944075">
      <w:pPr>
        <w:spacing w:after="160" w:line="259" w:lineRule="auto"/>
        <w:jc w:val="left"/>
        <w:rPr>
          <w:rFonts w:eastAsia="Times New Roman"/>
          <w:b/>
          <w:iCs/>
          <w:color w:val="000000" w:themeColor="text1"/>
          <w:spacing w:val="15"/>
          <w:szCs w:val="24"/>
        </w:rPr>
      </w:pPr>
      <w:r>
        <w:rPr>
          <w:color w:val="000000" w:themeColor="text1"/>
        </w:rPr>
        <w:br w:type="page"/>
      </w:r>
    </w:p>
    <w:p w14:paraId="16BEBC57" w14:textId="61B803CD" w:rsidR="008430BD" w:rsidRPr="001C3EC8" w:rsidRDefault="00692E2E" w:rsidP="00EE6348">
      <w:pPr>
        <w:pStyle w:val="Podnadpis"/>
        <w:rPr>
          <w:color w:val="000000" w:themeColor="text1"/>
        </w:rPr>
      </w:pPr>
      <w:bookmarkStart w:id="920" w:name="_Toc75952295"/>
      <w:r w:rsidRPr="001C3EC8">
        <w:rPr>
          <w:color w:val="000000" w:themeColor="text1"/>
        </w:rPr>
        <w:lastRenderedPageBreak/>
        <w:t xml:space="preserve">Graf </w:t>
      </w:r>
      <w:r w:rsidR="00F521C6" w:rsidRPr="001C3EC8">
        <w:rPr>
          <w:color w:val="000000" w:themeColor="text1"/>
        </w:rPr>
        <w:fldChar w:fldCharType="begin"/>
      </w:r>
      <w:r w:rsidR="00F521C6" w:rsidRPr="001C3EC8">
        <w:rPr>
          <w:color w:val="000000" w:themeColor="text1"/>
        </w:rPr>
        <w:instrText xml:space="preserve"> SEQ Graf \* ARABIC </w:instrText>
      </w:r>
      <w:r w:rsidR="00F521C6" w:rsidRPr="001C3EC8">
        <w:rPr>
          <w:color w:val="000000" w:themeColor="text1"/>
        </w:rPr>
        <w:fldChar w:fldCharType="separate"/>
      </w:r>
      <w:r w:rsidR="009C575D">
        <w:rPr>
          <w:noProof/>
          <w:color w:val="000000" w:themeColor="text1"/>
        </w:rPr>
        <w:t>115</w:t>
      </w:r>
      <w:r w:rsidR="00F521C6" w:rsidRPr="001C3EC8">
        <w:rPr>
          <w:noProof/>
          <w:color w:val="000000" w:themeColor="text1"/>
        </w:rPr>
        <w:fldChar w:fldCharType="end"/>
      </w:r>
      <w:r w:rsidRPr="001C3EC8">
        <w:rPr>
          <w:color w:val="000000" w:themeColor="text1"/>
        </w:rPr>
        <w:t>:</w:t>
      </w:r>
      <w:r w:rsidR="00EE6348" w:rsidRPr="001C3EC8">
        <w:rPr>
          <w:color w:val="000000" w:themeColor="text1"/>
        </w:rPr>
        <w:t xml:space="preserve"> </w:t>
      </w:r>
      <w:r w:rsidR="008430BD" w:rsidRPr="001C3EC8">
        <w:rPr>
          <w:color w:val="000000" w:themeColor="text1"/>
        </w:rPr>
        <w:t>Podíl žen mezi soudci nejvyšších soudů</w:t>
      </w:r>
      <w:bookmarkEnd w:id="920"/>
    </w:p>
    <w:p w14:paraId="2E4C0AA8" w14:textId="77777777" w:rsidR="008430BD" w:rsidRPr="001C3EC8" w:rsidRDefault="008430BD" w:rsidP="008430BD">
      <w:pPr>
        <w:rPr>
          <w:b/>
          <w:color w:val="000000" w:themeColor="text1"/>
        </w:rPr>
      </w:pPr>
    </w:p>
    <w:p w14:paraId="4204FAD5" w14:textId="2FB70964" w:rsidR="00EE6348" w:rsidRPr="001C3EC8" w:rsidRDefault="008430BD" w:rsidP="008430BD">
      <w:pPr>
        <w:rPr>
          <w:b/>
          <w:color w:val="000000" w:themeColor="text1"/>
        </w:rPr>
      </w:pPr>
      <w:r w:rsidRPr="001C3EC8">
        <w:rPr>
          <w:b/>
          <w:noProof/>
          <w:color w:val="000000" w:themeColor="text1"/>
          <w:lang w:eastAsia="cs-CZ"/>
        </w:rPr>
        <w:drawing>
          <wp:inline distT="0" distB="0" distL="0" distR="0" wp14:anchorId="37F686EE" wp14:editId="07A32DE2">
            <wp:extent cx="5759450" cy="2522220"/>
            <wp:effectExtent l="0" t="0" r="0" b="0"/>
            <wp:docPr id="315" name="Obráze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59450" cy="2522220"/>
                    </a:xfrm>
                    <a:prstGeom prst="rect">
                      <a:avLst/>
                    </a:prstGeom>
                  </pic:spPr>
                </pic:pic>
              </a:graphicData>
            </a:graphic>
          </wp:inline>
        </w:drawing>
      </w:r>
    </w:p>
    <w:p w14:paraId="0DADDF12" w14:textId="545C2122" w:rsidR="008430BD" w:rsidRPr="001C3EC8" w:rsidRDefault="008430BD" w:rsidP="008430BD">
      <w:pPr>
        <w:rPr>
          <w:color w:val="000000" w:themeColor="text1"/>
          <w:sz w:val="18"/>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38</w:t>
      </w:r>
    </w:p>
    <w:p w14:paraId="62536544" w14:textId="77777777" w:rsidR="008430BD" w:rsidRPr="001C3EC8" w:rsidRDefault="008430BD" w:rsidP="008430BD">
      <w:pPr>
        <w:rPr>
          <w:b/>
          <w:color w:val="000000" w:themeColor="text1"/>
        </w:rPr>
      </w:pPr>
    </w:p>
    <w:p w14:paraId="2967F02A" w14:textId="21FFFD16" w:rsidR="00B07E76" w:rsidRDefault="008430BD" w:rsidP="008430BD">
      <w:pPr>
        <w:rPr>
          <w:color w:val="000000" w:themeColor="text1"/>
        </w:rPr>
      </w:pPr>
      <w:r w:rsidRPr="001C3EC8">
        <w:rPr>
          <w:color w:val="000000" w:themeColor="text1"/>
        </w:rPr>
        <w:t xml:space="preserve">Srovnávací přehled EU bohužel neuvádí podíl žen mezi soudci nižších instancí nebo celkový podíl žen mezi všemi soudci. Graf však ukazuje, že podíl žen mezi soudci Nejvyššího soudu ČR je </w:t>
      </w:r>
      <w:r w:rsidR="001D7559" w:rsidRPr="001C3EC8">
        <w:rPr>
          <w:color w:val="000000" w:themeColor="text1"/>
        </w:rPr>
        <w:t>nízký</w:t>
      </w:r>
      <w:r w:rsidRPr="001C3EC8">
        <w:rPr>
          <w:color w:val="000000" w:themeColor="text1"/>
        </w:rPr>
        <w:t xml:space="preserve"> nejen v porovnání </w:t>
      </w:r>
      <w:r w:rsidR="00021FDD" w:rsidRPr="001C3EC8">
        <w:rPr>
          <w:color w:val="000000" w:themeColor="text1"/>
        </w:rPr>
        <w:t>s</w:t>
      </w:r>
      <w:r w:rsidR="00021FDD">
        <w:rPr>
          <w:color w:val="000000" w:themeColor="text1"/>
        </w:rPr>
        <w:t> </w:t>
      </w:r>
      <w:r w:rsidRPr="001C3EC8">
        <w:rPr>
          <w:color w:val="000000" w:themeColor="text1"/>
        </w:rPr>
        <w:t xml:space="preserve">českými soudy nižší instance, ale </w:t>
      </w:r>
      <w:r w:rsidR="00021FDD" w:rsidRPr="001C3EC8">
        <w:rPr>
          <w:color w:val="000000" w:themeColor="text1"/>
        </w:rPr>
        <w:t>i</w:t>
      </w:r>
      <w:r w:rsidR="00021FDD">
        <w:rPr>
          <w:color w:val="000000" w:themeColor="text1"/>
        </w:rPr>
        <w:t> </w:t>
      </w:r>
      <w:r w:rsidRPr="001C3EC8">
        <w:rPr>
          <w:color w:val="000000" w:themeColor="text1"/>
        </w:rPr>
        <w:t xml:space="preserve">ve srovnání </w:t>
      </w:r>
      <w:r w:rsidR="001D7559" w:rsidRPr="001C3EC8">
        <w:rPr>
          <w:color w:val="000000" w:themeColor="text1"/>
        </w:rPr>
        <w:t>se státy EU</w:t>
      </w:r>
      <w:r w:rsidRPr="001C3EC8">
        <w:rPr>
          <w:color w:val="000000" w:themeColor="text1"/>
        </w:rPr>
        <w:t>.</w:t>
      </w:r>
    </w:p>
    <w:p w14:paraId="7A0BF630" w14:textId="1325BA47" w:rsidR="008430BD" w:rsidRPr="001C3EC8" w:rsidRDefault="008430BD" w:rsidP="008430BD">
      <w:pPr>
        <w:rPr>
          <w:b/>
          <w:color w:val="000000" w:themeColor="text1"/>
        </w:rPr>
      </w:pPr>
    </w:p>
    <w:p w14:paraId="79F764DA" w14:textId="445E4275" w:rsidR="00AD49D9" w:rsidRPr="001C3EC8" w:rsidRDefault="00DB1395" w:rsidP="008430BD">
      <w:pPr>
        <w:rPr>
          <w:color w:val="000000" w:themeColor="text1"/>
        </w:rPr>
      </w:pPr>
      <w:r w:rsidRPr="001C3EC8">
        <w:rPr>
          <w:color w:val="000000" w:themeColor="text1"/>
        </w:rPr>
        <w:t xml:space="preserve">Počet soudců </w:t>
      </w:r>
      <w:r w:rsidR="008430BD" w:rsidRPr="001C3EC8">
        <w:rPr>
          <w:color w:val="000000" w:themeColor="text1"/>
        </w:rPr>
        <w:t xml:space="preserve">je jedním </w:t>
      </w:r>
      <w:r w:rsidR="001D723D" w:rsidRPr="001C3EC8">
        <w:rPr>
          <w:color w:val="000000" w:themeColor="text1"/>
        </w:rPr>
        <w:t xml:space="preserve">(nikoliv však jediným) </w:t>
      </w:r>
      <w:r w:rsidR="008430BD" w:rsidRPr="001C3EC8">
        <w:rPr>
          <w:color w:val="000000" w:themeColor="text1"/>
        </w:rPr>
        <w:t>z ukazatelů</w:t>
      </w:r>
      <w:r w:rsidR="00E10CA4">
        <w:rPr>
          <w:color w:val="000000" w:themeColor="text1"/>
        </w:rPr>
        <w:t xml:space="preserve"> </w:t>
      </w:r>
      <w:r w:rsidR="008430BD" w:rsidRPr="001C3EC8">
        <w:rPr>
          <w:color w:val="000000" w:themeColor="text1"/>
        </w:rPr>
        <w:t xml:space="preserve">dostupnosti spravedlnosti pro občany dané země. Dalším je například výše soudních poplatků. Níže uvádíme mezinárodní srovnání výše </w:t>
      </w:r>
      <w:r w:rsidR="00AD49D9" w:rsidRPr="001C3EC8">
        <w:rPr>
          <w:color w:val="000000" w:themeColor="text1"/>
        </w:rPr>
        <w:t xml:space="preserve">soudních </w:t>
      </w:r>
      <w:r w:rsidR="008430BD" w:rsidRPr="001C3EC8">
        <w:rPr>
          <w:color w:val="000000" w:themeColor="text1"/>
        </w:rPr>
        <w:t>poplatků</w:t>
      </w:r>
      <w:r w:rsidR="00AD49D9" w:rsidRPr="001C3EC8">
        <w:rPr>
          <w:color w:val="000000" w:themeColor="text1"/>
        </w:rPr>
        <w:t xml:space="preserve"> uveden</w:t>
      </w:r>
      <w:r w:rsidR="001D723D" w:rsidRPr="001C3EC8">
        <w:rPr>
          <w:color w:val="000000" w:themeColor="text1"/>
        </w:rPr>
        <w:t>é</w:t>
      </w:r>
      <w:r w:rsidR="00AD49D9" w:rsidRPr="001C3EC8">
        <w:rPr>
          <w:color w:val="000000" w:themeColor="text1"/>
        </w:rPr>
        <w:t xml:space="preserve"> jako podíl hodnoty nároku. Činí-li například na grafu níže soudní poplatek 10</w:t>
      </w:r>
      <w:r w:rsidR="00021FDD">
        <w:rPr>
          <w:color w:val="000000" w:themeColor="text1"/>
        </w:rPr>
        <w:t> </w:t>
      </w:r>
      <w:r w:rsidR="00AD49D9" w:rsidRPr="001C3EC8">
        <w:rPr>
          <w:color w:val="000000" w:themeColor="text1"/>
        </w:rPr>
        <w:t>% z</w:t>
      </w:r>
      <w:r w:rsidR="00021FDD">
        <w:rPr>
          <w:color w:val="000000" w:themeColor="text1"/>
        </w:rPr>
        <w:t> </w:t>
      </w:r>
      <w:r w:rsidR="00AD49D9" w:rsidRPr="001C3EC8">
        <w:rPr>
          <w:color w:val="000000" w:themeColor="text1"/>
        </w:rPr>
        <w:t xml:space="preserve">hodnoty nároku ve výši </w:t>
      </w:r>
      <w:r w:rsidR="00021FDD" w:rsidRPr="001C3EC8">
        <w:rPr>
          <w:color w:val="000000" w:themeColor="text1"/>
        </w:rPr>
        <w:t>6</w:t>
      </w:r>
      <w:r w:rsidR="00021FDD">
        <w:rPr>
          <w:color w:val="000000" w:themeColor="text1"/>
        </w:rPr>
        <w:t> </w:t>
      </w:r>
      <w:r w:rsidR="00AD49D9" w:rsidRPr="001C3EC8">
        <w:rPr>
          <w:color w:val="000000" w:themeColor="text1"/>
        </w:rPr>
        <w:t xml:space="preserve">000 EUR, musí spotřebitel za zahájení soudního řízení uhradit soudní poplatek ve výši 600 EUR. Nárok nízké hodnoty vychází </w:t>
      </w:r>
      <w:r w:rsidR="00021FDD" w:rsidRPr="001C3EC8">
        <w:rPr>
          <w:color w:val="000000" w:themeColor="text1"/>
        </w:rPr>
        <w:t>z</w:t>
      </w:r>
      <w:r w:rsidR="00021FDD">
        <w:rPr>
          <w:color w:val="000000" w:themeColor="text1"/>
        </w:rPr>
        <w:t> </w:t>
      </w:r>
      <w:r w:rsidR="00AD49D9" w:rsidRPr="001C3EC8">
        <w:rPr>
          <w:color w:val="000000" w:themeColor="text1"/>
        </w:rPr>
        <w:t xml:space="preserve">prahové hodnoty </w:t>
      </w:r>
      <w:proofErr w:type="spellStart"/>
      <w:r w:rsidR="00AD49D9" w:rsidRPr="001C3EC8">
        <w:rPr>
          <w:color w:val="000000" w:themeColor="text1"/>
        </w:rPr>
        <w:t>Eurostatu</w:t>
      </w:r>
      <w:proofErr w:type="spellEnd"/>
      <w:r w:rsidR="00AD49D9" w:rsidRPr="001C3EC8">
        <w:rPr>
          <w:color w:val="000000" w:themeColor="text1"/>
        </w:rPr>
        <w:t xml:space="preserve"> pro chudobu pro jednotlivé členské státy.</w:t>
      </w:r>
    </w:p>
    <w:p w14:paraId="01D7F486" w14:textId="77777777" w:rsidR="00C72A43" w:rsidRPr="001C3EC8" w:rsidRDefault="00C72A43" w:rsidP="008430BD">
      <w:pPr>
        <w:rPr>
          <w:color w:val="000000" w:themeColor="text1"/>
        </w:rPr>
      </w:pPr>
    </w:p>
    <w:p w14:paraId="37550E16" w14:textId="77777777" w:rsidR="00857304" w:rsidRDefault="00857304">
      <w:pPr>
        <w:spacing w:after="160" w:line="259" w:lineRule="auto"/>
        <w:jc w:val="left"/>
        <w:rPr>
          <w:rFonts w:eastAsia="Times New Roman"/>
          <w:b/>
          <w:iCs/>
          <w:color w:val="000000" w:themeColor="text1"/>
          <w:spacing w:val="15"/>
          <w:szCs w:val="24"/>
        </w:rPr>
      </w:pPr>
      <w:r>
        <w:rPr>
          <w:color w:val="000000" w:themeColor="text1"/>
        </w:rPr>
        <w:br w:type="page"/>
      </w:r>
    </w:p>
    <w:p w14:paraId="181C0DD6" w14:textId="34671027" w:rsidR="00C72A43" w:rsidRPr="00944075" w:rsidRDefault="00C72A43" w:rsidP="00944075">
      <w:pPr>
        <w:pStyle w:val="Podnadpis"/>
        <w:rPr>
          <w:b w:val="0"/>
          <w:color w:val="000000" w:themeColor="text1"/>
        </w:rPr>
      </w:pPr>
      <w:bookmarkStart w:id="921" w:name="_Toc75952296"/>
      <w:r w:rsidRPr="00142084">
        <w:rPr>
          <w:color w:val="000000" w:themeColor="text1"/>
        </w:rPr>
        <w:lastRenderedPageBreak/>
        <w:t xml:space="preserve">Graf </w:t>
      </w:r>
      <w:r w:rsidR="00692E2E" w:rsidRPr="00944075">
        <w:rPr>
          <w:color w:val="000000" w:themeColor="text1"/>
        </w:rPr>
        <w:fldChar w:fldCharType="begin"/>
      </w:r>
      <w:r w:rsidR="00692E2E" w:rsidRPr="00D43142">
        <w:rPr>
          <w:color w:val="000000" w:themeColor="text1"/>
        </w:rPr>
        <w:instrText xml:space="preserve"> SEQ Graf \* ARABIC </w:instrText>
      </w:r>
      <w:r w:rsidR="00692E2E" w:rsidRPr="00944075">
        <w:rPr>
          <w:color w:val="000000" w:themeColor="text1"/>
        </w:rPr>
        <w:fldChar w:fldCharType="separate"/>
      </w:r>
      <w:r w:rsidR="009C575D">
        <w:rPr>
          <w:noProof/>
          <w:color w:val="000000" w:themeColor="text1"/>
        </w:rPr>
        <w:t>116</w:t>
      </w:r>
      <w:r w:rsidR="00692E2E" w:rsidRPr="00944075">
        <w:rPr>
          <w:color w:val="000000" w:themeColor="text1"/>
        </w:rPr>
        <w:fldChar w:fldCharType="end"/>
      </w:r>
      <w:r w:rsidRPr="00D43142">
        <w:rPr>
          <w:color w:val="000000" w:themeColor="text1"/>
        </w:rPr>
        <w:t xml:space="preserve">: EU – Soudní poplatek za zahájení řízení v konkrétní spotřebitelské věci, </w:t>
      </w:r>
      <w:r w:rsidR="008168D5" w:rsidRPr="00D43142">
        <w:rPr>
          <w:color w:val="000000" w:themeColor="text1"/>
        </w:rPr>
        <w:t>2019</w:t>
      </w:r>
      <w:bookmarkEnd w:id="921"/>
    </w:p>
    <w:p w14:paraId="47A73281" w14:textId="74EB94FA" w:rsidR="00AD49D9" w:rsidRPr="001C3EC8" w:rsidRDefault="00AD49D9" w:rsidP="008430BD">
      <w:pPr>
        <w:rPr>
          <w:color w:val="000000" w:themeColor="text1"/>
        </w:rPr>
      </w:pPr>
      <w:r w:rsidRPr="001C3EC8">
        <w:rPr>
          <w:noProof/>
          <w:color w:val="000000" w:themeColor="text1"/>
          <w:lang w:eastAsia="cs-CZ"/>
        </w:rPr>
        <w:drawing>
          <wp:inline distT="0" distB="0" distL="0" distR="0" wp14:anchorId="0CBF24C6" wp14:editId="42F1AC69">
            <wp:extent cx="5759450" cy="2717800"/>
            <wp:effectExtent l="0" t="0" r="0" b="6350"/>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759450" cy="2717800"/>
                    </a:xfrm>
                    <a:prstGeom prst="rect">
                      <a:avLst/>
                    </a:prstGeom>
                  </pic:spPr>
                </pic:pic>
              </a:graphicData>
            </a:graphic>
          </wp:inline>
        </w:drawing>
      </w:r>
    </w:p>
    <w:p w14:paraId="35F8242C" w14:textId="76B02BC2" w:rsidR="001D7559" w:rsidRPr="001C3EC8" w:rsidRDefault="001D7559" w:rsidP="001D7559">
      <w:pPr>
        <w:rPr>
          <w:color w:val="000000" w:themeColor="text1"/>
          <w:sz w:val="18"/>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28</w:t>
      </w:r>
    </w:p>
    <w:p w14:paraId="146BB2FE" w14:textId="72F7B6A8" w:rsidR="00B07E76" w:rsidRDefault="00C72A43" w:rsidP="008430BD">
      <w:pPr>
        <w:rPr>
          <w:i/>
          <w:color w:val="000000" w:themeColor="text1"/>
        </w:rPr>
      </w:pPr>
      <w:r w:rsidRPr="001C3EC8">
        <w:rPr>
          <w:i/>
          <w:color w:val="000000" w:themeColor="text1"/>
        </w:rPr>
        <w:t xml:space="preserve">(*) „Nárokem nízké hodnoty“ se rozumí nárok, který odpovídá prahové hodnotě </w:t>
      </w:r>
      <w:proofErr w:type="spellStart"/>
      <w:r w:rsidRPr="001C3EC8">
        <w:rPr>
          <w:i/>
          <w:color w:val="000000" w:themeColor="text1"/>
        </w:rPr>
        <w:t>Eurostatu</w:t>
      </w:r>
      <w:proofErr w:type="spellEnd"/>
      <w:r w:rsidRPr="001C3EC8">
        <w:rPr>
          <w:i/>
          <w:color w:val="000000" w:themeColor="text1"/>
        </w:rPr>
        <w:t xml:space="preserve"> pro chudobu </w:t>
      </w:r>
      <w:r w:rsidR="00021FDD" w:rsidRPr="001C3EC8">
        <w:rPr>
          <w:i/>
          <w:color w:val="000000" w:themeColor="text1"/>
        </w:rPr>
        <w:t>u</w:t>
      </w:r>
      <w:r w:rsidR="00021FDD">
        <w:rPr>
          <w:i/>
          <w:color w:val="000000" w:themeColor="text1"/>
        </w:rPr>
        <w:t> </w:t>
      </w:r>
      <w:r w:rsidRPr="001C3EC8">
        <w:rPr>
          <w:i/>
          <w:color w:val="000000" w:themeColor="text1"/>
        </w:rPr>
        <w:t xml:space="preserve">jedné osoby </w:t>
      </w:r>
      <w:r w:rsidR="00021FDD" w:rsidRPr="001C3EC8">
        <w:rPr>
          <w:i/>
          <w:color w:val="000000" w:themeColor="text1"/>
        </w:rPr>
        <w:t>v</w:t>
      </w:r>
      <w:r w:rsidR="00021FDD">
        <w:rPr>
          <w:i/>
          <w:color w:val="000000" w:themeColor="text1"/>
        </w:rPr>
        <w:t> </w:t>
      </w:r>
      <w:r w:rsidRPr="001C3EC8">
        <w:rPr>
          <w:i/>
          <w:color w:val="000000" w:themeColor="text1"/>
        </w:rPr>
        <w:t xml:space="preserve">jednotlivých členských státech převedené na měsíční příjem (např. </w:t>
      </w:r>
      <w:r w:rsidR="00021FDD" w:rsidRPr="001C3EC8">
        <w:rPr>
          <w:i/>
          <w:color w:val="000000" w:themeColor="text1"/>
        </w:rPr>
        <w:t>v</w:t>
      </w:r>
      <w:r w:rsidR="00021FDD">
        <w:rPr>
          <w:i/>
          <w:color w:val="000000" w:themeColor="text1"/>
        </w:rPr>
        <w:t> </w:t>
      </w:r>
      <w:r w:rsidRPr="001C3EC8">
        <w:rPr>
          <w:i/>
          <w:color w:val="000000" w:themeColor="text1"/>
        </w:rPr>
        <w:t xml:space="preserve">roce 2019 byla tato hodnota </w:t>
      </w:r>
      <w:r w:rsidR="00021FDD" w:rsidRPr="001C3EC8">
        <w:rPr>
          <w:i/>
          <w:color w:val="000000" w:themeColor="text1"/>
        </w:rPr>
        <w:t>v</w:t>
      </w:r>
      <w:r w:rsidR="00021FDD">
        <w:rPr>
          <w:i/>
          <w:color w:val="000000" w:themeColor="text1"/>
        </w:rPr>
        <w:t> </w:t>
      </w:r>
      <w:r w:rsidRPr="001C3EC8">
        <w:rPr>
          <w:i/>
          <w:color w:val="000000" w:themeColor="text1"/>
        </w:rPr>
        <w:t xml:space="preserve">rozmezí od 164 EUR </w:t>
      </w:r>
      <w:r w:rsidR="00021FDD" w:rsidRPr="001C3EC8">
        <w:rPr>
          <w:i/>
          <w:color w:val="000000" w:themeColor="text1"/>
        </w:rPr>
        <w:t>v</w:t>
      </w:r>
      <w:r w:rsidR="00021FDD">
        <w:rPr>
          <w:i/>
          <w:color w:val="000000" w:themeColor="text1"/>
        </w:rPr>
        <w:t> </w:t>
      </w:r>
      <w:r w:rsidRPr="001C3EC8">
        <w:rPr>
          <w:i/>
          <w:color w:val="000000" w:themeColor="text1"/>
        </w:rPr>
        <w:t xml:space="preserve">RO do 1,804 EUR </w:t>
      </w:r>
      <w:r w:rsidR="00021FDD" w:rsidRPr="001C3EC8">
        <w:rPr>
          <w:i/>
          <w:color w:val="000000" w:themeColor="text1"/>
        </w:rPr>
        <w:t>v</w:t>
      </w:r>
      <w:r w:rsidR="00021FDD">
        <w:rPr>
          <w:i/>
          <w:color w:val="000000" w:themeColor="text1"/>
        </w:rPr>
        <w:t> </w:t>
      </w:r>
      <w:r w:rsidRPr="001C3EC8">
        <w:rPr>
          <w:i/>
          <w:color w:val="000000" w:themeColor="text1"/>
        </w:rPr>
        <w:t>LU).</w:t>
      </w:r>
    </w:p>
    <w:p w14:paraId="22748A17" w14:textId="137541D8" w:rsidR="00AD49D9" w:rsidRPr="001C3EC8" w:rsidRDefault="00AD49D9" w:rsidP="008430BD">
      <w:pPr>
        <w:rPr>
          <w:color w:val="000000" w:themeColor="text1"/>
        </w:rPr>
      </w:pPr>
    </w:p>
    <w:p w14:paraId="0F9A35B1" w14:textId="2C2B1769" w:rsidR="00DB1395" w:rsidRPr="001C3EC8" w:rsidRDefault="00DB1395" w:rsidP="008430BD">
      <w:pPr>
        <w:rPr>
          <w:color w:val="000000" w:themeColor="text1"/>
        </w:rPr>
      </w:pPr>
      <w:r w:rsidRPr="001C3EC8">
        <w:rPr>
          <w:color w:val="000000" w:themeColor="text1"/>
        </w:rPr>
        <w:t xml:space="preserve">Vedle dostupnosti spravedlnosti pro občany je neméně důležité, zda daná země svým občanům zajišťuje také účinnou soudní ochranu. Jak občané dané země vnímají nezávislost </w:t>
      </w:r>
      <w:r w:rsidR="009E27BB" w:rsidRPr="001C3EC8">
        <w:rPr>
          <w:color w:val="000000" w:themeColor="text1"/>
        </w:rPr>
        <w:t xml:space="preserve">svých </w:t>
      </w:r>
      <w:r w:rsidRPr="001C3EC8">
        <w:rPr>
          <w:color w:val="000000" w:themeColor="text1"/>
        </w:rPr>
        <w:t>soudů a</w:t>
      </w:r>
      <w:r w:rsidR="009E27BB" w:rsidRPr="001C3EC8">
        <w:rPr>
          <w:color w:val="000000" w:themeColor="text1"/>
        </w:rPr>
        <w:t> </w:t>
      </w:r>
      <w:r w:rsidRPr="001C3EC8">
        <w:rPr>
          <w:color w:val="000000" w:themeColor="text1"/>
        </w:rPr>
        <w:t>soudců</w:t>
      </w:r>
      <w:r w:rsidR="00433D13">
        <w:rPr>
          <w:color w:val="000000" w:themeColor="text1"/>
        </w:rPr>
        <w:t xml:space="preserve"> </w:t>
      </w:r>
      <w:r w:rsidRPr="001C3EC8">
        <w:rPr>
          <w:color w:val="000000" w:themeColor="text1"/>
        </w:rPr>
        <w:t>je vidět na grafu níže.</w:t>
      </w:r>
    </w:p>
    <w:p w14:paraId="54CB857D" w14:textId="77777777" w:rsidR="00DB1395" w:rsidRPr="001C3EC8" w:rsidRDefault="00DB1395" w:rsidP="008430BD">
      <w:pPr>
        <w:rPr>
          <w:color w:val="000000" w:themeColor="text1"/>
        </w:rPr>
      </w:pPr>
    </w:p>
    <w:p w14:paraId="3A864897" w14:textId="0F388026" w:rsidR="00DB1395" w:rsidRPr="00142084" w:rsidRDefault="00DB1395" w:rsidP="00944075">
      <w:pPr>
        <w:pStyle w:val="Podnadpis"/>
        <w:rPr>
          <w:color w:val="000000" w:themeColor="text1"/>
        </w:rPr>
      </w:pPr>
      <w:bookmarkStart w:id="922" w:name="_Toc75952297"/>
      <w:r w:rsidRPr="00142084">
        <w:rPr>
          <w:color w:val="000000" w:themeColor="text1"/>
        </w:rPr>
        <w:t>Graf</w:t>
      </w:r>
      <w:r w:rsidR="00692E2E" w:rsidRPr="00142084">
        <w:rPr>
          <w:color w:val="000000" w:themeColor="text1"/>
        </w:rPr>
        <w:t xml:space="preserve"> </w:t>
      </w:r>
      <w:r w:rsidR="00692E2E" w:rsidRPr="00D43142">
        <w:rPr>
          <w:color w:val="000000" w:themeColor="text1"/>
        </w:rPr>
        <w:fldChar w:fldCharType="begin"/>
      </w:r>
      <w:r w:rsidR="00692E2E" w:rsidRPr="00D43142">
        <w:rPr>
          <w:color w:val="000000" w:themeColor="text1"/>
        </w:rPr>
        <w:instrText xml:space="preserve"> SEQ Graf \* ARABIC </w:instrText>
      </w:r>
      <w:r w:rsidR="00692E2E" w:rsidRPr="00D43142">
        <w:rPr>
          <w:color w:val="000000" w:themeColor="text1"/>
        </w:rPr>
        <w:fldChar w:fldCharType="separate"/>
      </w:r>
      <w:r w:rsidR="009C575D">
        <w:rPr>
          <w:noProof/>
          <w:color w:val="000000" w:themeColor="text1"/>
        </w:rPr>
        <w:t>117</w:t>
      </w:r>
      <w:r w:rsidR="00692E2E" w:rsidRPr="00D43142">
        <w:rPr>
          <w:color w:val="000000" w:themeColor="text1"/>
        </w:rPr>
        <w:fldChar w:fldCharType="end"/>
      </w:r>
      <w:r w:rsidRPr="00D43142">
        <w:rPr>
          <w:color w:val="000000" w:themeColor="text1"/>
        </w:rPr>
        <w:t xml:space="preserve">: EU – </w:t>
      </w:r>
      <w:r w:rsidRPr="00944075">
        <w:rPr>
          <w:color w:val="000000" w:themeColor="text1"/>
        </w:rPr>
        <w:t xml:space="preserve">Vnímaná nezávislost soudů </w:t>
      </w:r>
      <w:r w:rsidR="00021FDD" w:rsidRPr="00944075">
        <w:rPr>
          <w:color w:val="000000" w:themeColor="text1"/>
        </w:rPr>
        <w:t>a</w:t>
      </w:r>
      <w:r w:rsidR="00021FDD">
        <w:rPr>
          <w:color w:val="000000" w:themeColor="text1"/>
        </w:rPr>
        <w:t> </w:t>
      </w:r>
      <w:r w:rsidRPr="00944075">
        <w:rPr>
          <w:color w:val="000000" w:themeColor="text1"/>
        </w:rPr>
        <w:t>soudců ze strany veřejnosti</w:t>
      </w:r>
      <w:r w:rsidRPr="00142084">
        <w:rPr>
          <w:color w:val="000000" w:themeColor="text1"/>
        </w:rPr>
        <w:t>, 2016</w:t>
      </w:r>
      <w:r w:rsidR="004D5AB5">
        <w:rPr>
          <w:color w:val="000000" w:themeColor="text1"/>
        </w:rPr>
        <w:t>–2020</w:t>
      </w:r>
      <w:bookmarkEnd w:id="922"/>
    </w:p>
    <w:p w14:paraId="61F1E8FA" w14:textId="77777777" w:rsidR="00B07E76" w:rsidRDefault="00DB1395" w:rsidP="008430BD">
      <w:pPr>
        <w:rPr>
          <w:color w:val="000000" w:themeColor="text1"/>
        </w:rPr>
      </w:pPr>
      <w:r w:rsidRPr="001C3EC8">
        <w:rPr>
          <w:noProof/>
          <w:color w:val="000000" w:themeColor="text1"/>
          <w:lang w:eastAsia="cs-CZ"/>
        </w:rPr>
        <w:drawing>
          <wp:inline distT="0" distB="0" distL="0" distR="0" wp14:anchorId="2376F04D" wp14:editId="16FC199A">
            <wp:extent cx="5759450" cy="2744470"/>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759450" cy="2744470"/>
                    </a:xfrm>
                    <a:prstGeom prst="rect">
                      <a:avLst/>
                    </a:prstGeom>
                  </pic:spPr>
                </pic:pic>
              </a:graphicData>
            </a:graphic>
          </wp:inline>
        </w:drawing>
      </w:r>
    </w:p>
    <w:p w14:paraId="1B45FD9E" w14:textId="0C74AC90" w:rsidR="00BB2632" w:rsidRPr="001C3EC8" w:rsidRDefault="00A03A45" w:rsidP="008430BD">
      <w:pPr>
        <w:rPr>
          <w:color w:val="000000" w:themeColor="text1"/>
          <w:sz w:val="20"/>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48</w:t>
      </w:r>
    </w:p>
    <w:p w14:paraId="0CD42C92" w14:textId="77777777" w:rsidR="00A03A45" w:rsidRPr="001C3EC8" w:rsidRDefault="00A03A45" w:rsidP="008430BD">
      <w:pPr>
        <w:rPr>
          <w:color w:val="000000" w:themeColor="text1"/>
        </w:rPr>
      </w:pPr>
    </w:p>
    <w:p w14:paraId="02621B4F" w14:textId="4B070ADB" w:rsidR="00BB2632" w:rsidRPr="001C3EC8" w:rsidRDefault="00BB2632" w:rsidP="008430BD">
      <w:pPr>
        <w:rPr>
          <w:color w:val="000000" w:themeColor="text1"/>
        </w:rPr>
      </w:pPr>
      <w:r w:rsidRPr="001C3EC8">
        <w:rPr>
          <w:color w:val="000000" w:themeColor="text1"/>
        </w:rPr>
        <w:t xml:space="preserve">Členské státy jsou seřazeny podle procenta respondentů, kteří uvedli, že nezávislost soudů </w:t>
      </w:r>
      <w:r w:rsidR="00021FDD" w:rsidRPr="001C3EC8">
        <w:rPr>
          <w:color w:val="000000" w:themeColor="text1"/>
        </w:rPr>
        <w:t>a</w:t>
      </w:r>
      <w:r w:rsidR="00021FDD">
        <w:rPr>
          <w:color w:val="000000" w:themeColor="text1"/>
        </w:rPr>
        <w:t> </w:t>
      </w:r>
      <w:r w:rsidRPr="001C3EC8">
        <w:rPr>
          <w:color w:val="000000" w:themeColor="text1"/>
        </w:rPr>
        <w:t>soudců je velmi dobrá nebo poměrně dobrá (tedy celkově dobrá).</w:t>
      </w:r>
    </w:p>
    <w:p w14:paraId="227EC985" w14:textId="77777777" w:rsidR="00A95D17" w:rsidRPr="001C3EC8" w:rsidRDefault="00A95D17" w:rsidP="008430BD">
      <w:pPr>
        <w:rPr>
          <w:color w:val="000000" w:themeColor="text1"/>
        </w:rPr>
      </w:pPr>
    </w:p>
    <w:p w14:paraId="3A96A1C3" w14:textId="02F3E5B6" w:rsidR="00AD49D9" w:rsidRPr="001C3EC8" w:rsidRDefault="00BB2632" w:rsidP="008430BD">
      <w:pPr>
        <w:rPr>
          <w:color w:val="000000" w:themeColor="text1"/>
        </w:rPr>
      </w:pPr>
      <w:r w:rsidRPr="001C3EC8">
        <w:rPr>
          <w:color w:val="000000" w:themeColor="text1"/>
        </w:rPr>
        <w:t>Zajímavé může být zjištění, že podnikatelé vnímají nezávislost českých soudů relativně hůře než občané (</w:t>
      </w:r>
      <w:r w:rsidR="00E844A3" w:rsidRPr="001C3EC8">
        <w:rPr>
          <w:color w:val="000000" w:themeColor="text1"/>
        </w:rPr>
        <w:t>ČR</w:t>
      </w:r>
      <w:r w:rsidR="0043419B" w:rsidRPr="001C3EC8">
        <w:rPr>
          <w:color w:val="000000" w:themeColor="text1"/>
        </w:rPr>
        <w:t xml:space="preserve"> </w:t>
      </w:r>
      <w:r w:rsidRPr="001C3EC8">
        <w:rPr>
          <w:color w:val="000000" w:themeColor="text1"/>
        </w:rPr>
        <w:t xml:space="preserve">obsadila v hodnocení občany 12. místo </w:t>
      </w:r>
      <w:r w:rsidR="00021FDD" w:rsidRPr="001C3EC8">
        <w:rPr>
          <w:color w:val="000000" w:themeColor="text1"/>
        </w:rPr>
        <w:t>a</w:t>
      </w:r>
      <w:r w:rsidR="00021FDD">
        <w:rPr>
          <w:color w:val="000000" w:themeColor="text1"/>
        </w:rPr>
        <w:t> </w:t>
      </w:r>
      <w:r w:rsidRPr="001C3EC8">
        <w:rPr>
          <w:color w:val="000000" w:themeColor="text1"/>
        </w:rPr>
        <w:t>v hodnocení podnikateli 19. místo</w:t>
      </w:r>
      <w:r w:rsidR="009E27BB" w:rsidRPr="001C3EC8">
        <w:rPr>
          <w:color w:val="000000" w:themeColor="text1"/>
        </w:rPr>
        <w:t xml:space="preserve"> mezi 27 srovnávanými státy EU</w:t>
      </w:r>
      <w:r w:rsidRPr="001C3EC8">
        <w:rPr>
          <w:color w:val="000000" w:themeColor="text1"/>
        </w:rPr>
        <w:t>)</w:t>
      </w:r>
      <w:r w:rsidR="002A2C14" w:rsidRPr="001C3EC8">
        <w:rPr>
          <w:color w:val="000000" w:themeColor="text1"/>
        </w:rPr>
        <w:t>. Přehled vnímání nezávislosti justice ze strany podnikatelů je dostupný ve stejném zdroji jako ze strany spotřebitelů, v této zprávě jej ale neuvádíme.</w:t>
      </w:r>
    </w:p>
    <w:p w14:paraId="304C0386" w14:textId="7FD83E22" w:rsidR="008430BD" w:rsidRPr="001C3EC8" w:rsidRDefault="008430BD" w:rsidP="008430BD">
      <w:pPr>
        <w:rPr>
          <w:color w:val="000000" w:themeColor="text1"/>
        </w:rPr>
      </w:pPr>
    </w:p>
    <w:p w14:paraId="1174C567" w14:textId="4F2E8B15" w:rsidR="00D75392" w:rsidRPr="001C3EC8" w:rsidRDefault="004F4260" w:rsidP="008430BD">
      <w:pPr>
        <w:rPr>
          <w:color w:val="000000" w:themeColor="text1"/>
        </w:rPr>
      </w:pPr>
      <w:r w:rsidRPr="001C3EC8">
        <w:rPr>
          <w:color w:val="000000" w:themeColor="text1"/>
        </w:rPr>
        <w:t xml:space="preserve">Efektivnost systému soudnictví je </w:t>
      </w:r>
      <w:r w:rsidR="00E032DD" w:rsidRPr="001C3EC8">
        <w:rPr>
          <w:color w:val="000000" w:themeColor="text1"/>
        </w:rPr>
        <w:t xml:space="preserve">vedle dostupnosti </w:t>
      </w:r>
      <w:r w:rsidR="00021FDD" w:rsidRPr="001C3EC8">
        <w:rPr>
          <w:color w:val="000000" w:themeColor="text1"/>
        </w:rPr>
        <w:t>a</w:t>
      </w:r>
      <w:r w:rsidR="00021FDD">
        <w:rPr>
          <w:color w:val="000000" w:themeColor="text1"/>
        </w:rPr>
        <w:t> </w:t>
      </w:r>
      <w:r w:rsidR="00E032DD" w:rsidRPr="001C3EC8">
        <w:rPr>
          <w:color w:val="000000" w:themeColor="text1"/>
        </w:rPr>
        <w:t xml:space="preserve">nezávislosti </w:t>
      </w:r>
      <w:r w:rsidRPr="001C3EC8">
        <w:rPr>
          <w:color w:val="000000" w:themeColor="text1"/>
        </w:rPr>
        <w:t xml:space="preserve">dalším důležitým ukazatelem jeho účinnosti. Nápad sporných občanských </w:t>
      </w:r>
      <w:r w:rsidR="00021FDD" w:rsidRPr="001C3EC8">
        <w:rPr>
          <w:color w:val="000000" w:themeColor="text1"/>
        </w:rPr>
        <w:t>a</w:t>
      </w:r>
      <w:r w:rsidR="00021FDD">
        <w:rPr>
          <w:color w:val="000000" w:themeColor="text1"/>
        </w:rPr>
        <w:t> </w:t>
      </w:r>
      <w:r w:rsidRPr="001C3EC8">
        <w:rPr>
          <w:color w:val="000000" w:themeColor="text1"/>
        </w:rPr>
        <w:t xml:space="preserve">obchodních věcí </w:t>
      </w:r>
      <w:r w:rsidR="00021FDD" w:rsidRPr="001C3EC8">
        <w:rPr>
          <w:color w:val="000000" w:themeColor="text1"/>
        </w:rPr>
        <w:t>a</w:t>
      </w:r>
      <w:r w:rsidR="00021FDD">
        <w:rPr>
          <w:color w:val="000000" w:themeColor="text1"/>
        </w:rPr>
        <w:t> </w:t>
      </w:r>
      <w:r w:rsidRPr="001C3EC8">
        <w:rPr>
          <w:color w:val="000000" w:themeColor="text1"/>
        </w:rPr>
        <w:t xml:space="preserve">jeho vývoj se mezi členskými státy EU značně liší, jak je vidět z následujícího grafu, </w:t>
      </w:r>
      <w:r w:rsidR="00021FDD" w:rsidRPr="001C3EC8">
        <w:rPr>
          <w:color w:val="000000" w:themeColor="text1"/>
        </w:rPr>
        <w:t>a</w:t>
      </w:r>
      <w:r w:rsidR="00021FDD">
        <w:rPr>
          <w:color w:val="000000" w:themeColor="text1"/>
        </w:rPr>
        <w:t> </w:t>
      </w:r>
      <w:r w:rsidR="00021FDD" w:rsidRPr="001C3EC8">
        <w:rPr>
          <w:color w:val="000000" w:themeColor="text1"/>
        </w:rPr>
        <w:t>o</w:t>
      </w:r>
      <w:r w:rsidR="00021FDD">
        <w:rPr>
          <w:color w:val="000000" w:themeColor="text1"/>
        </w:rPr>
        <w:t> </w:t>
      </w:r>
      <w:r w:rsidRPr="001C3EC8">
        <w:rPr>
          <w:color w:val="000000" w:themeColor="text1"/>
        </w:rPr>
        <w:t xml:space="preserve">to větší pozornost musí být věnována jejich efektivnímu </w:t>
      </w:r>
      <w:r w:rsidR="00E032DD" w:rsidRPr="001C3EC8">
        <w:rPr>
          <w:color w:val="000000" w:themeColor="text1"/>
        </w:rPr>
        <w:t>vyřízení (výkonnosti jednotlivých soudních systémů).</w:t>
      </w:r>
    </w:p>
    <w:p w14:paraId="250C9249" w14:textId="7F788E1F" w:rsidR="008430BD" w:rsidRPr="001C3EC8" w:rsidRDefault="008430BD" w:rsidP="008430BD">
      <w:pPr>
        <w:pStyle w:val="Podnadpis"/>
        <w:rPr>
          <w:color w:val="000000" w:themeColor="text1"/>
        </w:rPr>
      </w:pPr>
      <w:bookmarkStart w:id="923" w:name="_Toc75952298"/>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118</w:t>
      </w:r>
      <w:r w:rsidRPr="001C3EC8">
        <w:rPr>
          <w:color w:val="000000" w:themeColor="text1"/>
        </w:rPr>
        <w:fldChar w:fldCharType="end"/>
      </w:r>
      <w:r w:rsidRPr="001C3EC8">
        <w:rPr>
          <w:color w:val="000000" w:themeColor="text1"/>
        </w:rPr>
        <w:t xml:space="preserve">: EU – počet přicházejících sporných občanských </w:t>
      </w:r>
      <w:r w:rsidR="00021FDD" w:rsidRPr="001C3EC8">
        <w:rPr>
          <w:color w:val="000000" w:themeColor="text1"/>
        </w:rPr>
        <w:t>a</w:t>
      </w:r>
      <w:r w:rsidR="00021FDD">
        <w:rPr>
          <w:color w:val="000000" w:themeColor="text1"/>
        </w:rPr>
        <w:t> </w:t>
      </w:r>
      <w:r w:rsidRPr="001C3EC8">
        <w:rPr>
          <w:color w:val="000000" w:themeColor="text1"/>
        </w:rPr>
        <w:t>obchodních věcí na 100 obyvatel</w:t>
      </w:r>
      <w:r w:rsidR="008168D5" w:rsidRPr="001C3EC8">
        <w:rPr>
          <w:color w:val="000000" w:themeColor="text1"/>
        </w:rPr>
        <w:t xml:space="preserve">, </w:t>
      </w:r>
      <w:proofErr w:type="gramStart"/>
      <w:r w:rsidR="008168D5" w:rsidRPr="001C3EC8">
        <w:rPr>
          <w:color w:val="000000" w:themeColor="text1"/>
        </w:rPr>
        <w:t>2012 – 2018</w:t>
      </w:r>
      <w:bookmarkEnd w:id="923"/>
      <w:proofErr w:type="gramEnd"/>
    </w:p>
    <w:p w14:paraId="6E54D209" w14:textId="77777777" w:rsidR="008430BD" w:rsidRPr="001C3EC8" w:rsidRDefault="008430BD" w:rsidP="008430BD">
      <w:pPr>
        <w:rPr>
          <w:color w:val="000000" w:themeColor="text1"/>
          <w:lang w:eastAsia="cs-CZ"/>
        </w:rPr>
      </w:pPr>
      <w:r w:rsidRPr="001C3EC8">
        <w:rPr>
          <w:noProof/>
          <w:color w:val="000000" w:themeColor="text1"/>
          <w:lang w:eastAsia="cs-CZ"/>
        </w:rPr>
        <w:drawing>
          <wp:inline distT="0" distB="0" distL="0" distR="0" wp14:anchorId="562986AE" wp14:editId="1220A28C">
            <wp:extent cx="5759450" cy="2553970"/>
            <wp:effectExtent l="0" t="0" r="0" b="0"/>
            <wp:docPr id="191"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59450" cy="2553970"/>
                    </a:xfrm>
                    <a:prstGeom prst="rect">
                      <a:avLst/>
                    </a:prstGeom>
                    <a:noFill/>
                    <a:ln>
                      <a:noFill/>
                    </a:ln>
                  </pic:spPr>
                </pic:pic>
              </a:graphicData>
            </a:graphic>
          </wp:inline>
        </w:drawing>
      </w:r>
    </w:p>
    <w:p w14:paraId="470A831A" w14:textId="175A2AB8" w:rsidR="008430BD" w:rsidRPr="001C3EC8" w:rsidRDefault="008430BD" w:rsidP="008430BD">
      <w:pPr>
        <w:spacing w:line="360" w:lineRule="auto"/>
        <w:rPr>
          <w:color w:val="000000" w:themeColor="text1"/>
          <w:sz w:val="20"/>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10</w:t>
      </w:r>
    </w:p>
    <w:p w14:paraId="35566AFC" w14:textId="3CB6435A" w:rsidR="008430BD" w:rsidRPr="001C3EC8" w:rsidRDefault="00021FDD" w:rsidP="008430BD">
      <w:pPr>
        <w:rPr>
          <w:color w:val="000000" w:themeColor="text1"/>
        </w:rPr>
      </w:pPr>
      <w:r w:rsidRPr="001C3EC8">
        <w:rPr>
          <w:color w:val="000000" w:themeColor="text1"/>
        </w:rPr>
        <w:t>V</w:t>
      </w:r>
      <w:r>
        <w:rPr>
          <w:color w:val="000000" w:themeColor="text1"/>
        </w:rPr>
        <w:t> </w:t>
      </w:r>
      <w:r w:rsidR="008430BD" w:rsidRPr="001C3EC8">
        <w:rPr>
          <w:color w:val="000000" w:themeColor="text1"/>
        </w:rPr>
        <w:t xml:space="preserve">grafu </w:t>
      </w:r>
      <w:r w:rsidR="00E032DD" w:rsidRPr="001C3EC8">
        <w:rPr>
          <w:color w:val="000000" w:themeColor="text1"/>
        </w:rPr>
        <w:t xml:space="preserve">118 </w:t>
      </w:r>
      <w:r w:rsidR="008430BD" w:rsidRPr="001C3EC8">
        <w:rPr>
          <w:color w:val="000000" w:themeColor="text1"/>
        </w:rPr>
        <w:t>vidíme, že ČR má pátý nejvyšší počet příchozích věcí na 100 obyvatel v rámci EU a</w:t>
      </w:r>
      <w:r w:rsidR="00E032DD" w:rsidRPr="001C3EC8">
        <w:rPr>
          <w:color w:val="000000" w:themeColor="text1"/>
        </w:rPr>
        <w:t> </w:t>
      </w:r>
      <w:r w:rsidR="008430BD" w:rsidRPr="001C3EC8">
        <w:rPr>
          <w:color w:val="000000" w:themeColor="text1"/>
        </w:rPr>
        <w:t xml:space="preserve">že počet příchozích věcí je poměrně stabilní. Nejvíce příchozích věcí má Belgie (na grafu je vidět strmý pokles v roce 2017) </w:t>
      </w:r>
      <w:r w:rsidRPr="001C3EC8">
        <w:rPr>
          <w:color w:val="000000" w:themeColor="text1"/>
        </w:rPr>
        <w:t>a</w:t>
      </w:r>
      <w:r>
        <w:rPr>
          <w:color w:val="000000" w:themeColor="text1"/>
        </w:rPr>
        <w:t> </w:t>
      </w:r>
      <w:r w:rsidR="008430BD" w:rsidRPr="001C3EC8">
        <w:rPr>
          <w:color w:val="000000" w:themeColor="text1"/>
        </w:rPr>
        <w:t>zdaleka nejméně má Finsko.</w:t>
      </w:r>
    </w:p>
    <w:p w14:paraId="4F530769" w14:textId="15DC0E16" w:rsidR="008430BD" w:rsidRPr="001C3EC8" w:rsidRDefault="008430BD" w:rsidP="008430BD">
      <w:pPr>
        <w:pStyle w:val="Podnadpis"/>
        <w:rPr>
          <w:color w:val="000000" w:themeColor="text1"/>
        </w:rPr>
      </w:pPr>
      <w:bookmarkStart w:id="924" w:name="_Toc75952299"/>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119</w:t>
      </w:r>
      <w:r w:rsidRPr="001C3EC8">
        <w:rPr>
          <w:color w:val="000000" w:themeColor="text1"/>
        </w:rPr>
        <w:fldChar w:fldCharType="end"/>
      </w:r>
      <w:r w:rsidRPr="001C3EC8">
        <w:rPr>
          <w:color w:val="000000" w:themeColor="text1"/>
        </w:rPr>
        <w:t xml:space="preserve">: EU – </w:t>
      </w:r>
      <w:proofErr w:type="spellStart"/>
      <w:r w:rsidR="00EE6348" w:rsidRPr="001C3EC8">
        <w:rPr>
          <w:color w:val="000000" w:themeColor="text1"/>
        </w:rPr>
        <w:t>disposition</w:t>
      </w:r>
      <w:proofErr w:type="spellEnd"/>
      <w:r w:rsidR="00EE6348" w:rsidRPr="001C3EC8">
        <w:rPr>
          <w:color w:val="000000" w:themeColor="text1"/>
        </w:rPr>
        <w:t xml:space="preserve"> </w:t>
      </w:r>
      <w:proofErr w:type="spellStart"/>
      <w:r w:rsidR="00EE6348" w:rsidRPr="001C3EC8">
        <w:rPr>
          <w:color w:val="000000" w:themeColor="text1"/>
        </w:rPr>
        <w:t>time</w:t>
      </w:r>
      <w:proofErr w:type="spellEnd"/>
      <w:r w:rsidRPr="001C3EC8">
        <w:rPr>
          <w:color w:val="000000" w:themeColor="text1"/>
        </w:rPr>
        <w:t xml:space="preserve"> sporných </w:t>
      </w:r>
      <w:proofErr w:type="spellStart"/>
      <w:r w:rsidRPr="001C3EC8">
        <w:rPr>
          <w:color w:val="000000" w:themeColor="text1"/>
        </w:rPr>
        <w:t>obč</w:t>
      </w:r>
      <w:proofErr w:type="spellEnd"/>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obchodních věcí, 2012–2018</w:t>
      </w:r>
      <w:bookmarkEnd w:id="924"/>
    </w:p>
    <w:p w14:paraId="0CCF0533" w14:textId="77777777" w:rsidR="00B07E76" w:rsidRDefault="008430BD" w:rsidP="008430BD">
      <w:pPr>
        <w:rPr>
          <w:noProof/>
          <w:color w:val="000000" w:themeColor="text1"/>
        </w:rPr>
      </w:pPr>
      <w:r w:rsidRPr="001C3EC8">
        <w:rPr>
          <w:noProof/>
          <w:color w:val="000000" w:themeColor="text1"/>
          <w:lang w:eastAsia="cs-CZ"/>
        </w:rPr>
        <w:drawing>
          <wp:inline distT="0" distB="0" distL="0" distR="0" wp14:anchorId="09088677" wp14:editId="271B4026">
            <wp:extent cx="5759450" cy="2560955"/>
            <wp:effectExtent l="0" t="0" r="0" b="0"/>
            <wp:docPr id="295" name="Pictu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59450" cy="2560955"/>
                    </a:xfrm>
                    <a:prstGeom prst="rect">
                      <a:avLst/>
                    </a:prstGeom>
                    <a:noFill/>
                    <a:ln>
                      <a:noFill/>
                    </a:ln>
                  </pic:spPr>
                </pic:pic>
              </a:graphicData>
            </a:graphic>
          </wp:inline>
        </w:drawing>
      </w:r>
    </w:p>
    <w:p w14:paraId="7E1CEB97" w14:textId="3DCF6B20" w:rsidR="008430BD" w:rsidRPr="001C3EC8" w:rsidRDefault="008430BD" w:rsidP="008430BD">
      <w:pPr>
        <w:spacing w:line="360" w:lineRule="auto"/>
        <w:rPr>
          <w:color w:val="000000" w:themeColor="text1"/>
          <w:sz w:val="20"/>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12</w:t>
      </w:r>
    </w:p>
    <w:p w14:paraId="3686EFA6" w14:textId="77777777" w:rsidR="008430BD" w:rsidRPr="001C3EC8" w:rsidRDefault="008430BD" w:rsidP="008430BD">
      <w:pPr>
        <w:rPr>
          <w:color w:val="000000" w:themeColor="text1"/>
        </w:rPr>
      </w:pPr>
    </w:p>
    <w:p w14:paraId="50D31598" w14:textId="01B58036" w:rsidR="008430BD" w:rsidRPr="001C3EC8" w:rsidRDefault="008430BD" w:rsidP="009A7A9D">
      <w:pPr>
        <w:rPr>
          <w:color w:val="000000" w:themeColor="text1"/>
        </w:rPr>
      </w:pPr>
      <w:r w:rsidRPr="001C3EC8">
        <w:rPr>
          <w:color w:val="000000" w:themeColor="text1"/>
        </w:rPr>
        <w:t>Výkonnost srovnává CEPEJ pomocí dispozičního času</w:t>
      </w:r>
      <w:r w:rsidR="001D723D" w:rsidRPr="001C3EC8">
        <w:rPr>
          <w:color w:val="000000" w:themeColor="text1"/>
        </w:rPr>
        <w:t>.</w:t>
      </w:r>
      <w:r w:rsidRPr="001C3EC8">
        <w:rPr>
          <w:color w:val="000000" w:themeColor="text1"/>
        </w:rPr>
        <w:t xml:space="preserve"> </w:t>
      </w:r>
      <w:r w:rsidR="00021FDD" w:rsidRPr="001C3EC8">
        <w:rPr>
          <w:color w:val="000000" w:themeColor="text1"/>
        </w:rPr>
        <w:t>V</w:t>
      </w:r>
      <w:r w:rsidR="00021FDD">
        <w:rPr>
          <w:color w:val="000000" w:themeColor="text1"/>
        </w:rPr>
        <w:t> </w:t>
      </w:r>
      <w:r w:rsidRPr="001C3EC8">
        <w:rPr>
          <w:color w:val="000000" w:themeColor="text1"/>
        </w:rPr>
        <w:t xml:space="preserve">grafu vidíme, že ČR si </w:t>
      </w:r>
      <w:r w:rsidR="00021FDD" w:rsidRPr="001C3EC8">
        <w:rPr>
          <w:color w:val="000000" w:themeColor="text1"/>
        </w:rPr>
        <w:t>v</w:t>
      </w:r>
      <w:r w:rsidR="00021FDD">
        <w:rPr>
          <w:color w:val="000000" w:themeColor="text1"/>
        </w:rPr>
        <w:t> </w:t>
      </w:r>
      <w:r w:rsidRPr="001C3EC8">
        <w:rPr>
          <w:color w:val="000000" w:themeColor="text1"/>
        </w:rPr>
        <w:t xml:space="preserve">tomto ohledu vede velice dobře </w:t>
      </w:r>
      <w:r w:rsidR="00021FDD" w:rsidRPr="001C3EC8">
        <w:rPr>
          <w:color w:val="000000" w:themeColor="text1"/>
        </w:rPr>
        <w:t>a</w:t>
      </w:r>
      <w:r w:rsidR="00021FDD">
        <w:rPr>
          <w:color w:val="000000" w:themeColor="text1"/>
        </w:rPr>
        <w:t> </w:t>
      </w:r>
      <w:r w:rsidRPr="001C3EC8">
        <w:rPr>
          <w:color w:val="000000" w:themeColor="text1"/>
        </w:rPr>
        <w:t>umístila se na 6. místě z 23 států, které poskytly data. Při srovnání dat za rok 2018 je první Litva, poslední Řecko.</w:t>
      </w:r>
    </w:p>
    <w:p w14:paraId="017AE091" w14:textId="77777777" w:rsidR="00E032DD" w:rsidRPr="001C3EC8" w:rsidRDefault="00E032DD" w:rsidP="009A7A9D">
      <w:pPr>
        <w:rPr>
          <w:color w:val="000000" w:themeColor="text1"/>
        </w:rPr>
      </w:pPr>
    </w:p>
    <w:p w14:paraId="4CF057A3" w14:textId="06BFDFC5" w:rsidR="008430BD" w:rsidRPr="001C3EC8" w:rsidRDefault="008430BD" w:rsidP="008430BD">
      <w:pPr>
        <w:pStyle w:val="Podnadpis"/>
        <w:rPr>
          <w:color w:val="000000" w:themeColor="text1"/>
        </w:rPr>
      </w:pPr>
      <w:bookmarkStart w:id="925" w:name="_Toc75952300"/>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120</w:t>
      </w:r>
      <w:r w:rsidRPr="001C3EC8">
        <w:rPr>
          <w:color w:val="000000" w:themeColor="text1"/>
        </w:rPr>
        <w:fldChar w:fldCharType="end"/>
      </w:r>
      <w:r w:rsidRPr="001C3EC8">
        <w:rPr>
          <w:color w:val="000000" w:themeColor="text1"/>
        </w:rPr>
        <w:t xml:space="preserve">: EU – míra vyřizování sporných </w:t>
      </w:r>
      <w:proofErr w:type="spellStart"/>
      <w:r w:rsidRPr="001C3EC8">
        <w:rPr>
          <w:color w:val="000000" w:themeColor="text1"/>
        </w:rPr>
        <w:t>obč</w:t>
      </w:r>
      <w:proofErr w:type="spellEnd"/>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obchodních věcí, 2012–2018</w:t>
      </w:r>
      <w:bookmarkEnd w:id="925"/>
    </w:p>
    <w:p w14:paraId="3B5EE5E0" w14:textId="775F22DA" w:rsidR="008430BD" w:rsidRPr="001C3EC8" w:rsidRDefault="008430BD" w:rsidP="008430BD">
      <w:pPr>
        <w:rPr>
          <w:color w:val="000000" w:themeColor="text1"/>
        </w:rPr>
      </w:pPr>
      <w:r w:rsidRPr="001C3EC8">
        <w:rPr>
          <w:noProof/>
          <w:color w:val="000000" w:themeColor="text1"/>
          <w:lang w:eastAsia="cs-CZ"/>
        </w:rPr>
        <w:drawing>
          <wp:inline distT="0" distB="0" distL="0" distR="0" wp14:anchorId="5B78BF21" wp14:editId="42494036">
            <wp:extent cx="5759450" cy="2553335"/>
            <wp:effectExtent l="0" t="0" r="0" b="0"/>
            <wp:docPr id="306" name="Picture 306"/>
            <wp:cNvGraphicFramePr/>
            <a:graphic xmlns:a="http://schemas.openxmlformats.org/drawingml/2006/main">
              <a:graphicData uri="http://schemas.openxmlformats.org/drawingml/2006/picture">
                <pic:pic xmlns:pic="http://schemas.openxmlformats.org/drawingml/2006/picture">
                  <pic:nvPicPr>
                    <pic:cNvPr id="306" name="Picture 306"/>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59450" cy="2553335"/>
                    </a:xfrm>
                    <a:prstGeom prst="rect">
                      <a:avLst/>
                    </a:prstGeom>
                    <a:noFill/>
                    <a:ln>
                      <a:noFill/>
                    </a:ln>
                  </pic:spPr>
                </pic:pic>
              </a:graphicData>
            </a:graphic>
          </wp:inline>
        </w:drawing>
      </w:r>
    </w:p>
    <w:p w14:paraId="17C8FFEE" w14:textId="1753F605" w:rsidR="008168D5" w:rsidRPr="001C3EC8" w:rsidRDefault="008168D5" w:rsidP="008430BD">
      <w:pPr>
        <w:rPr>
          <w:color w:val="000000" w:themeColor="text1"/>
        </w:rPr>
      </w:pPr>
      <w:r w:rsidRPr="001C3EC8">
        <w:rPr>
          <w:color w:val="000000" w:themeColor="text1"/>
          <w:sz w:val="20"/>
        </w:rPr>
        <w:t xml:space="preserve">Zdroj: Evropská komise, Srovnávací přehled EU </w:t>
      </w:r>
      <w:r w:rsidR="00021FDD" w:rsidRPr="001C3EC8">
        <w:rPr>
          <w:color w:val="000000" w:themeColor="text1"/>
          <w:sz w:val="20"/>
        </w:rPr>
        <w:t>o</w:t>
      </w:r>
      <w:r w:rsidR="00021FDD">
        <w:rPr>
          <w:color w:val="000000" w:themeColor="text1"/>
          <w:sz w:val="20"/>
        </w:rPr>
        <w:t> </w:t>
      </w:r>
      <w:r w:rsidRPr="001C3EC8">
        <w:rPr>
          <w:color w:val="000000" w:themeColor="text1"/>
          <w:sz w:val="20"/>
        </w:rPr>
        <w:t>soudnictví za rok 2020, str. 14</w:t>
      </w:r>
    </w:p>
    <w:p w14:paraId="464F1905" w14:textId="77777777" w:rsidR="00E032DD" w:rsidRPr="001C3EC8" w:rsidRDefault="00E032DD" w:rsidP="008430BD">
      <w:pPr>
        <w:pStyle w:val="OdstavecASR"/>
        <w:rPr>
          <w:color w:val="000000" w:themeColor="text1"/>
        </w:rPr>
      </w:pPr>
    </w:p>
    <w:p w14:paraId="190742A8" w14:textId="592CD079" w:rsidR="00B07E76" w:rsidRDefault="008430BD" w:rsidP="008430BD">
      <w:pPr>
        <w:pStyle w:val="OdstavecASR"/>
        <w:rPr>
          <w:color w:val="000000" w:themeColor="text1"/>
        </w:rPr>
      </w:pPr>
      <w:r w:rsidRPr="001C3EC8">
        <w:rPr>
          <w:color w:val="000000" w:themeColor="text1"/>
        </w:rPr>
        <w:t>Další</w:t>
      </w:r>
      <w:r w:rsidR="003265A1" w:rsidRPr="001C3EC8">
        <w:rPr>
          <w:color w:val="000000" w:themeColor="text1"/>
        </w:rPr>
        <w:t>m</w:t>
      </w:r>
      <w:r w:rsidRPr="001C3EC8">
        <w:rPr>
          <w:color w:val="000000" w:themeColor="text1"/>
        </w:rPr>
        <w:t xml:space="preserve"> sledovaným ukazatelem je míra vyřizování. Tu má logicky mnoho států (včetně ČR) kolem 100 %. ČR se umístila na 12. místě, první je Slovensko</w:t>
      </w:r>
      <w:r w:rsidR="001D723D" w:rsidRPr="001C3EC8">
        <w:rPr>
          <w:color w:val="000000" w:themeColor="text1"/>
        </w:rPr>
        <w:t>;</w:t>
      </w:r>
      <w:r w:rsidRPr="001C3EC8">
        <w:rPr>
          <w:color w:val="000000" w:themeColor="text1"/>
        </w:rPr>
        <w:t xml:space="preserve"> takto vysoká míra </w:t>
      </w:r>
      <w:r w:rsidR="009A7A9D" w:rsidRPr="001C3EC8">
        <w:rPr>
          <w:color w:val="000000" w:themeColor="text1"/>
        </w:rPr>
        <w:t>vyřizování</w:t>
      </w:r>
      <w:r w:rsidRPr="001C3EC8">
        <w:rPr>
          <w:color w:val="000000" w:themeColor="text1"/>
        </w:rPr>
        <w:t xml:space="preserve"> může značit, že Slovensko mělo dříve velké množství nedodělků </w:t>
      </w:r>
      <w:r w:rsidR="00021FDD" w:rsidRPr="001C3EC8">
        <w:rPr>
          <w:color w:val="000000" w:themeColor="text1"/>
        </w:rPr>
        <w:t>a</w:t>
      </w:r>
      <w:r w:rsidR="00021FDD">
        <w:rPr>
          <w:color w:val="000000" w:themeColor="text1"/>
        </w:rPr>
        <w:t> </w:t>
      </w:r>
      <w:r w:rsidRPr="001C3EC8">
        <w:rPr>
          <w:color w:val="000000" w:themeColor="text1"/>
        </w:rPr>
        <w:t>nyní se jich úspěšně zbavuje</w:t>
      </w:r>
      <w:r w:rsidR="001D723D" w:rsidRPr="001C3EC8">
        <w:rPr>
          <w:color w:val="000000" w:themeColor="text1"/>
        </w:rPr>
        <w:t>.</w:t>
      </w:r>
      <w:r w:rsidRPr="001C3EC8">
        <w:rPr>
          <w:color w:val="000000" w:themeColor="text1"/>
        </w:rPr>
        <w:t xml:space="preserve"> </w:t>
      </w:r>
      <w:r w:rsidR="001D723D" w:rsidRPr="001C3EC8">
        <w:rPr>
          <w:color w:val="000000" w:themeColor="text1"/>
        </w:rPr>
        <w:t>P</w:t>
      </w:r>
      <w:r w:rsidRPr="001C3EC8">
        <w:rPr>
          <w:color w:val="000000" w:themeColor="text1"/>
        </w:rPr>
        <w:t>oslední je Irsko.</w:t>
      </w:r>
    </w:p>
    <w:p w14:paraId="580279B9" w14:textId="30F545C3" w:rsidR="00B07E76" w:rsidRDefault="008430BD" w:rsidP="008430BD">
      <w:pPr>
        <w:rPr>
          <w:color w:val="000000" w:themeColor="text1"/>
        </w:rPr>
      </w:pPr>
      <w:r w:rsidRPr="001C3EC8">
        <w:rPr>
          <w:color w:val="000000" w:themeColor="text1"/>
        </w:rPr>
        <w:t xml:space="preserve">Jako ukázku </w:t>
      </w:r>
      <w:r w:rsidR="00125857" w:rsidRPr="001C3EC8">
        <w:rPr>
          <w:color w:val="000000" w:themeColor="text1"/>
        </w:rPr>
        <w:t xml:space="preserve">jsme </w:t>
      </w:r>
      <w:r w:rsidRPr="001C3EC8">
        <w:rPr>
          <w:color w:val="000000" w:themeColor="text1"/>
        </w:rPr>
        <w:t xml:space="preserve">v naší Výroční statistické zprávě </w:t>
      </w:r>
      <w:r w:rsidR="00125857" w:rsidRPr="001C3EC8">
        <w:rPr>
          <w:color w:val="000000" w:themeColor="text1"/>
        </w:rPr>
        <w:t xml:space="preserve">uvedli </w:t>
      </w:r>
      <w:r w:rsidRPr="001C3EC8">
        <w:rPr>
          <w:color w:val="000000" w:themeColor="text1"/>
        </w:rPr>
        <w:t xml:space="preserve">data týkající se sporných občanských a obchodních věcí, protože se jedná </w:t>
      </w:r>
      <w:r w:rsidR="00021FDD" w:rsidRPr="001C3EC8">
        <w:rPr>
          <w:color w:val="000000" w:themeColor="text1"/>
        </w:rPr>
        <w:t>o</w:t>
      </w:r>
      <w:r w:rsidR="00021FDD">
        <w:rPr>
          <w:color w:val="000000" w:themeColor="text1"/>
        </w:rPr>
        <w:t> </w:t>
      </w:r>
      <w:r w:rsidRPr="001C3EC8">
        <w:rPr>
          <w:color w:val="000000" w:themeColor="text1"/>
        </w:rPr>
        <w:t xml:space="preserve">důležitou agendu </w:t>
      </w:r>
      <w:r w:rsidR="00021FDD" w:rsidRPr="001C3EC8">
        <w:rPr>
          <w:color w:val="000000" w:themeColor="text1"/>
        </w:rPr>
        <w:t>a</w:t>
      </w:r>
      <w:r w:rsidR="00021FDD">
        <w:rPr>
          <w:color w:val="000000" w:themeColor="text1"/>
        </w:rPr>
        <w:t> </w:t>
      </w:r>
      <w:r w:rsidRPr="001C3EC8">
        <w:rPr>
          <w:color w:val="000000" w:themeColor="text1"/>
        </w:rPr>
        <w:t xml:space="preserve">je celkem dobře srovnatelná mezi státy. </w:t>
      </w:r>
      <w:r w:rsidR="00021FDD" w:rsidRPr="001C3EC8">
        <w:rPr>
          <w:color w:val="000000" w:themeColor="text1"/>
        </w:rPr>
        <w:t>V</w:t>
      </w:r>
      <w:r w:rsidR="00021FDD">
        <w:rPr>
          <w:color w:val="000000" w:themeColor="text1"/>
        </w:rPr>
        <w:t> </w:t>
      </w:r>
      <w:r w:rsidRPr="001C3EC8">
        <w:rPr>
          <w:color w:val="000000" w:themeColor="text1"/>
        </w:rPr>
        <w:t xml:space="preserve">EU Justice </w:t>
      </w:r>
      <w:proofErr w:type="spellStart"/>
      <w:r w:rsidRPr="001C3EC8">
        <w:rPr>
          <w:color w:val="000000" w:themeColor="text1"/>
        </w:rPr>
        <w:t>Scoreboard</w:t>
      </w:r>
      <w:proofErr w:type="spellEnd"/>
      <w:r w:rsidRPr="001C3EC8">
        <w:rPr>
          <w:color w:val="000000" w:themeColor="text1"/>
        </w:rPr>
        <w:t xml:space="preserve"> jsou</w:t>
      </w:r>
      <w:r w:rsidR="00125857" w:rsidRPr="001C3EC8">
        <w:rPr>
          <w:color w:val="000000" w:themeColor="text1"/>
        </w:rPr>
        <w:t xml:space="preserve"> však</w:t>
      </w:r>
      <w:r w:rsidRPr="001C3EC8">
        <w:rPr>
          <w:color w:val="000000" w:themeColor="text1"/>
        </w:rPr>
        <w:t xml:space="preserve"> také statistiky týkající se správního soudnictví, ve kterých si ČR vede citelně hůře, což není překvapivé při pohledu na data týkající se správního soudnictví. EU Justice </w:t>
      </w:r>
      <w:proofErr w:type="spellStart"/>
      <w:r w:rsidRPr="001C3EC8">
        <w:rPr>
          <w:color w:val="000000" w:themeColor="text1"/>
        </w:rPr>
        <w:t>Scoreboard</w:t>
      </w:r>
      <w:proofErr w:type="spellEnd"/>
      <w:r w:rsidRPr="001C3EC8">
        <w:rPr>
          <w:color w:val="000000" w:themeColor="text1"/>
        </w:rPr>
        <w:t xml:space="preserve"> </w:t>
      </w:r>
      <w:r w:rsidR="001D723D" w:rsidRPr="001C3EC8">
        <w:rPr>
          <w:color w:val="000000" w:themeColor="text1"/>
        </w:rPr>
        <w:t xml:space="preserve">obsahuje </w:t>
      </w:r>
      <w:r w:rsidR="00021FDD" w:rsidRPr="001C3EC8">
        <w:rPr>
          <w:color w:val="000000" w:themeColor="text1"/>
        </w:rPr>
        <w:t>i</w:t>
      </w:r>
      <w:r w:rsidR="00021FDD">
        <w:rPr>
          <w:color w:val="000000" w:themeColor="text1"/>
        </w:rPr>
        <w:t> </w:t>
      </w:r>
      <w:r w:rsidR="001D723D" w:rsidRPr="001C3EC8">
        <w:rPr>
          <w:color w:val="000000" w:themeColor="text1"/>
        </w:rPr>
        <w:t>další</w:t>
      </w:r>
      <w:r w:rsidRPr="001C3EC8">
        <w:rPr>
          <w:color w:val="000000" w:themeColor="text1"/>
        </w:rPr>
        <w:t xml:space="preserve"> data týkající se občanskoprávních, obchodních, správních </w:t>
      </w:r>
      <w:r w:rsidR="00021FDD" w:rsidRPr="001C3EC8">
        <w:rPr>
          <w:color w:val="000000" w:themeColor="text1"/>
        </w:rPr>
        <w:t>a</w:t>
      </w:r>
      <w:r w:rsidR="00021FDD">
        <w:rPr>
          <w:color w:val="000000" w:themeColor="text1"/>
        </w:rPr>
        <w:t> </w:t>
      </w:r>
      <w:r w:rsidRPr="001C3EC8">
        <w:rPr>
          <w:color w:val="000000" w:themeColor="text1"/>
        </w:rPr>
        <w:t xml:space="preserve">ostatních věcí. </w:t>
      </w:r>
      <w:r w:rsidR="00021FDD" w:rsidRPr="001C3EC8">
        <w:rPr>
          <w:color w:val="000000" w:themeColor="text1"/>
        </w:rPr>
        <w:t>U</w:t>
      </w:r>
      <w:r w:rsidR="00021FDD">
        <w:rPr>
          <w:color w:val="000000" w:themeColor="text1"/>
        </w:rPr>
        <w:t> </w:t>
      </w:r>
      <w:r w:rsidRPr="001C3EC8">
        <w:rPr>
          <w:color w:val="000000" w:themeColor="text1"/>
        </w:rPr>
        <w:t xml:space="preserve">těchto dat ale velmi záleží, co </w:t>
      </w:r>
      <w:r w:rsidR="00021FDD" w:rsidRPr="001C3EC8">
        <w:rPr>
          <w:color w:val="000000" w:themeColor="text1"/>
        </w:rPr>
        <w:t>a</w:t>
      </w:r>
      <w:r w:rsidR="00021FDD">
        <w:rPr>
          <w:color w:val="000000" w:themeColor="text1"/>
        </w:rPr>
        <w:t> </w:t>
      </w:r>
      <w:r w:rsidRPr="001C3EC8">
        <w:rPr>
          <w:color w:val="000000" w:themeColor="text1"/>
        </w:rPr>
        <w:t xml:space="preserve">jak daný stát vykazuje </w:t>
      </w:r>
      <w:r w:rsidR="00021FDD" w:rsidRPr="001C3EC8">
        <w:rPr>
          <w:color w:val="000000" w:themeColor="text1"/>
        </w:rPr>
        <w:t>a</w:t>
      </w:r>
      <w:r w:rsidR="00021FDD">
        <w:rPr>
          <w:color w:val="000000" w:themeColor="text1"/>
        </w:rPr>
        <w:t> </w:t>
      </w:r>
      <w:r w:rsidRPr="001C3EC8">
        <w:rPr>
          <w:color w:val="000000" w:themeColor="text1"/>
        </w:rPr>
        <w:t xml:space="preserve">je zde </w:t>
      </w:r>
      <w:r w:rsidR="001D723D" w:rsidRPr="001C3EC8">
        <w:rPr>
          <w:color w:val="000000" w:themeColor="text1"/>
        </w:rPr>
        <w:t>tak</w:t>
      </w:r>
      <w:r w:rsidRPr="001C3EC8">
        <w:rPr>
          <w:color w:val="000000" w:themeColor="text1"/>
        </w:rPr>
        <w:t xml:space="preserve"> největší </w:t>
      </w:r>
      <w:r w:rsidR="001D723D" w:rsidRPr="001C3EC8">
        <w:rPr>
          <w:color w:val="000000" w:themeColor="text1"/>
        </w:rPr>
        <w:t>riziko</w:t>
      </w:r>
      <w:r w:rsidRPr="001C3EC8">
        <w:rPr>
          <w:color w:val="000000" w:themeColor="text1"/>
        </w:rPr>
        <w:t>, že vykázaná data jsou alespoň částečně ovlivněna způsobem vykazování.</w:t>
      </w:r>
    </w:p>
    <w:p w14:paraId="4C59C2A7" w14:textId="4694DD81" w:rsidR="00125857" w:rsidRPr="001C3EC8" w:rsidRDefault="00125857" w:rsidP="008430BD">
      <w:pPr>
        <w:rPr>
          <w:color w:val="000000" w:themeColor="text1"/>
        </w:rPr>
      </w:pPr>
    </w:p>
    <w:p w14:paraId="41609037" w14:textId="217992C1" w:rsidR="008430BD" w:rsidRPr="001C3EC8" w:rsidRDefault="008430BD" w:rsidP="008430BD">
      <w:pPr>
        <w:rPr>
          <w:color w:val="000000" w:themeColor="text1"/>
        </w:rPr>
      </w:pPr>
      <w:r w:rsidRPr="001C3EC8">
        <w:rPr>
          <w:color w:val="000000" w:themeColor="text1"/>
        </w:rPr>
        <w:t xml:space="preserve">Vidíme tedy, že ČR je </w:t>
      </w:r>
      <w:r w:rsidR="00125857" w:rsidRPr="001C3EC8">
        <w:rPr>
          <w:color w:val="000000" w:themeColor="text1"/>
        </w:rPr>
        <w:t xml:space="preserve">v rámci EU </w:t>
      </w:r>
      <w:r w:rsidRPr="001C3EC8">
        <w:rPr>
          <w:color w:val="000000" w:themeColor="text1"/>
        </w:rPr>
        <w:t>zemí, kde</w:t>
      </w:r>
      <w:r w:rsidR="003265A1" w:rsidRPr="001C3EC8">
        <w:rPr>
          <w:color w:val="000000" w:themeColor="text1"/>
        </w:rPr>
        <w:t xml:space="preserve"> je</w:t>
      </w:r>
      <w:r w:rsidRPr="001C3EC8">
        <w:rPr>
          <w:color w:val="000000" w:themeColor="text1"/>
        </w:rPr>
        <w:t xml:space="preserve"> </w:t>
      </w:r>
      <w:r w:rsidR="00125857" w:rsidRPr="001C3EC8">
        <w:rPr>
          <w:color w:val="000000" w:themeColor="text1"/>
        </w:rPr>
        <w:t>spravedlnost dobře dostupná</w:t>
      </w:r>
      <w:r w:rsidR="00A95D17" w:rsidRPr="001C3EC8">
        <w:rPr>
          <w:color w:val="000000" w:themeColor="text1"/>
        </w:rPr>
        <w:t xml:space="preserve"> (průměr v rámci EU), </w:t>
      </w:r>
      <w:r w:rsidR="00125857" w:rsidRPr="001C3EC8">
        <w:rPr>
          <w:color w:val="000000" w:themeColor="text1"/>
        </w:rPr>
        <w:t xml:space="preserve">svým občanům zajišťuje účinnou soudní ochranu </w:t>
      </w:r>
      <w:r w:rsidR="00021FDD" w:rsidRPr="001C3EC8">
        <w:rPr>
          <w:color w:val="000000" w:themeColor="text1"/>
        </w:rPr>
        <w:t>a</w:t>
      </w:r>
      <w:r w:rsidR="00021FDD">
        <w:rPr>
          <w:color w:val="000000" w:themeColor="text1"/>
        </w:rPr>
        <w:t> </w:t>
      </w:r>
      <w:r w:rsidR="00677C65" w:rsidRPr="001C3EC8">
        <w:rPr>
          <w:color w:val="000000" w:themeColor="text1"/>
        </w:rPr>
        <w:t xml:space="preserve">při vyřizování občanských </w:t>
      </w:r>
      <w:r w:rsidR="00021FDD" w:rsidRPr="001C3EC8">
        <w:rPr>
          <w:color w:val="000000" w:themeColor="text1"/>
        </w:rPr>
        <w:t>a</w:t>
      </w:r>
      <w:r w:rsidR="00021FDD">
        <w:rPr>
          <w:color w:val="000000" w:themeColor="text1"/>
        </w:rPr>
        <w:t> </w:t>
      </w:r>
      <w:r w:rsidR="00677C65" w:rsidRPr="001C3EC8">
        <w:rPr>
          <w:color w:val="000000" w:themeColor="text1"/>
        </w:rPr>
        <w:t>obchodních věcí</w:t>
      </w:r>
      <w:r w:rsidR="00125857" w:rsidRPr="001C3EC8">
        <w:rPr>
          <w:color w:val="000000" w:themeColor="text1"/>
        </w:rPr>
        <w:t xml:space="preserve"> je výkonná. Občané </w:t>
      </w:r>
      <w:r w:rsidRPr="001C3EC8">
        <w:rPr>
          <w:color w:val="000000" w:themeColor="text1"/>
        </w:rPr>
        <w:t>relativně často podávají žalob</w:t>
      </w:r>
      <w:r w:rsidR="003265A1" w:rsidRPr="001C3EC8">
        <w:rPr>
          <w:color w:val="000000" w:themeColor="text1"/>
        </w:rPr>
        <w:t>y</w:t>
      </w:r>
      <w:r w:rsidRPr="001C3EC8">
        <w:rPr>
          <w:color w:val="000000" w:themeColor="text1"/>
        </w:rPr>
        <w:t xml:space="preserve"> (počet příchozích věcí na 100 obyvatel) </w:t>
      </w:r>
      <w:r w:rsidR="00021FDD" w:rsidRPr="001C3EC8">
        <w:rPr>
          <w:color w:val="000000" w:themeColor="text1"/>
        </w:rPr>
        <w:t>a</w:t>
      </w:r>
      <w:r w:rsidR="00021FDD">
        <w:rPr>
          <w:color w:val="000000" w:themeColor="text1"/>
        </w:rPr>
        <w:t> </w:t>
      </w:r>
      <w:r w:rsidRPr="001C3EC8">
        <w:rPr>
          <w:color w:val="000000" w:themeColor="text1"/>
        </w:rPr>
        <w:t xml:space="preserve">české soudy vyřizují tuto agendu </w:t>
      </w:r>
      <w:r w:rsidR="00125857" w:rsidRPr="001C3EC8">
        <w:rPr>
          <w:color w:val="000000" w:themeColor="text1"/>
        </w:rPr>
        <w:t xml:space="preserve">v rámci EU </w:t>
      </w:r>
      <w:r w:rsidRPr="001C3EC8">
        <w:rPr>
          <w:color w:val="000000" w:themeColor="text1"/>
        </w:rPr>
        <w:t>poměrně dobře.</w:t>
      </w:r>
    </w:p>
    <w:p w14:paraId="308965F3" w14:textId="360C8EED" w:rsidR="008430BD" w:rsidRPr="001C3EC8" w:rsidRDefault="008430BD" w:rsidP="008430BD">
      <w:pPr>
        <w:rPr>
          <w:color w:val="000000" w:themeColor="text1"/>
        </w:rPr>
      </w:pPr>
      <w:r w:rsidRPr="001C3EC8">
        <w:rPr>
          <w:color w:val="000000" w:themeColor="text1"/>
        </w:rPr>
        <w:t xml:space="preserve">EU Justice </w:t>
      </w:r>
      <w:proofErr w:type="spellStart"/>
      <w:r w:rsidRPr="001C3EC8">
        <w:rPr>
          <w:color w:val="000000" w:themeColor="text1"/>
        </w:rPr>
        <w:t>Scoreboard</w:t>
      </w:r>
      <w:proofErr w:type="spellEnd"/>
      <w:r w:rsidRPr="001C3EC8">
        <w:rPr>
          <w:color w:val="000000" w:themeColor="text1"/>
        </w:rPr>
        <w:t xml:space="preserve"> obsahuje mnoho dalších dat, </w:t>
      </w:r>
      <w:r w:rsidR="001D723D" w:rsidRPr="001C3EC8">
        <w:rPr>
          <w:color w:val="000000" w:themeColor="text1"/>
        </w:rPr>
        <w:t>z nichž mimo jiné vyplývá</w:t>
      </w:r>
      <w:r w:rsidRPr="001C3EC8">
        <w:rPr>
          <w:color w:val="000000" w:themeColor="text1"/>
        </w:rPr>
        <w:t>, že ve vyřizování správních věcí je ČR v rámci EU podprůměrná, má silně nadprůměrný počet soudců na 100</w:t>
      </w:r>
      <w:r w:rsidR="00021FDD">
        <w:rPr>
          <w:color w:val="000000" w:themeColor="text1"/>
        </w:rPr>
        <w:t> </w:t>
      </w:r>
      <w:r w:rsidRPr="001C3EC8">
        <w:rPr>
          <w:color w:val="000000" w:themeColor="text1"/>
        </w:rPr>
        <w:t>000</w:t>
      </w:r>
      <w:r w:rsidR="00021FDD">
        <w:rPr>
          <w:color w:val="000000" w:themeColor="text1"/>
        </w:rPr>
        <w:t> </w:t>
      </w:r>
      <w:r w:rsidRPr="001C3EC8">
        <w:rPr>
          <w:color w:val="000000" w:themeColor="text1"/>
        </w:rPr>
        <w:t xml:space="preserve">obyvatel, nevede </w:t>
      </w:r>
      <w:r w:rsidR="001D723D" w:rsidRPr="001C3EC8">
        <w:rPr>
          <w:color w:val="000000" w:themeColor="text1"/>
        </w:rPr>
        <w:t xml:space="preserve">si </w:t>
      </w:r>
      <w:r w:rsidRPr="001C3EC8">
        <w:rPr>
          <w:color w:val="000000" w:themeColor="text1"/>
        </w:rPr>
        <w:t xml:space="preserve">dobře </w:t>
      </w:r>
      <w:r w:rsidR="00021FDD" w:rsidRPr="001C3EC8">
        <w:rPr>
          <w:color w:val="000000" w:themeColor="text1"/>
        </w:rPr>
        <w:t>v</w:t>
      </w:r>
      <w:r w:rsidR="00021FDD">
        <w:rPr>
          <w:color w:val="000000" w:themeColor="text1"/>
        </w:rPr>
        <w:t> </w:t>
      </w:r>
      <w:r w:rsidRPr="001C3EC8">
        <w:rPr>
          <w:color w:val="000000" w:themeColor="text1"/>
        </w:rPr>
        <w:t xml:space="preserve">dostupnosti on-line informací </w:t>
      </w:r>
      <w:r w:rsidR="00021FDD" w:rsidRPr="001C3EC8">
        <w:rPr>
          <w:color w:val="000000" w:themeColor="text1"/>
        </w:rPr>
        <w:t>o</w:t>
      </w:r>
      <w:r w:rsidR="00021FDD">
        <w:rPr>
          <w:color w:val="000000" w:themeColor="text1"/>
        </w:rPr>
        <w:t> </w:t>
      </w:r>
      <w:r w:rsidRPr="001C3EC8">
        <w:rPr>
          <w:color w:val="000000" w:themeColor="text1"/>
        </w:rPr>
        <w:t>systému soudnictví pro veřejnost</w:t>
      </w:r>
      <w:r w:rsidR="003513F6">
        <w:rPr>
          <w:color w:val="000000" w:themeColor="text1"/>
        </w:rPr>
        <w:t>,</w:t>
      </w:r>
      <w:r w:rsidRPr="001C3EC8">
        <w:rPr>
          <w:color w:val="000000" w:themeColor="text1"/>
        </w:rPr>
        <w:t xml:space="preserve"> </w:t>
      </w:r>
      <w:r w:rsidR="003513F6">
        <w:rPr>
          <w:color w:val="000000" w:themeColor="text1"/>
        </w:rPr>
        <w:t>nebo</w:t>
      </w:r>
      <w:r w:rsidR="003513F6" w:rsidRPr="001C3EC8">
        <w:rPr>
          <w:color w:val="000000" w:themeColor="text1"/>
        </w:rPr>
        <w:t xml:space="preserve"> </w:t>
      </w:r>
      <w:r w:rsidRPr="001C3EC8">
        <w:rPr>
          <w:color w:val="000000" w:themeColor="text1"/>
        </w:rPr>
        <w:t xml:space="preserve">že soudní poplatek za zahájení soudního řízení </w:t>
      </w:r>
      <w:r w:rsidR="00021FDD" w:rsidRPr="001C3EC8">
        <w:rPr>
          <w:color w:val="000000" w:themeColor="text1"/>
        </w:rPr>
        <w:t>v</w:t>
      </w:r>
      <w:r w:rsidR="00021FDD">
        <w:rPr>
          <w:color w:val="000000" w:themeColor="text1"/>
        </w:rPr>
        <w:t> </w:t>
      </w:r>
      <w:r w:rsidRPr="001C3EC8">
        <w:rPr>
          <w:color w:val="000000" w:themeColor="text1"/>
        </w:rPr>
        <w:t xml:space="preserve">konkrétní spotřebitelské věci je </w:t>
      </w:r>
      <w:r w:rsidR="001D723D" w:rsidRPr="001C3EC8">
        <w:rPr>
          <w:color w:val="000000" w:themeColor="text1"/>
        </w:rPr>
        <w:t>v</w:t>
      </w:r>
      <w:r w:rsidR="00433D13">
        <w:rPr>
          <w:color w:val="000000" w:themeColor="text1"/>
        </w:rPr>
        <w:t xml:space="preserve"> ČR </w:t>
      </w:r>
      <w:r w:rsidR="00021FDD">
        <w:rPr>
          <w:color w:val="000000" w:themeColor="text1"/>
        </w:rPr>
        <w:t>v </w:t>
      </w:r>
      <w:r w:rsidR="001D723D" w:rsidRPr="001C3EC8">
        <w:rPr>
          <w:color w:val="000000" w:themeColor="text1"/>
        </w:rPr>
        <w:t xml:space="preserve">rámci EU </w:t>
      </w:r>
      <w:r w:rsidRPr="001C3EC8">
        <w:rPr>
          <w:color w:val="000000" w:themeColor="text1"/>
        </w:rPr>
        <w:t>víceméně průměrný.</w:t>
      </w:r>
    </w:p>
    <w:p w14:paraId="06791502" w14:textId="77777777" w:rsidR="00692E2E" w:rsidRPr="001C3EC8" w:rsidRDefault="00692E2E" w:rsidP="008430BD">
      <w:pPr>
        <w:rPr>
          <w:color w:val="000000" w:themeColor="text1"/>
        </w:rPr>
      </w:pPr>
    </w:p>
    <w:p w14:paraId="2E2AC37E" w14:textId="6583A5B6" w:rsidR="008430BD" w:rsidRPr="001C3EC8" w:rsidRDefault="008430BD" w:rsidP="005D25EE">
      <w:pPr>
        <w:keepNext/>
        <w:rPr>
          <w:color w:val="000000" w:themeColor="text1"/>
        </w:rPr>
      </w:pPr>
      <w:r w:rsidRPr="001C3EC8">
        <w:rPr>
          <w:color w:val="000000" w:themeColor="text1"/>
        </w:rPr>
        <w:lastRenderedPageBreak/>
        <w:t>Na závěr uvádíme seznam zkratek zemí používaných v mezinárodním srovnání:</w:t>
      </w:r>
    </w:p>
    <w:p w14:paraId="399A7DA2" w14:textId="77777777" w:rsidR="008430BD" w:rsidRPr="001C3EC8" w:rsidRDefault="008430BD" w:rsidP="008430BD">
      <w:pPr>
        <w:rPr>
          <w:color w:val="000000" w:themeColor="text1"/>
          <w:sz w:val="20"/>
        </w:rPr>
      </w:pPr>
    </w:p>
    <w:p w14:paraId="76D286EA" w14:textId="77777777" w:rsidR="008430BD" w:rsidRPr="001C3EC8" w:rsidRDefault="008430BD" w:rsidP="008430BD">
      <w:pPr>
        <w:rPr>
          <w:color w:val="000000" w:themeColor="text1"/>
          <w:sz w:val="20"/>
        </w:rPr>
        <w:sectPr w:rsidR="008430BD" w:rsidRPr="001C3EC8" w:rsidSect="00E077F3">
          <w:footerReference w:type="default" r:id="rId147"/>
          <w:pgSz w:w="11906" w:h="16838" w:code="9"/>
          <w:pgMar w:top="1418" w:right="1418" w:bottom="1418" w:left="1418" w:header="709" w:footer="709" w:gutter="0"/>
          <w:cols w:space="708"/>
          <w:titlePg/>
          <w:docGrid w:linePitch="360"/>
        </w:sectPr>
      </w:pPr>
    </w:p>
    <w:p w14:paraId="058EC1C3" w14:textId="2A1D982B" w:rsidR="008430BD" w:rsidRPr="001C3EC8" w:rsidRDefault="008430BD" w:rsidP="008430BD">
      <w:pPr>
        <w:rPr>
          <w:color w:val="000000" w:themeColor="text1"/>
          <w:sz w:val="20"/>
        </w:rPr>
      </w:pPr>
      <w:r w:rsidRPr="001C3EC8">
        <w:rPr>
          <w:color w:val="000000" w:themeColor="text1"/>
          <w:sz w:val="20"/>
        </w:rPr>
        <w:t xml:space="preserve">AT </w:t>
      </w:r>
      <w:r w:rsidR="00A74F26" w:rsidRPr="001C3EC8">
        <w:rPr>
          <w:color w:val="000000" w:themeColor="text1"/>
          <w:sz w:val="20"/>
        </w:rPr>
        <w:t>Rakousko</w:t>
      </w:r>
    </w:p>
    <w:p w14:paraId="50AC07F7" w14:textId="3680C2A3" w:rsidR="008430BD" w:rsidRPr="001C3EC8" w:rsidRDefault="008430BD" w:rsidP="008430BD">
      <w:pPr>
        <w:rPr>
          <w:color w:val="000000" w:themeColor="text1"/>
          <w:sz w:val="20"/>
        </w:rPr>
      </w:pPr>
      <w:r w:rsidRPr="001C3EC8">
        <w:rPr>
          <w:color w:val="000000" w:themeColor="text1"/>
          <w:sz w:val="20"/>
        </w:rPr>
        <w:t xml:space="preserve">BE </w:t>
      </w:r>
      <w:r w:rsidR="00A74F26" w:rsidRPr="001C3EC8">
        <w:rPr>
          <w:color w:val="000000" w:themeColor="text1"/>
          <w:sz w:val="20"/>
        </w:rPr>
        <w:t>Belgie</w:t>
      </w:r>
    </w:p>
    <w:p w14:paraId="72BA7C6C" w14:textId="0EF521E6" w:rsidR="008430BD" w:rsidRPr="001C3EC8" w:rsidRDefault="008430BD" w:rsidP="008430BD">
      <w:pPr>
        <w:rPr>
          <w:color w:val="000000" w:themeColor="text1"/>
          <w:sz w:val="20"/>
        </w:rPr>
      </w:pPr>
      <w:r w:rsidRPr="001C3EC8">
        <w:rPr>
          <w:color w:val="000000" w:themeColor="text1"/>
          <w:sz w:val="20"/>
        </w:rPr>
        <w:t>BG Bul</w:t>
      </w:r>
      <w:r w:rsidR="00A74F26" w:rsidRPr="001C3EC8">
        <w:rPr>
          <w:color w:val="000000" w:themeColor="text1"/>
          <w:sz w:val="20"/>
        </w:rPr>
        <w:t>harsko</w:t>
      </w:r>
    </w:p>
    <w:p w14:paraId="77443870" w14:textId="75FBD29D" w:rsidR="008430BD" w:rsidRPr="001C3EC8" w:rsidRDefault="008430BD" w:rsidP="008430BD">
      <w:pPr>
        <w:rPr>
          <w:color w:val="000000" w:themeColor="text1"/>
          <w:sz w:val="20"/>
        </w:rPr>
      </w:pPr>
      <w:r w:rsidRPr="001C3EC8">
        <w:rPr>
          <w:color w:val="000000" w:themeColor="text1"/>
          <w:sz w:val="20"/>
        </w:rPr>
        <w:t xml:space="preserve">CY </w:t>
      </w:r>
      <w:r w:rsidR="00A74F26" w:rsidRPr="001C3EC8">
        <w:rPr>
          <w:color w:val="000000" w:themeColor="text1"/>
          <w:sz w:val="20"/>
        </w:rPr>
        <w:t>Kypr</w:t>
      </w:r>
    </w:p>
    <w:p w14:paraId="36DD9840" w14:textId="77777777" w:rsidR="00B07E76" w:rsidRDefault="008430BD" w:rsidP="008430BD">
      <w:pPr>
        <w:rPr>
          <w:color w:val="000000" w:themeColor="text1"/>
          <w:sz w:val="20"/>
        </w:rPr>
      </w:pPr>
      <w:r w:rsidRPr="001C3EC8">
        <w:rPr>
          <w:color w:val="000000" w:themeColor="text1"/>
          <w:sz w:val="20"/>
        </w:rPr>
        <w:t xml:space="preserve">CZ </w:t>
      </w:r>
      <w:r w:rsidR="00A74F26" w:rsidRPr="001C3EC8">
        <w:rPr>
          <w:color w:val="000000" w:themeColor="text1"/>
          <w:sz w:val="20"/>
        </w:rPr>
        <w:t>Česká republika</w:t>
      </w:r>
    </w:p>
    <w:p w14:paraId="27DB3C22" w14:textId="7204A291" w:rsidR="008430BD" w:rsidRPr="001C3EC8" w:rsidRDefault="008430BD" w:rsidP="008430BD">
      <w:pPr>
        <w:rPr>
          <w:color w:val="000000" w:themeColor="text1"/>
          <w:sz w:val="20"/>
        </w:rPr>
      </w:pPr>
      <w:r w:rsidRPr="001C3EC8">
        <w:rPr>
          <w:color w:val="000000" w:themeColor="text1"/>
          <w:sz w:val="20"/>
        </w:rPr>
        <w:t xml:space="preserve">DE </w:t>
      </w:r>
      <w:r w:rsidR="00A74F26" w:rsidRPr="001C3EC8">
        <w:rPr>
          <w:color w:val="000000" w:themeColor="text1"/>
          <w:sz w:val="20"/>
        </w:rPr>
        <w:t>Německo</w:t>
      </w:r>
    </w:p>
    <w:p w14:paraId="5BF82B9D" w14:textId="77777777" w:rsidR="00B07E76" w:rsidRDefault="008430BD" w:rsidP="008430BD">
      <w:pPr>
        <w:rPr>
          <w:color w:val="000000" w:themeColor="text1"/>
          <w:sz w:val="20"/>
        </w:rPr>
      </w:pPr>
      <w:r w:rsidRPr="001C3EC8">
        <w:rPr>
          <w:color w:val="000000" w:themeColor="text1"/>
          <w:sz w:val="20"/>
        </w:rPr>
        <w:t xml:space="preserve">DK </w:t>
      </w:r>
      <w:r w:rsidR="00A74F26" w:rsidRPr="001C3EC8">
        <w:rPr>
          <w:color w:val="000000" w:themeColor="text1"/>
          <w:sz w:val="20"/>
        </w:rPr>
        <w:t>Dánsko</w:t>
      </w:r>
    </w:p>
    <w:p w14:paraId="610CFCBC" w14:textId="77777777" w:rsidR="00B07E76" w:rsidRDefault="008430BD" w:rsidP="008430BD">
      <w:pPr>
        <w:rPr>
          <w:color w:val="000000" w:themeColor="text1"/>
          <w:sz w:val="20"/>
        </w:rPr>
      </w:pPr>
      <w:r w:rsidRPr="001C3EC8">
        <w:rPr>
          <w:color w:val="000000" w:themeColor="text1"/>
          <w:sz w:val="20"/>
        </w:rPr>
        <w:t xml:space="preserve">EE </w:t>
      </w:r>
      <w:r w:rsidR="00A74F26" w:rsidRPr="001C3EC8">
        <w:rPr>
          <w:color w:val="000000" w:themeColor="text1"/>
          <w:sz w:val="20"/>
        </w:rPr>
        <w:t>Estonsko</w:t>
      </w:r>
    </w:p>
    <w:p w14:paraId="733FEF01" w14:textId="5AAE0545" w:rsidR="008430BD" w:rsidRPr="001C3EC8" w:rsidRDefault="008430BD" w:rsidP="008430BD">
      <w:pPr>
        <w:rPr>
          <w:color w:val="000000" w:themeColor="text1"/>
          <w:sz w:val="20"/>
        </w:rPr>
      </w:pPr>
      <w:r w:rsidRPr="001C3EC8">
        <w:rPr>
          <w:color w:val="000000" w:themeColor="text1"/>
          <w:sz w:val="20"/>
        </w:rPr>
        <w:t xml:space="preserve">EL </w:t>
      </w:r>
      <w:r w:rsidR="00A74F26" w:rsidRPr="001C3EC8">
        <w:rPr>
          <w:color w:val="000000" w:themeColor="text1"/>
          <w:sz w:val="20"/>
        </w:rPr>
        <w:t>Řecko</w:t>
      </w:r>
    </w:p>
    <w:p w14:paraId="5E90C993" w14:textId="77777777" w:rsidR="00B07E76" w:rsidRDefault="008430BD" w:rsidP="008430BD">
      <w:pPr>
        <w:rPr>
          <w:color w:val="000000" w:themeColor="text1"/>
          <w:sz w:val="20"/>
        </w:rPr>
      </w:pPr>
      <w:r w:rsidRPr="001C3EC8">
        <w:rPr>
          <w:color w:val="000000" w:themeColor="text1"/>
          <w:sz w:val="20"/>
        </w:rPr>
        <w:t xml:space="preserve">ES </w:t>
      </w:r>
      <w:r w:rsidR="00A74F26" w:rsidRPr="001C3EC8">
        <w:rPr>
          <w:color w:val="000000" w:themeColor="text1"/>
          <w:sz w:val="20"/>
        </w:rPr>
        <w:t>Španělsko</w:t>
      </w:r>
    </w:p>
    <w:p w14:paraId="3F5D28A5" w14:textId="77777777" w:rsidR="00B07E76" w:rsidRDefault="008430BD" w:rsidP="008430BD">
      <w:pPr>
        <w:rPr>
          <w:color w:val="000000" w:themeColor="text1"/>
          <w:sz w:val="20"/>
        </w:rPr>
      </w:pPr>
      <w:r w:rsidRPr="001C3EC8">
        <w:rPr>
          <w:color w:val="000000" w:themeColor="text1"/>
          <w:sz w:val="20"/>
        </w:rPr>
        <w:t xml:space="preserve">IS </w:t>
      </w:r>
      <w:r w:rsidR="00A74F26" w:rsidRPr="001C3EC8">
        <w:rPr>
          <w:color w:val="000000" w:themeColor="text1"/>
          <w:sz w:val="20"/>
        </w:rPr>
        <w:t>Island</w:t>
      </w:r>
    </w:p>
    <w:p w14:paraId="3568B70E" w14:textId="7391E723" w:rsidR="008430BD" w:rsidRPr="001C3EC8" w:rsidRDefault="008430BD" w:rsidP="008430BD">
      <w:pPr>
        <w:rPr>
          <w:color w:val="000000" w:themeColor="text1"/>
          <w:sz w:val="20"/>
        </w:rPr>
      </w:pPr>
      <w:r w:rsidRPr="001C3EC8">
        <w:rPr>
          <w:color w:val="000000" w:themeColor="text1"/>
          <w:sz w:val="20"/>
        </w:rPr>
        <w:t xml:space="preserve">ME </w:t>
      </w:r>
      <w:r w:rsidR="00A74F26" w:rsidRPr="001C3EC8">
        <w:rPr>
          <w:color w:val="000000" w:themeColor="text1"/>
          <w:sz w:val="20"/>
        </w:rPr>
        <w:t>Černá Hora</w:t>
      </w:r>
    </w:p>
    <w:p w14:paraId="689AACFC" w14:textId="77777777" w:rsidR="00B07E76" w:rsidRDefault="008430BD" w:rsidP="008430BD">
      <w:pPr>
        <w:rPr>
          <w:color w:val="000000" w:themeColor="text1"/>
          <w:sz w:val="20"/>
        </w:rPr>
      </w:pPr>
      <w:r w:rsidRPr="001C3EC8">
        <w:rPr>
          <w:color w:val="000000" w:themeColor="text1"/>
          <w:sz w:val="20"/>
        </w:rPr>
        <w:t xml:space="preserve">MK </w:t>
      </w:r>
      <w:r w:rsidR="00A74F26" w:rsidRPr="001C3EC8">
        <w:rPr>
          <w:color w:val="000000" w:themeColor="text1"/>
          <w:sz w:val="20"/>
        </w:rPr>
        <w:t>Severní Makedonie</w:t>
      </w:r>
    </w:p>
    <w:p w14:paraId="4C08E1BA" w14:textId="73ED1063" w:rsidR="008430BD" w:rsidRPr="001C3EC8" w:rsidRDefault="008430BD" w:rsidP="008430BD">
      <w:pPr>
        <w:rPr>
          <w:color w:val="000000" w:themeColor="text1"/>
          <w:sz w:val="20"/>
        </w:rPr>
      </w:pPr>
      <w:r w:rsidRPr="001C3EC8">
        <w:rPr>
          <w:color w:val="000000" w:themeColor="text1"/>
          <w:sz w:val="20"/>
        </w:rPr>
        <w:t>RS S</w:t>
      </w:r>
      <w:r w:rsidR="00A74F26" w:rsidRPr="001C3EC8">
        <w:rPr>
          <w:color w:val="000000" w:themeColor="text1"/>
          <w:sz w:val="20"/>
        </w:rPr>
        <w:t>rbsko</w:t>
      </w:r>
    </w:p>
    <w:p w14:paraId="2811276E" w14:textId="77777777" w:rsidR="00B07E76" w:rsidRDefault="008430BD" w:rsidP="008430BD">
      <w:pPr>
        <w:rPr>
          <w:color w:val="000000" w:themeColor="text1"/>
          <w:sz w:val="20"/>
        </w:rPr>
      </w:pPr>
      <w:r w:rsidRPr="001C3EC8">
        <w:rPr>
          <w:color w:val="000000" w:themeColor="text1"/>
          <w:sz w:val="20"/>
        </w:rPr>
        <w:t>TR Tur</w:t>
      </w:r>
      <w:r w:rsidR="00A74F26" w:rsidRPr="001C3EC8">
        <w:rPr>
          <w:color w:val="000000" w:themeColor="text1"/>
          <w:sz w:val="20"/>
        </w:rPr>
        <w:t>ecko</w:t>
      </w:r>
    </w:p>
    <w:p w14:paraId="23C6F394" w14:textId="10EB25AD" w:rsidR="008430BD" w:rsidRPr="001C3EC8" w:rsidRDefault="008430BD" w:rsidP="008430BD">
      <w:pPr>
        <w:rPr>
          <w:color w:val="000000" w:themeColor="text1"/>
          <w:sz w:val="20"/>
        </w:rPr>
      </w:pPr>
      <w:r w:rsidRPr="001C3EC8">
        <w:rPr>
          <w:color w:val="000000" w:themeColor="text1"/>
          <w:sz w:val="20"/>
        </w:rPr>
        <w:t xml:space="preserve">CH </w:t>
      </w:r>
      <w:r w:rsidR="00A74F26" w:rsidRPr="001C3EC8">
        <w:rPr>
          <w:color w:val="000000" w:themeColor="text1"/>
          <w:sz w:val="20"/>
        </w:rPr>
        <w:t>Švýcarsko</w:t>
      </w:r>
    </w:p>
    <w:p w14:paraId="041673CB" w14:textId="77777777" w:rsidR="00B07E76" w:rsidRDefault="008430BD" w:rsidP="008430BD">
      <w:pPr>
        <w:rPr>
          <w:color w:val="000000" w:themeColor="text1"/>
          <w:sz w:val="20"/>
        </w:rPr>
      </w:pPr>
      <w:r w:rsidRPr="001C3EC8">
        <w:rPr>
          <w:color w:val="000000" w:themeColor="text1"/>
          <w:sz w:val="20"/>
        </w:rPr>
        <w:t>NO No</w:t>
      </w:r>
      <w:r w:rsidR="00A74F26" w:rsidRPr="001C3EC8">
        <w:rPr>
          <w:color w:val="000000" w:themeColor="text1"/>
          <w:sz w:val="20"/>
        </w:rPr>
        <w:t>rsko</w:t>
      </w:r>
    </w:p>
    <w:p w14:paraId="6C41C77C" w14:textId="352268AD" w:rsidR="008430BD" w:rsidRPr="001C3EC8" w:rsidRDefault="008430BD" w:rsidP="008430BD">
      <w:pPr>
        <w:rPr>
          <w:color w:val="000000" w:themeColor="text1"/>
          <w:sz w:val="20"/>
        </w:rPr>
      </w:pPr>
      <w:r w:rsidRPr="001C3EC8">
        <w:rPr>
          <w:color w:val="000000" w:themeColor="text1"/>
          <w:sz w:val="20"/>
        </w:rPr>
        <w:t>FI Fin</w:t>
      </w:r>
      <w:r w:rsidR="00A74F26" w:rsidRPr="001C3EC8">
        <w:rPr>
          <w:color w:val="000000" w:themeColor="text1"/>
          <w:sz w:val="20"/>
        </w:rPr>
        <w:t>sko</w:t>
      </w:r>
    </w:p>
    <w:p w14:paraId="7374064F" w14:textId="77777777" w:rsidR="00B07E76" w:rsidRDefault="00A74F26" w:rsidP="008430BD">
      <w:pPr>
        <w:rPr>
          <w:color w:val="000000" w:themeColor="text1"/>
          <w:sz w:val="20"/>
        </w:rPr>
      </w:pPr>
      <w:r w:rsidRPr="001C3EC8">
        <w:rPr>
          <w:color w:val="000000" w:themeColor="text1"/>
          <w:sz w:val="20"/>
        </w:rPr>
        <w:t>FR Francie</w:t>
      </w:r>
    </w:p>
    <w:p w14:paraId="294D01E7" w14:textId="6C64D609" w:rsidR="008430BD" w:rsidRPr="001C3EC8" w:rsidRDefault="008430BD" w:rsidP="008430BD">
      <w:pPr>
        <w:rPr>
          <w:color w:val="000000" w:themeColor="text1"/>
          <w:sz w:val="20"/>
        </w:rPr>
      </w:pPr>
      <w:r w:rsidRPr="001C3EC8">
        <w:rPr>
          <w:color w:val="000000" w:themeColor="text1"/>
          <w:sz w:val="20"/>
        </w:rPr>
        <w:t xml:space="preserve">HR </w:t>
      </w:r>
      <w:r w:rsidR="00A74F26" w:rsidRPr="001C3EC8">
        <w:rPr>
          <w:color w:val="000000" w:themeColor="text1"/>
          <w:sz w:val="20"/>
        </w:rPr>
        <w:t>Chorvatsko</w:t>
      </w:r>
    </w:p>
    <w:p w14:paraId="0A4EBF1B" w14:textId="6810AF78" w:rsidR="008430BD" w:rsidRPr="001C3EC8" w:rsidRDefault="008430BD" w:rsidP="008430BD">
      <w:pPr>
        <w:rPr>
          <w:color w:val="000000" w:themeColor="text1"/>
          <w:sz w:val="20"/>
        </w:rPr>
      </w:pPr>
      <w:r w:rsidRPr="001C3EC8">
        <w:rPr>
          <w:color w:val="000000" w:themeColor="text1"/>
          <w:sz w:val="20"/>
        </w:rPr>
        <w:t xml:space="preserve">HU </w:t>
      </w:r>
      <w:r w:rsidR="00A74F26" w:rsidRPr="001C3EC8">
        <w:rPr>
          <w:color w:val="000000" w:themeColor="text1"/>
          <w:sz w:val="20"/>
        </w:rPr>
        <w:t>Maďarsko</w:t>
      </w:r>
    </w:p>
    <w:p w14:paraId="0A062D87" w14:textId="17BF8F14" w:rsidR="008430BD" w:rsidRPr="001C3EC8" w:rsidRDefault="008430BD" w:rsidP="008430BD">
      <w:pPr>
        <w:rPr>
          <w:color w:val="000000" w:themeColor="text1"/>
          <w:sz w:val="20"/>
        </w:rPr>
      </w:pPr>
      <w:r w:rsidRPr="001C3EC8">
        <w:rPr>
          <w:color w:val="000000" w:themeColor="text1"/>
          <w:sz w:val="20"/>
        </w:rPr>
        <w:t>IE Ir</w:t>
      </w:r>
      <w:r w:rsidR="00A74F26" w:rsidRPr="001C3EC8">
        <w:rPr>
          <w:color w:val="000000" w:themeColor="text1"/>
          <w:sz w:val="20"/>
        </w:rPr>
        <w:t>sko</w:t>
      </w:r>
    </w:p>
    <w:p w14:paraId="6C9F56BB" w14:textId="77777777" w:rsidR="00B07E76" w:rsidRDefault="00A74F26" w:rsidP="008430BD">
      <w:pPr>
        <w:rPr>
          <w:color w:val="000000" w:themeColor="text1"/>
          <w:sz w:val="20"/>
        </w:rPr>
      </w:pPr>
      <w:r w:rsidRPr="001C3EC8">
        <w:rPr>
          <w:color w:val="000000" w:themeColor="text1"/>
          <w:sz w:val="20"/>
        </w:rPr>
        <w:t>IT Itálie</w:t>
      </w:r>
    </w:p>
    <w:p w14:paraId="5AAE68CA" w14:textId="45230C65" w:rsidR="008430BD" w:rsidRPr="001C3EC8" w:rsidRDefault="008430BD" w:rsidP="008430BD">
      <w:pPr>
        <w:rPr>
          <w:color w:val="000000" w:themeColor="text1"/>
          <w:sz w:val="20"/>
        </w:rPr>
      </w:pPr>
      <w:r w:rsidRPr="001C3EC8">
        <w:rPr>
          <w:color w:val="000000" w:themeColor="text1"/>
          <w:sz w:val="20"/>
        </w:rPr>
        <w:t xml:space="preserve">LT </w:t>
      </w:r>
      <w:r w:rsidR="00A74F26" w:rsidRPr="001C3EC8">
        <w:rPr>
          <w:color w:val="000000" w:themeColor="text1"/>
          <w:sz w:val="20"/>
        </w:rPr>
        <w:t>Litva</w:t>
      </w:r>
    </w:p>
    <w:p w14:paraId="6FF6ED70" w14:textId="349AB430" w:rsidR="008430BD" w:rsidRPr="001C3EC8" w:rsidRDefault="008430BD" w:rsidP="008430BD">
      <w:pPr>
        <w:rPr>
          <w:color w:val="000000" w:themeColor="text1"/>
          <w:sz w:val="20"/>
        </w:rPr>
      </w:pPr>
      <w:r w:rsidRPr="001C3EC8">
        <w:rPr>
          <w:color w:val="000000" w:themeColor="text1"/>
          <w:sz w:val="20"/>
        </w:rPr>
        <w:t>LU Lu</w:t>
      </w:r>
      <w:r w:rsidR="00A74F26" w:rsidRPr="001C3EC8">
        <w:rPr>
          <w:color w:val="000000" w:themeColor="text1"/>
          <w:sz w:val="20"/>
        </w:rPr>
        <w:t>cembursko</w:t>
      </w:r>
    </w:p>
    <w:p w14:paraId="6EFFDCA4" w14:textId="5A0DA6AF" w:rsidR="008430BD" w:rsidRPr="001C3EC8" w:rsidRDefault="00A74F26" w:rsidP="008430BD">
      <w:pPr>
        <w:rPr>
          <w:color w:val="000000" w:themeColor="text1"/>
          <w:sz w:val="20"/>
        </w:rPr>
      </w:pPr>
      <w:r w:rsidRPr="001C3EC8">
        <w:rPr>
          <w:color w:val="000000" w:themeColor="text1"/>
          <w:sz w:val="20"/>
        </w:rPr>
        <w:t xml:space="preserve">LV </w:t>
      </w:r>
      <w:r w:rsidR="00AD4B3D" w:rsidRPr="001C3EC8">
        <w:rPr>
          <w:color w:val="000000" w:themeColor="text1"/>
          <w:sz w:val="20"/>
        </w:rPr>
        <w:t>Lotyšsk</w:t>
      </w:r>
      <w:r w:rsidRPr="001C3EC8">
        <w:rPr>
          <w:color w:val="000000" w:themeColor="text1"/>
          <w:sz w:val="20"/>
        </w:rPr>
        <w:t>o</w:t>
      </w:r>
    </w:p>
    <w:p w14:paraId="222B8A6E" w14:textId="77777777" w:rsidR="00B07E76" w:rsidRDefault="008430BD" w:rsidP="008430BD">
      <w:pPr>
        <w:rPr>
          <w:color w:val="000000" w:themeColor="text1"/>
          <w:sz w:val="20"/>
        </w:rPr>
      </w:pPr>
      <w:r w:rsidRPr="001C3EC8">
        <w:rPr>
          <w:color w:val="000000" w:themeColor="text1"/>
          <w:sz w:val="20"/>
        </w:rPr>
        <w:t>MT Malta</w:t>
      </w:r>
    </w:p>
    <w:p w14:paraId="3D82F0A8" w14:textId="77777777" w:rsidR="00B07E76" w:rsidRDefault="008430BD" w:rsidP="008430BD">
      <w:pPr>
        <w:rPr>
          <w:color w:val="000000" w:themeColor="text1"/>
          <w:sz w:val="20"/>
        </w:rPr>
      </w:pPr>
      <w:r w:rsidRPr="001C3EC8">
        <w:rPr>
          <w:color w:val="000000" w:themeColor="text1"/>
          <w:sz w:val="20"/>
        </w:rPr>
        <w:t xml:space="preserve">NL </w:t>
      </w:r>
      <w:r w:rsidR="00A74F26" w:rsidRPr="001C3EC8">
        <w:rPr>
          <w:color w:val="000000" w:themeColor="text1"/>
          <w:sz w:val="20"/>
        </w:rPr>
        <w:t>Nizozemsko</w:t>
      </w:r>
    </w:p>
    <w:p w14:paraId="4FFE209F" w14:textId="7B6A7121" w:rsidR="008430BD" w:rsidRPr="001C3EC8" w:rsidRDefault="008430BD" w:rsidP="008430BD">
      <w:pPr>
        <w:rPr>
          <w:color w:val="000000" w:themeColor="text1"/>
          <w:sz w:val="20"/>
        </w:rPr>
      </w:pPr>
      <w:r w:rsidRPr="001C3EC8">
        <w:rPr>
          <w:color w:val="000000" w:themeColor="text1"/>
          <w:sz w:val="20"/>
        </w:rPr>
        <w:t>PL Pol</w:t>
      </w:r>
      <w:r w:rsidR="00A74F26" w:rsidRPr="001C3EC8">
        <w:rPr>
          <w:color w:val="000000" w:themeColor="text1"/>
          <w:sz w:val="20"/>
        </w:rPr>
        <w:t>sko</w:t>
      </w:r>
    </w:p>
    <w:p w14:paraId="214BB86E" w14:textId="77777777" w:rsidR="00B07E76" w:rsidRDefault="008430BD" w:rsidP="008430BD">
      <w:pPr>
        <w:rPr>
          <w:color w:val="000000" w:themeColor="text1"/>
          <w:sz w:val="20"/>
        </w:rPr>
      </w:pPr>
      <w:r w:rsidRPr="001C3EC8">
        <w:rPr>
          <w:color w:val="000000" w:themeColor="text1"/>
          <w:sz w:val="20"/>
        </w:rPr>
        <w:t>PT Portugal</w:t>
      </w:r>
      <w:r w:rsidR="00A74F26" w:rsidRPr="001C3EC8">
        <w:rPr>
          <w:color w:val="000000" w:themeColor="text1"/>
          <w:sz w:val="20"/>
        </w:rPr>
        <w:t>sko</w:t>
      </w:r>
    </w:p>
    <w:p w14:paraId="20FC7752" w14:textId="77777777" w:rsidR="00B07E76" w:rsidRDefault="008430BD" w:rsidP="008430BD">
      <w:pPr>
        <w:rPr>
          <w:color w:val="000000" w:themeColor="text1"/>
          <w:sz w:val="20"/>
        </w:rPr>
      </w:pPr>
      <w:r w:rsidRPr="001C3EC8">
        <w:rPr>
          <w:color w:val="000000" w:themeColor="text1"/>
          <w:sz w:val="20"/>
        </w:rPr>
        <w:t>RO R</w:t>
      </w:r>
      <w:r w:rsidR="00A74F26" w:rsidRPr="001C3EC8">
        <w:rPr>
          <w:color w:val="000000" w:themeColor="text1"/>
          <w:sz w:val="20"/>
        </w:rPr>
        <w:t>umunsko</w:t>
      </w:r>
    </w:p>
    <w:p w14:paraId="401D28B7" w14:textId="77777777" w:rsidR="00B07E76" w:rsidRDefault="008430BD" w:rsidP="008430BD">
      <w:pPr>
        <w:rPr>
          <w:color w:val="000000" w:themeColor="text1"/>
          <w:sz w:val="20"/>
        </w:rPr>
      </w:pPr>
      <w:r w:rsidRPr="001C3EC8">
        <w:rPr>
          <w:color w:val="000000" w:themeColor="text1"/>
          <w:sz w:val="20"/>
        </w:rPr>
        <w:t xml:space="preserve">SE </w:t>
      </w:r>
      <w:r w:rsidR="00A74F26" w:rsidRPr="001C3EC8">
        <w:rPr>
          <w:color w:val="000000" w:themeColor="text1"/>
          <w:sz w:val="20"/>
        </w:rPr>
        <w:t>Švédsko</w:t>
      </w:r>
    </w:p>
    <w:p w14:paraId="1ED4CB8E" w14:textId="107A550A" w:rsidR="008430BD" w:rsidRPr="001C3EC8" w:rsidRDefault="008430BD" w:rsidP="008430BD">
      <w:pPr>
        <w:rPr>
          <w:color w:val="000000" w:themeColor="text1"/>
          <w:sz w:val="20"/>
        </w:rPr>
      </w:pPr>
      <w:r w:rsidRPr="001C3EC8">
        <w:rPr>
          <w:color w:val="000000" w:themeColor="text1"/>
          <w:sz w:val="20"/>
        </w:rPr>
        <w:t>SI Slov</w:t>
      </w:r>
      <w:r w:rsidR="00A74F26" w:rsidRPr="001C3EC8">
        <w:rPr>
          <w:color w:val="000000" w:themeColor="text1"/>
          <w:sz w:val="20"/>
        </w:rPr>
        <w:t>ensko</w:t>
      </w:r>
    </w:p>
    <w:p w14:paraId="6491CC0B" w14:textId="1C224994" w:rsidR="008430BD" w:rsidRPr="001C3EC8" w:rsidRDefault="008430BD" w:rsidP="008430BD">
      <w:pPr>
        <w:rPr>
          <w:color w:val="000000" w:themeColor="text1"/>
          <w:sz w:val="20"/>
        </w:rPr>
      </w:pPr>
      <w:r w:rsidRPr="001C3EC8">
        <w:rPr>
          <w:color w:val="000000" w:themeColor="text1"/>
          <w:sz w:val="20"/>
        </w:rPr>
        <w:t>SK Slov</w:t>
      </w:r>
      <w:r w:rsidR="00A74F26" w:rsidRPr="001C3EC8">
        <w:rPr>
          <w:color w:val="000000" w:themeColor="text1"/>
          <w:sz w:val="20"/>
        </w:rPr>
        <w:t>insko</w:t>
      </w:r>
    </w:p>
    <w:p w14:paraId="2709C2CB" w14:textId="77777777" w:rsidR="00B07E76" w:rsidRDefault="008430BD" w:rsidP="008430BD">
      <w:pPr>
        <w:rPr>
          <w:color w:val="000000" w:themeColor="text1"/>
          <w:sz w:val="20"/>
        </w:rPr>
      </w:pPr>
      <w:r w:rsidRPr="001C3EC8">
        <w:rPr>
          <w:color w:val="000000" w:themeColor="text1"/>
          <w:sz w:val="20"/>
        </w:rPr>
        <w:t>UK</w:t>
      </w:r>
      <w:r w:rsidR="00EB4A5B" w:rsidRPr="001C3EC8">
        <w:rPr>
          <w:color w:val="000000" w:themeColor="text1"/>
          <w:sz w:val="20"/>
        </w:rPr>
        <w:t xml:space="preserve"> Velká Británie</w:t>
      </w:r>
    </w:p>
    <w:p w14:paraId="6690B932" w14:textId="39AFC448" w:rsidR="008430BD" w:rsidRPr="001C3EC8" w:rsidRDefault="008430BD" w:rsidP="008430BD">
      <w:pPr>
        <w:spacing w:line="240" w:lineRule="auto"/>
        <w:jc w:val="left"/>
        <w:rPr>
          <w:color w:val="000000" w:themeColor="text1"/>
        </w:rPr>
        <w:sectPr w:rsidR="008430BD" w:rsidRPr="001C3EC8" w:rsidSect="00E077F3">
          <w:type w:val="continuous"/>
          <w:pgSz w:w="11906" w:h="16838" w:code="9"/>
          <w:pgMar w:top="1418" w:right="1418" w:bottom="1418" w:left="1418" w:header="709" w:footer="709" w:gutter="0"/>
          <w:cols w:num="3" w:space="708"/>
          <w:titlePg/>
          <w:docGrid w:linePitch="360"/>
        </w:sectPr>
      </w:pPr>
    </w:p>
    <w:p w14:paraId="5DF38E51" w14:textId="6CFB8038" w:rsidR="008430BD" w:rsidRPr="001C3EC8" w:rsidRDefault="008430BD" w:rsidP="008430BD">
      <w:pPr>
        <w:pStyle w:val="Nadpis1"/>
        <w:pageBreakBefore/>
        <w:numPr>
          <w:ilvl w:val="0"/>
          <w:numId w:val="1"/>
        </w:numPr>
        <w:spacing w:after="120"/>
        <w:rPr>
          <w:color w:val="000000" w:themeColor="text1"/>
        </w:rPr>
      </w:pPr>
      <w:bookmarkStart w:id="926" w:name="_Toc75952167"/>
      <w:r w:rsidRPr="001C3EC8">
        <w:rPr>
          <w:color w:val="000000" w:themeColor="text1"/>
        </w:rPr>
        <w:lastRenderedPageBreak/>
        <w:t>Jiné statistiky</w:t>
      </w:r>
      <w:bookmarkEnd w:id="926"/>
    </w:p>
    <w:p w14:paraId="63A7AF5C" w14:textId="6BE220D8" w:rsidR="008430BD" w:rsidRPr="001C3EC8" w:rsidRDefault="008430BD" w:rsidP="008430BD">
      <w:pPr>
        <w:rPr>
          <w:color w:val="000000" w:themeColor="text1"/>
        </w:rPr>
      </w:pPr>
      <w:r w:rsidRPr="001C3EC8">
        <w:rPr>
          <w:color w:val="000000" w:themeColor="text1"/>
        </w:rPr>
        <w:t xml:space="preserve">Tato zpráva se téměř výhradně zabývá daty, která se týkají počtu soudců, vyřizování věcí, výkonnosti </w:t>
      </w:r>
      <w:r w:rsidR="00021FDD" w:rsidRPr="001C3EC8">
        <w:rPr>
          <w:color w:val="000000" w:themeColor="text1"/>
        </w:rPr>
        <w:t>a</w:t>
      </w:r>
      <w:r w:rsidR="00021FDD">
        <w:rPr>
          <w:color w:val="000000" w:themeColor="text1"/>
        </w:rPr>
        <w:t> </w:t>
      </w:r>
      <w:r w:rsidRPr="001C3EC8">
        <w:rPr>
          <w:color w:val="000000" w:themeColor="text1"/>
        </w:rPr>
        <w:t>zatíženosti soudů či se jinak dotýkají pravomocně skončených věcí. Justiční soustava</w:t>
      </w:r>
      <w:r w:rsidR="00137A0B" w:rsidRPr="001C3EC8">
        <w:rPr>
          <w:color w:val="000000" w:themeColor="text1"/>
        </w:rPr>
        <w:t>,</w:t>
      </w:r>
      <w:r w:rsidRPr="001C3EC8">
        <w:rPr>
          <w:color w:val="000000" w:themeColor="text1"/>
        </w:rPr>
        <w:t xml:space="preserve"> její agenda </w:t>
      </w:r>
      <w:r w:rsidR="00021FDD" w:rsidRPr="001C3EC8">
        <w:rPr>
          <w:color w:val="000000" w:themeColor="text1"/>
        </w:rPr>
        <w:t>a</w:t>
      </w:r>
      <w:r w:rsidR="00021FDD">
        <w:rPr>
          <w:color w:val="000000" w:themeColor="text1"/>
        </w:rPr>
        <w:t> </w:t>
      </w:r>
      <w:r w:rsidR="00137A0B" w:rsidRPr="001C3EC8">
        <w:rPr>
          <w:color w:val="000000" w:themeColor="text1"/>
        </w:rPr>
        <w:t>související aspekty</w:t>
      </w:r>
      <w:r w:rsidRPr="001C3EC8">
        <w:rPr>
          <w:color w:val="000000" w:themeColor="text1"/>
        </w:rPr>
        <w:t xml:space="preserve"> j</w:t>
      </w:r>
      <w:r w:rsidR="00137A0B" w:rsidRPr="001C3EC8">
        <w:rPr>
          <w:color w:val="000000" w:themeColor="text1"/>
        </w:rPr>
        <w:t>sou</w:t>
      </w:r>
      <w:r w:rsidRPr="001C3EC8">
        <w:rPr>
          <w:color w:val="000000" w:themeColor="text1"/>
        </w:rPr>
        <w:t xml:space="preserve"> ale velmi rozsáhl</w:t>
      </w:r>
      <w:r w:rsidR="00137A0B" w:rsidRPr="001C3EC8">
        <w:rPr>
          <w:color w:val="000000" w:themeColor="text1"/>
        </w:rPr>
        <w:t>é</w:t>
      </w:r>
      <w:r w:rsidRPr="001C3EC8">
        <w:rPr>
          <w:color w:val="000000" w:themeColor="text1"/>
        </w:rPr>
        <w:t xml:space="preserve"> </w:t>
      </w:r>
      <w:r w:rsidR="00021FDD" w:rsidRPr="001C3EC8">
        <w:rPr>
          <w:color w:val="000000" w:themeColor="text1"/>
        </w:rPr>
        <w:t>a</w:t>
      </w:r>
      <w:r w:rsidR="00021FDD">
        <w:rPr>
          <w:color w:val="000000" w:themeColor="text1"/>
        </w:rPr>
        <w:t> </w:t>
      </w:r>
      <w:r w:rsidRPr="001C3EC8">
        <w:rPr>
          <w:color w:val="000000" w:themeColor="text1"/>
        </w:rPr>
        <w:t xml:space="preserve">existuje mnoho jiných sledovaných dat. Jako příklad uvádíme statistiku, která je kvůli pandemii </w:t>
      </w:r>
      <w:r w:rsidR="000C3B1E">
        <w:rPr>
          <w:color w:val="000000" w:themeColor="text1"/>
        </w:rPr>
        <w:t>COVID</w:t>
      </w:r>
      <w:r w:rsidR="000C3B1E">
        <w:rPr>
          <w:color w:val="000000" w:themeColor="text1"/>
        </w:rPr>
        <w:noBreakHyphen/>
        <w:t>19</w:t>
      </w:r>
      <w:r w:rsidRPr="001C3EC8">
        <w:rPr>
          <w:color w:val="000000" w:themeColor="text1"/>
        </w:rPr>
        <w:t xml:space="preserve"> velmi aktuální, </w:t>
      </w:r>
      <w:r w:rsidR="00137A0B" w:rsidRPr="001C3EC8">
        <w:rPr>
          <w:color w:val="000000" w:themeColor="text1"/>
        </w:rPr>
        <w:t>neboť se týká vy</w:t>
      </w:r>
      <w:r w:rsidRPr="001C3EC8">
        <w:rPr>
          <w:color w:val="000000" w:themeColor="text1"/>
        </w:rPr>
        <w:t xml:space="preserve">užití videokonferencí soudy, státními zastupitelstvími, věznicemi </w:t>
      </w:r>
      <w:r w:rsidR="00021FDD" w:rsidRPr="001C3EC8">
        <w:rPr>
          <w:color w:val="000000" w:themeColor="text1"/>
        </w:rPr>
        <w:t>a</w:t>
      </w:r>
      <w:r w:rsidR="00021FDD">
        <w:rPr>
          <w:color w:val="000000" w:themeColor="text1"/>
        </w:rPr>
        <w:t> </w:t>
      </w:r>
      <w:r w:rsidRPr="001C3EC8">
        <w:rPr>
          <w:color w:val="000000" w:themeColor="text1"/>
        </w:rPr>
        <w:t>dalšími institucemi v rámci justičního sektoru. Měsíční data jsou zobrazena v grafu níže.</w:t>
      </w:r>
    </w:p>
    <w:p w14:paraId="32FF58E1" w14:textId="49C5BEF5" w:rsidR="008430BD" w:rsidRPr="001C3EC8" w:rsidRDefault="008430BD" w:rsidP="008430BD">
      <w:pPr>
        <w:pStyle w:val="Podnadpis"/>
        <w:rPr>
          <w:color w:val="000000" w:themeColor="text1"/>
        </w:rPr>
      </w:pPr>
      <w:bookmarkStart w:id="927" w:name="_Toc75952301"/>
      <w:r w:rsidRPr="001C3EC8">
        <w:rPr>
          <w:color w:val="000000" w:themeColor="text1"/>
        </w:rPr>
        <w:t xml:space="preserve">Graf </w:t>
      </w:r>
      <w:r w:rsidRPr="001C3EC8">
        <w:rPr>
          <w:color w:val="000000" w:themeColor="text1"/>
        </w:rPr>
        <w:fldChar w:fldCharType="begin"/>
      </w:r>
      <w:r w:rsidRPr="001C3EC8">
        <w:rPr>
          <w:color w:val="000000" w:themeColor="text1"/>
        </w:rPr>
        <w:instrText xml:space="preserve"> SEQ Graf \* ARABIC </w:instrText>
      </w:r>
      <w:r w:rsidRPr="001C3EC8">
        <w:rPr>
          <w:color w:val="000000" w:themeColor="text1"/>
        </w:rPr>
        <w:fldChar w:fldCharType="separate"/>
      </w:r>
      <w:r w:rsidR="009C575D">
        <w:rPr>
          <w:noProof/>
          <w:color w:val="000000" w:themeColor="text1"/>
        </w:rPr>
        <w:t>121</w:t>
      </w:r>
      <w:r w:rsidRPr="001C3EC8">
        <w:rPr>
          <w:color w:val="000000" w:themeColor="text1"/>
        </w:rPr>
        <w:fldChar w:fldCharType="end"/>
      </w:r>
      <w:r w:rsidRPr="001C3EC8">
        <w:rPr>
          <w:color w:val="000000" w:themeColor="text1"/>
        </w:rPr>
        <w:t>: Počet videokonferencí měsíčně, roky 2017 až 2020</w:t>
      </w:r>
      <w:bookmarkEnd w:id="927"/>
    </w:p>
    <w:p w14:paraId="09017E44" w14:textId="2FAFCEE9" w:rsidR="008430BD" w:rsidRPr="001C3EC8" w:rsidRDefault="008430BD" w:rsidP="008430BD">
      <w:pPr>
        <w:pStyle w:val="OdstavecASR"/>
        <w:rPr>
          <w:color w:val="000000" w:themeColor="text1"/>
        </w:rPr>
      </w:pPr>
      <w:r w:rsidRPr="001C3EC8">
        <w:rPr>
          <w:noProof/>
          <w:color w:val="000000" w:themeColor="text1"/>
          <w:lang w:eastAsia="cs-CZ"/>
        </w:rPr>
        <w:drawing>
          <wp:inline distT="0" distB="0" distL="0" distR="0" wp14:anchorId="0F312EB0" wp14:editId="6CD8CBF5">
            <wp:extent cx="5114925" cy="3743325"/>
            <wp:effectExtent l="0" t="0" r="0" b="9525"/>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1955B7F8" w14:textId="77777777" w:rsidR="008430BD" w:rsidRPr="001C3EC8" w:rsidRDefault="008430BD" w:rsidP="008430BD">
      <w:pPr>
        <w:pStyle w:val="OdstavecASR"/>
        <w:rPr>
          <w:color w:val="000000" w:themeColor="text1"/>
        </w:rPr>
      </w:pPr>
      <w:r w:rsidRPr="001C3EC8">
        <w:rPr>
          <w:color w:val="000000" w:themeColor="text1"/>
        </w:rPr>
        <w:t>Ohledně videokonferencí lze upozornit na několik věcí:</w:t>
      </w:r>
    </w:p>
    <w:p w14:paraId="087F6097" w14:textId="7A81E8A2" w:rsidR="008430BD" w:rsidRPr="001C3EC8" w:rsidRDefault="008430BD" w:rsidP="008430BD">
      <w:pPr>
        <w:pStyle w:val="Odstavecseseznamem"/>
        <w:numPr>
          <w:ilvl w:val="0"/>
          <w:numId w:val="13"/>
        </w:numPr>
        <w:rPr>
          <w:color w:val="000000" w:themeColor="text1"/>
        </w:rPr>
      </w:pPr>
      <w:r w:rsidRPr="001C3EC8">
        <w:rPr>
          <w:color w:val="000000" w:themeColor="text1"/>
        </w:rPr>
        <w:t xml:space="preserve">Počet videokonferencí vykazoval stoupající trend, </w:t>
      </w:r>
      <w:r w:rsidR="00021FDD" w:rsidRPr="001C3EC8">
        <w:rPr>
          <w:color w:val="000000" w:themeColor="text1"/>
        </w:rPr>
        <w:t>i</w:t>
      </w:r>
      <w:r w:rsidR="00021FDD">
        <w:rPr>
          <w:color w:val="000000" w:themeColor="text1"/>
        </w:rPr>
        <w:t> </w:t>
      </w:r>
      <w:r w:rsidRPr="001C3EC8">
        <w:rPr>
          <w:color w:val="000000" w:themeColor="text1"/>
        </w:rPr>
        <w:t>když s určitými výchylkami (druhá polovina roku 2018)</w:t>
      </w:r>
    </w:p>
    <w:p w14:paraId="7B705807" w14:textId="01793808" w:rsidR="00B07E76" w:rsidRDefault="008430BD" w:rsidP="008430BD">
      <w:pPr>
        <w:pStyle w:val="Odstavecseseznamem"/>
        <w:numPr>
          <w:ilvl w:val="0"/>
          <w:numId w:val="13"/>
        </w:numPr>
        <w:rPr>
          <w:color w:val="000000" w:themeColor="text1"/>
        </w:rPr>
      </w:pPr>
      <w:r w:rsidRPr="001C3EC8">
        <w:rPr>
          <w:color w:val="000000" w:themeColor="text1"/>
        </w:rPr>
        <w:t xml:space="preserve">Data za část listopadu 2018 </w:t>
      </w:r>
      <w:r w:rsidR="00021FDD" w:rsidRPr="001C3EC8">
        <w:rPr>
          <w:color w:val="000000" w:themeColor="text1"/>
        </w:rPr>
        <w:t>a</w:t>
      </w:r>
      <w:r w:rsidR="00021FDD">
        <w:rPr>
          <w:color w:val="000000" w:themeColor="text1"/>
        </w:rPr>
        <w:t> </w:t>
      </w:r>
      <w:r w:rsidRPr="001C3EC8">
        <w:rPr>
          <w:color w:val="000000" w:themeColor="text1"/>
        </w:rPr>
        <w:t>prosinec 2018 nejsou k dispozici.</w:t>
      </w:r>
    </w:p>
    <w:p w14:paraId="0C9123D0" w14:textId="1B0B1578" w:rsidR="008430BD" w:rsidRPr="001C3EC8" w:rsidRDefault="008430BD" w:rsidP="008430BD">
      <w:pPr>
        <w:pStyle w:val="Odstavecseseznamem"/>
        <w:numPr>
          <w:ilvl w:val="0"/>
          <w:numId w:val="13"/>
        </w:numPr>
        <w:rPr>
          <w:color w:val="000000" w:themeColor="text1"/>
        </w:rPr>
      </w:pPr>
      <w:r w:rsidRPr="001C3EC8">
        <w:rPr>
          <w:color w:val="000000" w:themeColor="text1"/>
        </w:rPr>
        <w:t xml:space="preserve">Zcela jasně je vidět vliv pandemie </w:t>
      </w:r>
      <w:r w:rsidR="000C3B1E">
        <w:rPr>
          <w:color w:val="000000" w:themeColor="text1"/>
        </w:rPr>
        <w:t>COVID</w:t>
      </w:r>
      <w:r w:rsidR="000C3B1E">
        <w:rPr>
          <w:color w:val="000000" w:themeColor="text1"/>
        </w:rPr>
        <w:noBreakHyphen/>
        <w:t>19</w:t>
      </w:r>
      <w:r w:rsidRPr="001C3EC8">
        <w:rPr>
          <w:color w:val="000000" w:themeColor="text1"/>
        </w:rPr>
        <w:t xml:space="preserve">. Během prvního nouzového stavu byl objem videokonferencí opravdu velký (duben 2020 – 8 236). Po skončení prvního nouzového stavu počet videokonferencí </w:t>
      </w:r>
      <w:r w:rsidR="00E844A3" w:rsidRPr="001C3EC8">
        <w:rPr>
          <w:color w:val="000000" w:themeColor="text1"/>
        </w:rPr>
        <w:t>klesl</w:t>
      </w:r>
      <w:r w:rsidRPr="001C3EC8">
        <w:rPr>
          <w:color w:val="000000" w:themeColor="text1"/>
        </w:rPr>
        <w:t xml:space="preserve">, ale stále byl značný. Opět narostl během druhého nouzového stavu, </w:t>
      </w:r>
      <w:r w:rsidR="00021FDD" w:rsidRPr="001C3EC8">
        <w:rPr>
          <w:color w:val="000000" w:themeColor="text1"/>
        </w:rPr>
        <w:t>i</w:t>
      </w:r>
      <w:r w:rsidR="00021FDD">
        <w:rPr>
          <w:color w:val="000000" w:themeColor="text1"/>
        </w:rPr>
        <w:t> </w:t>
      </w:r>
      <w:r w:rsidRPr="001C3EC8">
        <w:rPr>
          <w:color w:val="000000" w:themeColor="text1"/>
        </w:rPr>
        <w:t xml:space="preserve">když ne tak radikálně jako v dubnu </w:t>
      </w:r>
      <w:r w:rsidR="00021FDD" w:rsidRPr="001C3EC8">
        <w:rPr>
          <w:color w:val="000000" w:themeColor="text1"/>
        </w:rPr>
        <w:t>a</w:t>
      </w:r>
      <w:r w:rsidR="00021FDD">
        <w:rPr>
          <w:color w:val="000000" w:themeColor="text1"/>
        </w:rPr>
        <w:t> </w:t>
      </w:r>
      <w:r w:rsidRPr="001C3EC8">
        <w:rPr>
          <w:color w:val="000000" w:themeColor="text1"/>
        </w:rPr>
        <w:t>květnu</w:t>
      </w:r>
    </w:p>
    <w:p w14:paraId="37178C26" w14:textId="77777777" w:rsidR="008430BD" w:rsidRPr="001C3EC8" w:rsidRDefault="008430BD" w:rsidP="008430BD">
      <w:pPr>
        <w:pStyle w:val="Odstavecseseznamem"/>
        <w:numPr>
          <w:ilvl w:val="0"/>
          <w:numId w:val="13"/>
        </w:numPr>
        <w:rPr>
          <w:color w:val="000000" w:themeColor="text1"/>
        </w:rPr>
      </w:pPr>
      <w:r w:rsidRPr="001C3EC8">
        <w:rPr>
          <w:color w:val="000000" w:themeColor="text1"/>
        </w:rPr>
        <w:t>Podrobnější data ukazují, že jsou velké rozdíly mezi jednotlivými soudy</w:t>
      </w:r>
    </w:p>
    <w:p w14:paraId="1D686061" w14:textId="77777777" w:rsidR="008430BD" w:rsidRPr="001C3EC8" w:rsidRDefault="008430BD" w:rsidP="008430BD">
      <w:pPr>
        <w:rPr>
          <w:color w:val="000000" w:themeColor="text1"/>
        </w:rPr>
      </w:pPr>
    </w:p>
    <w:p w14:paraId="48462328" w14:textId="7B3E8387" w:rsidR="008430BD" w:rsidRPr="001C3EC8" w:rsidRDefault="008430BD" w:rsidP="008430BD">
      <w:pPr>
        <w:rPr>
          <w:color w:val="000000" w:themeColor="text1"/>
        </w:rPr>
      </w:pPr>
      <w:r w:rsidRPr="001C3EC8">
        <w:rPr>
          <w:color w:val="000000" w:themeColor="text1"/>
        </w:rPr>
        <w:t xml:space="preserve">Jako další zajímavá data lze uvést počet vydaných výstupů na Czech Pointech. Z pohledu justice je zajímavé, že Czech Point umožňuje požádat </w:t>
      </w:r>
      <w:r w:rsidR="00021FDD" w:rsidRPr="001C3EC8">
        <w:rPr>
          <w:color w:val="000000" w:themeColor="text1"/>
        </w:rPr>
        <w:t>o</w:t>
      </w:r>
      <w:r w:rsidR="00021FDD">
        <w:rPr>
          <w:color w:val="000000" w:themeColor="text1"/>
        </w:rPr>
        <w:t> </w:t>
      </w:r>
      <w:r w:rsidRPr="001C3EC8">
        <w:rPr>
          <w:color w:val="000000" w:themeColor="text1"/>
        </w:rPr>
        <w:t xml:space="preserve">výstup z rejstříku trestů. Žádosti </w:t>
      </w:r>
      <w:r w:rsidR="00021FDD" w:rsidRPr="001C3EC8">
        <w:rPr>
          <w:color w:val="000000" w:themeColor="text1"/>
        </w:rPr>
        <w:t>o</w:t>
      </w:r>
      <w:r w:rsidR="00021FDD">
        <w:rPr>
          <w:color w:val="000000" w:themeColor="text1"/>
        </w:rPr>
        <w:t> </w:t>
      </w:r>
      <w:r w:rsidRPr="001C3EC8">
        <w:rPr>
          <w:color w:val="000000" w:themeColor="text1"/>
        </w:rPr>
        <w:t>výpis z rejstříku trestů roce 2020 p</w:t>
      </w:r>
      <w:r w:rsidR="009A7A9D" w:rsidRPr="001C3EC8">
        <w:rPr>
          <w:color w:val="000000" w:themeColor="text1"/>
        </w:rPr>
        <w:t>ředstavovaly</w:t>
      </w:r>
      <w:r w:rsidRPr="001C3EC8">
        <w:rPr>
          <w:color w:val="000000" w:themeColor="text1"/>
        </w:rPr>
        <w:t xml:space="preserve"> asi 35 % ze všech žádostí na Czech Pointech</w:t>
      </w:r>
      <w:r w:rsidRPr="001C3EC8">
        <w:rPr>
          <w:rStyle w:val="Znakapoznpodarou"/>
          <w:color w:val="000000" w:themeColor="text1"/>
        </w:rPr>
        <w:footnoteReference w:id="16"/>
      </w:r>
      <w:r w:rsidRPr="001C3EC8">
        <w:rPr>
          <w:color w:val="000000" w:themeColor="text1"/>
        </w:rPr>
        <w:t>.</w:t>
      </w:r>
    </w:p>
    <w:p w14:paraId="45BF9F08" w14:textId="2AB0644A" w:rsidR="008430BD" w:rsidRPr="001C3EC8" w:rsidRDefault="008430BD" w:rsidP="008430BD">
      <w:pPr>
        <w:pStyle w:val="Nadpis1"/>
        <w:rPr>
          <w:color w:val="000000" w:themeColor="text1"/>
        </w:rPr>
      </w:pPr>
      <w:bookmarkStart w:id="928" w:name="_Toc75952168"/>
      <w:r w:rsidRPr="001C3EC8">
        <w:rPr>
          <w:color w:val="000000" w:themeColor="text1"/>
        </w:rPr>
        <w:lastRenderedPageBreak/>
        <w:t>Seznam grafů</w:t>
      </w:r>
      <w:bookmarkEnd w:id="903"/>
      <w:bookmarkEnd w:id="928"/>
    </w:p>
    <w:p w14:paraId="0C40EB6A" w14:textId="4B85E378" w:rsidR="00021FDD" w:rsidRDefault="008430BD">
      <w:pPr>
        <w:pStyle w:val="Seznamobrzk"/>
        <w:tabs>
          <w:tab w:val="right" w:leader="dot" w:pos="9060"/>
        </w:tabs>
        <w:rPr>
          <w:rFonts w:asciiTheme="minorHAnsi" w:eastAsiaTheme="minorEastAsia" w:hAnsiTheme="minorHAnsi" w:cstheme="minorBidi"/>
          <w:noProof/>
          <w:sz w:val="22"/>
          <w:lang w:eastAsia="cs-CZ"/>
        </w:rPr>
      </w:pPr>
      <w:r w:rsidRPr="001C3EC8">
        <w:rPr>
          <w:color w:val="000000" w:themeColor="text1"/>
          <w:highlight w:val="yellow"/>
        </w:rPr>
        <w:fldChar w:fldCharType="begin"/>
      </w:r>
      <w:r w:rsidRPr="001C3EC8">
        <w:rPr>
          <w:color w:val="000000" w:themeColor="text1"/>
          <w:highlight w:val="yellow"/>
        </w:rPr>
        <w:instrText xml:space="preserve"> TOC \h \z \c "Graf" </w:instrText>
      </w:r>
      <w:r w:rsidRPr="001C3EC8">
        <w:rPr>
          <w:color w:val="000000" w:themeColor="text1"/>
          <w:highlight w:val="yellow"/>
        </w:rPr>
        <w:fldChar w:fldCharType="separate"/>
      </w:r>
      <w:hyperlink w:anchor="_Toc75952181" w:history="1">
        <w:r w:rsidR="00021FDD" w:rsidRPr="00952E2B">
          <w:rPr>
            <w:rStyle w:val="Hypertextovodkaz"/>
            <w:noProof/>
          </w:rPr>
          <w:t>Graf 1: OS – počet soudců v letech 2008–2020</w:t>
        </w:r>
        <w:r w:rsidR="00021FDD">
          <w:rPr>
            <w:noProof/>
            <w:webHidden/>
          </w:rPr>
          <w:tab/>
        </w:r>
        <w:r w:rsidR="00021FDD">
          <w:rPr>
            <w:noProof/>
            <w:webHidden/>
          </w:rPr>
          <w:fldChar w:fldCharType="begin"/>
        </w:r>
        <w:r w:rsidR="00021FDD">
          <w:rPr>
            <w:noProof/>
            <w:webHidden/>
          </w:rPr>
          <w:instrText xml:space="preserve"> PAGEREF _Toc75952181 \h </w:instrText>
        </w:r>
        <w:r w:rsidR="00021FDD">
          <w:rPr>
            <w:noProof/>
            <w:webHidden/>
          </w:rPr>
        </w:r>
        <w:r w:rsidR="00021FDD">
          <w:rPr>
            <w:noProof/>
            <w:webHidden/>
          </w:rPr>
          <w:fldChar w:fldCharType="separate"/>
        </w:r>
        <w:r w:rsidR="00021FDD">
          <w:rPr>
            <w:noProof/>
            <w:webHidden/>
          </w:rPr>
          <w:t>12</w:t>
        </w:r>
        <w:r w:rsidR="00021FDD">
          <w:rPr>
            <w:noProof/>
            <w:webHidden/>
          </w:rPr>
          <w:fldChar w:fldCharType="end"/>
        </w:r>
      </w:hyperlink>
    </w:p>
    <w:p w14:paraId="3193FC54" w14:textId="7E04F81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2" w:history="1">
        <w:r w:rsidR="00021FDD" w:rsidRPr="00952E2B">
          <w:rPr>
            <w:rStyle w:val="Hypertextovodkaz"/>
            <w:noProof/>
          </w:rPr>
          <w:t>Graf 2: OS – evidenční počet soudců dle soudních úseků v letech 2008–2020</w:t>
        </w:r>
        <w:r w:rsidR="00021FDD">
          <w:rPr>
            <w:noProof/>
            <w:webHidden/>
          </w:rPr>
          <w:tab/>
        </w:r>
        <w:r w:rsidR="00021FDD">
          <w:rPr>
            <w:noProof/>
            <w:webHidden/>
          </w:rPr>
          <w:fldChar w:fldCharType="begin"/>
        </w:r>
        <w:r w:rsidR="00021FDD">
          <w:rPr>
            <w:noProof/>
            <w:webHidden/>
          </w:rPr>
          <w:instrText xml:space="preserve"> PAGEREF _Toc75952182 \h </w:instrText>
        </w:r>
        <w:r w:rsidR="00021FDD">
          <w:rPr>
            <w:noProof/>
            <w:webHidden/>
          </w:rPr>
        </w:r>
        <w:r w:rsidR="00021FDD">
          <w:rPr>
            <w:noProof/>
            <w:webHidden/>
          </w:rPr>
          <w:fldChar w:fldCharType="separate"/>
        </w:r>
        <w:r w:rsidR="00021FDD">
          <w:rPr>
            <w:noProof/>
            <w:webHidden/>
          </w:rPr>
          <w:t>14</w:t>
        </w:r>
        <w:r w:rsidR="00021FDD">
          <w:rPr>
            <w:noProof/>
            <w:webHidden/>
          </w:rPr>
          <w:fldChar w:fldCharType="end"/>
        </w:r>
      </w:hyperlink>
    </w:p>
    <w:p w14:paraId="1543FAED" w14:textId="5686116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3" w:history="1">
        <w:r w:rsidR="00021FDD" w:rsidRPr="00952E2B">
          <w:rPr>
            <w:rStyle w:val="Hypertextovodkaz"/>
            <w:noProof/>
          </w:rPr>
          <w:t>Graf 3: OS – evidenční počet soudců u jednotlivých soudů</w:t>
        </w:r>
        <w:r w:rsidR="00021FDD">
          <w:rPr>
            <w:noProof/>
            <w:webHidden/>
          </w:rPr>
          <w:tab/>
        </w:r>
        <w:r w:rsidR="00021FDD">
          <w:rPr>
            <w:noProof/>
            <w:webHidden/>
          </w:rPr>
          <w:fldChar w:fldCharType="begin"/>
        </w:r>
        <w:r w:rsidR="00021FDD">
          <w:rPr>
            <w:noProof/>
            <w:webHidden/>
          </w:rPr>
          <w:instrText xml:space="preserve"> PAGEREF _Toc75952183 \h </w:instrText>
        </w:r>
        <w:r w:rsidR="00021FDD">
          <w:rPr>
            <w:noProof/>
            <w:webHidden/>
          </w:rPr>
        </w:r>
        <w:r w:rsidR="00021FDD">
          <w:rPr>
            <w:noProof/>
            <w:webHidden/>
          </w:rPr>
          <w:fldChar w:fldCharType="separate"/>
        </w:r>
        <w:r w:rsidR="00021FDD">
          <w:rPr>
            <w:noProof/>
            <w:webHidden/>
          </w:rPr>
          <w:t>15</w:t>
        </w:r>
        <w:r w:rsidR="00021FDD">
          <w:rPr>
            <w:noProof/>
            <w:webHidden/>
          </w:rPr>
          <w:fldChar w:fldCharType="end"/>
        </w:r>
      </w:hyperlink>
    </w:p>
    <w:p w14:paraId="6BFE0736" w14:textId="589E7EB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4" w:history="1">
        <w:r w:rsidR="00021FDD" w:rsidRPr="00952E2B">
          <w:rPr>
            <w:rStyle w:val="Hypertextovodkaz"/>
            <w:noProof/>
          </w:rPr>
          <w:t>Graf 4: OS – evidenční počet soudců dle pohlaví v letech 2008–2020</w:t>
        </w:r>
        <w:r w:rsidR="00021FDD">
          <w:rPr>
            <w:noProof/>
            <w:webHidden/>
          </w:rPr>
          <w:tab/>
        </w:r>
        <w:r w:rsidR="00021FDD">
          <w:rPr>
            <w:noProof/>
            <w:webHidden/>
          </w:rPr>
          <w:fldChar w:fldCharType="begin"/>
        </w:r>
        <w:r w:rsidR="00021FDD">
          <w:rPr>
            <w:noProof/>
            <w:webHidden/>
          </w:rPr>
          <w:instrText xml:space="preserve"> PAGEREF _Toc75952184 \h </w:instrText>
        </w:r>
        <w:r w:rsidR="00021FDD">
          <w:rPr>
            <w:noProof/>
            <w:webHidden/>
          </w:rPr>
        </w:r>
        <w:r w:rsidR="00021FDD">
          <w:rPr>
            <w:noProof/>
            <w:webHidden/>
          </w:rPr>
          <w:fldChar w:fldCharType="separate"/>
        </w:r>
        <w:r w:rsidR="00021FDD">
          <w:rPr>
            <w:noProof/>
            <w:webHidden/>
          </w:rPr>
          <w:t>15</w:t>
        </w:r>
        <w:r w:rsidR="00021FDD">
          <w:rPr>
            <w:noProof/>
            <w:webHidden/>
          </w:rPr>
          <w:fldChar w:fldCharType="end"/>
        </w:r>
      </w:hyperlink>
    </w:p>
    <w:p w14:paraId="0B679227" w14:textId="615E673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5" w:history="1">
        <w:r w:rsidR="00021FDD" w:rsidRPr="00952E2B">
          <w:rPr>
            <w:rStyle w:val="Hypertextovodkaz"/>
            <w:noProof/>
          </w:rPr>
          <w:t>Graf 5: OS – věková struktura soudců v letech 2008–2020</w:t>
        </w:r>
        <w:r w:rsidR="00021FDD">
          <w:rPr>
            <w:noProof/>
            <w:webHidden/>
          </w:rPr>
          <w:tab/>
        </w:r>
        <w:r w:rsidR="00021FDD">
          <w:rPr>
            <w:noProof/>
            <w:webHidden/>
          </w:rPr>
          <w:fldChar w:fldCharType="begin"/>
        </w:r>
        <w:r w:rsidR="00021FDD">
          <w:rPr>
            <w:noProof/>
            <w:webHidden/>
          </w:rPr>
          <w:instrText xml:space="preserve"> PAGEREF _Toc75952185 \h </w:instrText>
        </w:r>
        <w:r w:rsidR="00021FDD">
          <w:rPr>
            <w:noProof/>
            <w:webHidden/>
          </w:rPr>
        </w:r>
        <w:r w:rsidR="00021FDD">
          <w:rPr>
            <w:noProof/>
            <w:webHidden/>
          </w:rPr>
          <w:fldChar w:fldCharType="separate"/>
        </w:r>
        <w:r w:rsidR="00021FDD">
          <w:rPr>
            <w:noProof/>
            <w:webHidden/>
          </w:rPr>
          <w:t>17</w:t>
        </w:r>
        <w:r w:rsidR="00021FDD">
          <w:rPr>
            <w:noProof/>
            <w:webHidden/>
          </w:rPr>
          <w:fldChar w:fldCharType="end"/>
        </w:r>
      </w:hyperlink>
    </w:p>
    <w:p w14:paraId="1F5E90DA" w14:textId="17FFE83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6" w:history="1">
        <w:r w:rsidR="00021FDD" w:rsidRPr="00952E2B">
          <w:rPr>
            <w:rStyle w:val="Hypertextovodkaz"/>
            <w:noProof/>
          </w:rPr>
          <w:t>Graf 6: OS – délka civilního řízení v letech 2008–2020</w:t>
        </w:r>
        <w:r w:rsidR="00021FDD">
          <w:rPr>
            <w:noProof/>
            <w:webHidden/>
          </w:rPr>
          <w:tab/>
        </w:r>
        <w:r w:rsidR="00021FDD">
          <w:rPr>
            <w:noProof/>
            <w:webHidden/>
          </w:rPr>
          <w:fldChar w:fldCharType="begin"/>
        </w:r>
        <w:r w:rsidR="00021FDD">
          <w:rPr>
            <w:noProof/>
            <w:webHidden/>
          </w:rPr>
          <w:instrText xml:space="preserve"> PAGEREF _Toc75952186 \h </w:instrText>
        </w:r>
        <w:r w:rsidR="00021FDD">
          <w:rPr>
            <w:noProof/>
            <w:webHidden/>
          </w:rPr>
        </w:r>
        <w:r w:rsidR="00021FDD">
          <w:rPr>
            <w:noProof/>
            <w:webHidden/>
          </w:rPr>
          <w:fldChar w:fldCharType="separate"/>
        </w:r>
        <w:r w:rsidR="00021FDD">
          <w:rPr>
            <w:noProof/>
            <w:webHidden/>
          </w:rPr>
          <w:t>24</w:t>
        </w:r>
        <w:r w:rsidR="00021FDD">
          <w:rPr>
            <w:noProof/>
            <w:webHidden/>
          </w:rPr>
          <w:fldChar w:fldCharType="end"/>
        </w:r>
      </w:hyperlink>
    </w:p>
    <w:p w14:paraId="09E7B4E5" w14:textId="2E3E39A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7" w:history="1">
        <w:r w:rsidR="00021FDD" w:rsidRPr="00952E2B">
          <w:rPr>
            <w:rStyle w:val="Hypertextovodkaz"/>
            <w:noProof/>
          </w:rPr>
          <w:t>Graf 7: OS – mediánové délky civilního řízení u jednotlivých soudů</w:t>
        </w:r>
        <w:r w:rsidR="00021FDD">
          <w:rPr>
            <w:noProof/>
            <w:webHidden/>
          </w:rPr>
          <w:tab/>
        </w:r>
        <w:r w:rsidR="00021FDD">
          <w:rPr>
            <w:noProof/>
            <w:webHidden/>
          </w:rPr>
          <w:fldChar w:fldCharType="begin"/>
        </w:r>
        <w:r w:rsidR="00021FDD">
          <w:rPr>
            <w:noProof/>
            <w:webHidden/>
          </w:rPr>
          <w:instrText xml:space="preserve"> PAGEREF _Toc75952187 \h </w:instrText>
        </w:r>
        <w:r w:rsidR="00021FDD">
          <w:rPr>
            <w:noProof/>
            <w:webHidden/>
          </w:rPr>
        </w:r>
        <w:r w:rsidR="00021FDD">
          <w:rPr>
            <w:noProof/>
            <w:webHidden/>
          </w:rPr>
          <w:fldChar w:fldCharType="separate"/>
        </w:r>
        <w:r w:rsidR="00021FDD">
          <w:rPr>
            <w:noProof/>
            <w:webHidden/>
          </w:rPr>
          <w:t>25</w:t>
        </w:r>
        <w:r w:rsidR="00021FDD">
          <w:rPr>
            <w:noProof/>
            <w:webHidden/>
          </w:rPr>
          <w:fldChar w:fldCharType="end"/>
        </w:r>
      </w:hyperlink>
    </w:p>
    <w:p w14:paraId="1913636D" w14:textId="7855B45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8" w:history="1">
        <w:r w:rsidR="00021FDD" w:rsidRPr="00952E2B">
          <w:rPr>
            <w:rStyle w:val="Hypertextovodkaz"/>
            <w:noProof/>
          </w:rPr>
          <w:t>Graf 8: OS – krabicové grafy, mediánové délky civilního řízení</w:t>
        </w:r>
        <w:r w:rsidR="00021FDD">
          <w:rPr>
            <w:noProof/>
            <w:webHidden/>
          </w:rPr>
          <w:tab/>
        </w:r>
        <w:r w:rsidR="00021FDD">
          <w:rPr>
            <w:noProof/>
            <w:webHidden/>
          </w:rPr>
          <w:fldChar w:fldCharType="begin"/>
        </w:r>
        <w:r w:rsidR="00021FDD">
          <w:rPr>
            <w:noProof/>
            <w:webHidden/>
          </w:rPr>
          <w:instrText xml:space="preserve"> PAGEREF _Toc75952188 \h </w:instrText>
        </w:r>
        <w:r w:rsidR="00021FDD">
          <w:rPr>
            <w:noProof/>
            <w:webHidden/>
          </w:rPr>
        </w:r>
        <w:r w:rsidR="00021FDD">
          <w:rPr>
            <w:noProof/>
            <w:webHidden/>
          </w:rPr>
          <w:fldChar w:fldCharType="separate"/>
        </w:r>
        <w:r w:rsidR="00021FDD">
          <w:rPr>
            <w:noProof/>
            <w:webHidden/>
          </w:rPr>
          <w:t>26</w:t>
        </w:r>
        <w:r w:rsidR="00021FDD">
          <w:rPr>
            <w:noProof/>
            <w:webHidden/>
          </w:rPr>
          <w:fldChar w:fldCharType="end"/>
        </w:r>
      </w:hyperlink>
    </w:p>
    <w:p w14:paraId="17DA02D9" w14:textId="41B5D30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89" w:history="1">
        <w:r w:rsidR="00021FDD" w:rsidRPr="00952E2B">
          <w:rPr>
            <w:rStyle w:val="Hypertextovodkaz"/>
            <w:noProof/>
          </w:rPr>
          <w:t>Graf 9: OS – distribuce délek civilního řízení</w:t>
        </w:r>
        <w:r w:rsidR="00021FDD">
          <w:rPr>
            <w:noProof/>
            <w:webHidden/>
          </w:rPr>
          <w:tab/>
        </w:r>
        <w:r w:rsidR="00021FDD">
          <w:rPr>
            <w:noProof/>
            <w:webHidden/>
          </w:rPr>
          <w:fldChar w:fldCharType="begin"/>
        </w:r>
        <w:r w:rsidR="00021FDD">
          <w:rPr>
            <w:noProof/>
            <w:webHidden/>
          </w:rPr>
          <w:instrText xml:space="preserve"> PAGEREF _Toc75952189 \h </w:instrText>
        </w:r>
        <w:r w:rsidR="00021FDD">
          <w:rPr>
            <w:noProof/>
            <w:webHidden/>
          </w:rPr>
        </w:r>
        <w:r w:rsidR="00021FDD">
          <w:rPr>
            <w:noProof/>
            <w:webHidden/>
          </w:rPr>
          <w:fldChar w:fldCharType="separate"/>
        </w:r>
        <w:r w:rsidR="00021FDD">
          <w:rPr>
            <w:noProof/>
            <w:webHidden/>
          </w:rPr>
          <w:t>27</w:t>
        </w:r>
        <w:r w:rsidR="00021FDD">
          <w:rPr>
            <w:noProof/>
            <w:webHidden/>
          </w:rPr>
          <w:fldChar w:fldCharType="end"/>
        </w:r>
      </w:hyperlink>
    </w:p>
    <w:p w14:paraId="21AC05CB" w14:textId="02FB098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0" w:history="1">
        <w:r w:rsidR="00021FDD" w:rsidRPr="00952E2B">
          <w:rPr>
            <w:rStyle w:val="Hypertextovodkaz"/>
            <w:noProof/>
          </w:rPr>
          <w:t>Graf 10: OS – vyřizování civilních věcí v letech 2008–2020</w:t>
        </w:r>
        <w:r w:rsidR="00021FDD">
          <w:rPr>
            <w:noProof/>
            <w:webHidden/>
          </w:rPr>
          <w:tab/>
        </w:r>
        <w:r w:rsidR="00021FDD">
          <w:rPr>
            <w:noProof/>
            <w:webHidden/>
          </w:rPr>
          <w:fldChar w:fldCharType="begin"/>
        </w:r>
        <w:r w:rsidR="00021FDD">
          <w:rPr>
            <w:noProof/>
            <w:webHidden/>
          </w:rPr>
          <w:instrText xml:space="preserve"> PAGEREF _Toc75952190 \h </w:instrText>
        </w:r>
        <w:r w:rsidR="00021FDD">
          <w:rPr>
            <w:noProof/>
            <w:webHidden/>
          </w:rPr>
        </w:r>
        <w:r w:rsidR="00021FDD">
          <w:rPr>
            <w:noProof/>
            <w:webHidden/>
          </w:rPr>
          <w:fldChar w:fldCharType="separate"/>
        </w:r>
        <w:r w:rsidR="00021FDD">
          <w:rPr>
            <w:noProof/>
            <w:webHidden/>
          </w:rPr>
          <w:t>28</w:t>
        </w:r>
        <w:r w:rsidR="00021FDD">
          <w:rPr>
            <w:noProof/>
            <w:webHidden/>
          </w:rPr>
          <w:fldChar w:fldCharType="end"/>
        </w:r>
      </w:hyperlink>
    </w:p>
    <w:p w14:paraId="5F66F0BF" w14:textId="65BCB23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1" w:history="1">
        <w:r w:rsidR="00021FDD" w:rsidRPr="00952E2B">
          <w:rPr>
            <w:rStyle w:val="Hypertextovodkaz"/>
            <w:noProof/>
          </w:rPr>
          <w:t>Graf 11: OS – měsíční nápad civilních věcí</w:t>
        </w:r>
        <w:r w:rsidR="00021FDD">
          <w:rPr>
            <w:noProof/>
            <w:webHidden/>
          </w:rPr>
          <w:tab/>
        </w:r>
        <w:r w:rsidR="00021FDD">
          <w:rPr>
            <w:noProof/>
            <w:webHidden/>
          </w:rPr>
          <w:fldChar w:fldCharType="begin"/>
        </w:r>
        <w:r w:rsidR="00021FDD">
          <w:rPr>
            <w:noProof/>
            <w:webHidden/>
          </w:rPr>
          <w:instrText xml:space="preserve"> PAGEREF _Toc75952191 \h </w:instrText>
        </w:r>
        <w:r w:rsidR="00021FDD">
          <w:rPr>
            <w:noProof/>
            <w:webHidden/>
          </w:rPr>
        </w:r>
        <w:r w:rsidR="00021FDD">
          <w:rPr>
            <w:noProof/>
            <w:webHidden/>
          </w:rPr>
          <w:fldChar w:fldCharType="separate"/>
        </w:r>
        <w:r w:rsidR="00021FDD">
          <w:rPr>
            <w:noProof/>
            <w:webHidden/>
          </w:rPr>
          <w:t>29</w:t>
        </w:r>
        <w:r w:rsidR="00021FDD">
          <w:rPr>
            <w:noProof/>
            <w:webHidden/>
          </w:rPr>
          <w:fldChar w:fldCharType="end"/>
        </w:r>
      </w:hyperlink>
    </w:p>
    <w:p w14:paraId="0B2EAB7A" w14:textId="3BC1FFC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2" w:history="1">
        <w:r w:rsidR="00021FDD" w:rsidRPr="00952E2B">
          <w:rPr>
            <w:rStyle w:val="Hypertextovodkaz"/>
            <w:noProof/>
          </w:rPr>
          <w:t>Graf 12: OS – počet nevyříz. civilních věcí na úvazek u jednotlivých soudů</w:t>
        </w:r>
        <w:r w:rsidR="00021FDD">
          <w:rPr>
            <w:noProof/>
            <w:webHidden/>
          </w:rPr>
          <w:tab/>
        </w:r>
        <w:r w:rsidR="00021FDD">
          <w:rPr>
            <w:noProof/>
            <w:webHidden/>
          </w:rPr>
          <w:fldChar w:fldCharType="begin"/>
        </w:r>
        <w:r w:rsidR="00021FDD">
          <w:rPr>
            <w:noProof/>
            <w:webHidden/>
          </w:rPr>
          <w:instrText xml:space="preserve"> PAGEREF _Toc75952192 \h </w:instrText>
        </w:r>
        <w:r w:rsidR="00021FDD">
          <w:rPr>
            <w:noProof/>
            <w:webHidden/>
          </w:rPr>
        </w:r>
        <w:r w:rsidR="00021FDD">
          <w:rPr>
            <w:noProof/>
            <w:webHidden/>
          </w:rPr>
          <w:fldChar w:fldCharType="separate"/>
        </w:r>
        <w:r w:rsidR="00021FDD">
          <w:rPr>
            <w:noProof/>
            <w:webHidden/>
          </w:rPr>
          <w:t>31</w:t>
        </w:r>
        <w:r w:rsidR="00021FDD">
          <w:rPr>
            <w:noProof/>
            <w:webHidden/>
          </w:rPr>
          <w:fldChar w:fldCharType="end"/>
        </w:r>
      </w:hyperlink>
    </w:p>
    <w:p w14:paraId="187523DD" w14:textId="38B199AA"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3" w:history="1">
        <w:r w:rsidR="00021FDD" w:rsidRPr="00952E2B">
          <w:rPr>
            <w:rStyle w:val="Hypertextovodkaz"/>
            <w:noProof/>
          </w:rPr>
          <w:t>Graf 13: OS – disposition time civilního řízení v letech 2008–2020</w:t>
        </w:r>
        <w:r w:rsidR="00021FDD">
          <w:rPr>
            <w:noProof/>
            <w:webHidden/>
          </w:rPr>
          <w:tab/>
        </w:r>
        <w:r w:rsidR="00021FDD">
          <w:rPr>
            <w:noProof/>
            <w:webHidden/>
          </w:rPr>
          <w:fldChar w:fldCharType="begin"/>
        </w:r>
        <w:r w:rsidR="00021FDD">
          <w:rPr>
            <w:noProof/>
            <w:webHidden/>
          </w:rPr>
          <w:instrText xml:space="preserve"> PAGEREF _Toc75952193 \h </w:instrText>
        </w:r>
        <w:r w:rsidR="00021FDD">
          <w:rPr>
            <w:noProof/>
            <w:webHidden/>
          </w:rPr>
        </w:r>
        <w:r w:rsidR="00021FDD">
          <w:rPr>
            <w:noProof/>
            <w:webHidden/>
          </w:rPr>
          <w:fldChar w:fldCharType="separate"/>
        </w:r>
        <w:r w:rsidR="00021FDD">
          <w:rPr>
            <w:noProof/>
            <w:webHidden/>
          </w:rPr>
          <w:t>33</w:t>
        </w:r>
        <w:r w:rsidR="00021FDD">
          <w:rPr>
            <w:noProof/>
            <w:webHidden/>
          </w:rPr>
          <w:fldChar w:fldCharType="end"/>
        </w:r>
      </w:hyperlink>
    </w:p>
    <w:p w14:paraId="60EDA622" w14:textId="635D5C7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4" w:history="1">
        <w:r w:rsidR="00021FDD" w:rsidRPr="00952E2B">
          <w:rPr>
            <w:rStyle w:val="Hypertextovodkaz"/>
            <w:noProof/>
          </w:rPr>
          <w:t>Graf 14: OS – disposition time civilního řízení u jednotlivých soudů</w:t>
        </w:r>
        <w:r w:rsidR="00021FDD">
          <w:rPr>
            <w:noProof/>
            <w:webHidden/>
          </w:rPr>
          <w:tab/>
        </w:r>
        <w:r w:rsidR="00021FDD">
          <w:rPr>
            <w:noProof/>
            <w:webHidden/>
          </w:rPr>
          <w:fldChar w:fldCharType="begin"/>
        </w:r>
        <w:r w:rsidR="00021FDD">
          <w:rPr>
            <w:noProof/>
            <w:webHidden/>
          </w:rPr>
          <w:instrText xml:space="preserve"> PAGEREF _Toc75952194 \h </w:instrText>
        </w:r>
        <w:r w:rsidR="00021FDD">
          <w:rPr>
            <w:noProof/>
            <w:webHidden/>
          </w:rPr>
        </w:r>
        <w:r w:rsidR="00021FDD">
          <w:rPr>
            <w:noProof/>
            <w:webHidden/>
          </w:rPr>
          <w:fldChar w:fldCharType="separate"/>
        </w:r>
        <w:r w:rsidR="00021FDD">
          <w:rPr>
            <w:noProof/>
            <w:webHidden/>
          </w:rPr>
          <w:t>34</w:t>
        </w:r>
        <w:r w:rsidR="00021FDD">
          <w:rPr>
            <w:noProof/>
            <w:webHidden/>
          </w:rPr>
          <w:fldChar w:fldCharType="end"/>
        </w:r>
      </w:hyperlink>
    </w:p>
    <w:p w14:paraId="180B3FD2" w14:textId="07767B6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5" w:history="1">
        <w:r w:rsidR="00021FDD" w:rsidRPr="00952E2B">
          <w:rPr>
            <w:rStyle w:val="Hypertextovodkaz"/>
            <w:noProof/>
          </w:rPr>
          <w:t>Graf 15: OS – krabicové grafy, DT civilního řízení</w:t>
        </w:r>
        <w:r w:rsidR="00021FDD">
          <w:rPr>
            <w:noProof/>
            <w:webHidden/>
          </w:rPr>
          <w:tab/>
        </w:r>
        <w:r w:rsidR="00021FDD">
          <w:rPr>
            <w:noProof/>
            <w:webHidden/>
          </w:rPr>
          <w:fldChar w:fldCharType="begin"/>
        </w:r>
        <w:r w:rsidR="00021FDD">
          <w:rPr>
            <w:noProof/>
            <w:webHidden/>
          </w:rPr>
          <w:instrText xml:space="preserve"> PAGEREF _Toc75952195 \h </w:instrText>
        </w:r>
        <w:r w:rsidR="00021FDD">
          <w:rPr>
            <w:noProof/>
            <w:webHidden/>
          </w:rPr>
        </w:r>
        <w:r w:rsidR="00021FDD">
          <w:rPr>
            <w:noProof/>
            <w:webHidden/>
          </w:rPr>
          <w:fldChar w:fldCharType="separate"/>
        </w:r>
        <w:r w:rsidR="00021FDD">
          <w:rPr>
            <w:noProof/>
            <w:webHidden/>
          </w:rPr>
          <w:t>35</w:t>
        </w:r>
        <w:r w:rsidR="00021FDD">
          <w:rPr>
            <w:noProof/>
            <w:webHidden/>
          </w:rPr>
          <w:fldChar w:fldCharType="end"/>
        </w:r>
      </w:hyperlink>
    </w:p>
    <w:p w14:paraId="029C0A20" w14:textId="2C03E6C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6" w:history="1">
        <w:r w:rsidR="00021FDD" w:rsidRPr="00952E2B">
          <w:rPr>
            <w:rStyle w:val="Hypertextovodkaz"/>
            <w:noProof/>
          </w:rPr>
          <w:t>Graf 16: OS – míra odvolání u jednotlivých soudů v civilním řízení</w:t>
        </w:r>
        <w:r w:rsidR="00021FDD">
          <w:rPr>
            <w:noProof/>
            <w:webHidden/>
          </w:rPr>
          <w:tab/>
        </w:r>
        <w:r w:rsidR="00021FDD">
          <w:rPr>
            <w:noProof/>
            <w:webHidden/>
          </w:rPr>
          <w:fldChar w:fldCharType="begin"/>
        </w:r>
        <w:r w:rsidR="00021FDD">
          <w:rPr>
            <w:noProof/>
            <w:webHidden/>
          </w:rPr>
          <w:instrText xml:space="preserve"> PAGEREF _Toc75952196 \h </w:instrText>
        </w:r>
        <w:r w:rsidR="00021FDD">
          <w:rPr>
            <w:noProof/>
            <w:webHidden/>
          </w:rPr>
        </w:r>
        <w:r w:rsidR="00021FDD">
          <w:rPr>
            <w:noProof/>
            <w:webHidden/>
          </w:rPr>
          <w:fldChar w:fldCharType="separate"/>
        </w:r>
        <w:r w:rsidR="00021FDD">
          <w:rPr>
            <w:noProof/>
            <w:webHidden/>
          </w:rPr>
          <w:t>36</w:t>
        </w:r>
        <w:r w:rsidR="00021FDD">
          <w:rPr>
            <w:noProof/>
            <w:webHidden/>
          </w:rPr>
          <w:fldChar w:fldCharType="end"/>
        </w:r>
      </w:hyperlink>
    </w:p>
    <w:p w14:paraId="373D0EE5" w14:textId="58DCA14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7" w:history="1">
        <w:r w:rsidR="00021FDD" w:rsidRPr="00952E2B">
          <w:rPr>
            <w:rStyle w:val="Hypertextovodkaz"/>
            <w:noProof/>
          </w:rPr>
          <w:t>Graf 17: OS – míra změny rozsudku u jednotlivých soudů v civilním řízení</w:t>
        </w:r>
        <w:r w:rsidR="00021FDD">
          <w:rPr>
            <w:noProof/>
            <w:webHidden/>
          </w:rPr>
          <w:tab/>
        </w:r>
        <w:r w:rsidR="00021FDD">
          <w:rPr>
            <w:noProof/>
            <w:webHidden/>
          </w:rPr>
          <w:fldChar w:fldCharType="begin"/>
        </w:r>
        <w:r w:rsidR="00021FDD">
          <w:rPr>
            <w:noProof/>
            <w:webHidden/>
          </w:rPr>
          <w:instrText xml:space="preserve"> PAGEREF _Toc75952197 \h </w:instrText>
        </w:r>
        <w:r w:rsidR="00021FDD">
          <w:rPr>
            <w:noProof/>
            <w:webHidden/>
          </w:rPr>
        </w:r>
        <w:r w:rsidR="00021FDD">
          <w:rPr>
            <w:noProof/>
            <w:webHidden/>
          </w:rPr>
          <w:fldChar w:fldCharType="separate"/>
        </w:r>
        <w:r w:rsidR="00021FDD">
          <w:rPr>
            <w:noProof/>
            <w:webHidden/>
          </w:rPr>
          <w:t>37</w:t>
        </w:r>
        <w:r w:rsidR="00021FDD">
          <w:rPr>
            <w:noProof/>
            <w:webHidden/>
          </w:rPr>
          <w:fldChar w:fldCharType="end"/>
        </w:r>
      </w:hyperlink>
    </w:p>
    <w:p w14:paraId="3C71338C" w14:textId="55F17E1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8" w:history="1">
        <w:r w:rsidR="00021FDD" w:rsidRPr="00952E2B">
          <w:rPr>
            <w:rStyle w:val="Hypertextovodkaz"/>
            <w:noProof/>
          </w:rPr>
          <w:t>Graf 18: OS – délka civilního el. rozkazního řízení v letech 2013–2020</w:t>
        </w:r>
        <w:r w:rsidR="00021FDD">
          <w:rPr>
            <w:noProof/>
            <w:webHidden/>
          </w:rPr>
          <w:tab/>
        </w:r>
        <w:r w:rsidR="00021FDD">
          <w:rPr>
            <w:noProof/>
            <w:webHidden/>
          </w:rPr>
          <w:fldChar w:fldCharType="begin"/>
        </w:r>
        <w:r w:rsidR="00021FDD">
          <w:rPr>
            <w:noProof/>
            <w:webHidden/>
          </w:rPr>
          <w:instrText xml:space="preserve"> PAGEREF _Toc75952198 \h </w:instrText>
        </w:r>
        <w:r w:rsidR="00021FDD">
          <w:rPr>
            <w:noProof/>
            <w:webHidden/>
          </w:rPr>
        </w:r>
        <w:r w:rsidR="00021FDD">
          <w:rPr>
            <w:noProof/>
            <w:webHidden/>
          </w:rPr>
          <w:fldChar w:fldCharType="separate"/>
        </w:r>
        <w:r w:rsidR="00021FDD">
          <w:rPr>
            <w:noProof/>
            <w:webHidden/>
          </w:rPr>
          <w:t>39</w:t>
        </w:r>
        <w:r w:rsidR="00021FDD">
          <w:rPr>
            <w:noProof/>
            <w:webHidden/>
          </w:rPr>
          <w:fldChar w:fldCharType="end"/>
        </w:r>
      </w:hyperlink>
    </w:p>
    <w:p w14:paraId="5DD34FDC" w14:textId="6542C0C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199" w:history="1">
        <w:r w:rsidR="00021FDD" w:rsidRPr="00952E2B">
          <w:rPr>
            <w:rStyle w:val="Hypertextovodkaz"/>
            <w:noProof/>
          </w:rPr>
          <w:t>Graf 19: OS – vyřizování věcí v rejstříku EPR v letech 2013–2020</w:t>
        </w:r>
        <w:r w:rsidR="00021FDD">
          <w:rPr>
            <w:noProof/>
            <w:webHidden/>
          </w:rPr>
          <w:tab/>
        </w:r>
        <w:r w:rsidR="00021FDD">
          <w:rPr>
            <w:noProof/>
            <w:webHidden/>
          </w:rPr>
          <w:fldChar w:fldCharType="begin"/>
        </w:r>
        <w:r w:rsidR="00021FDD">
          <w:rPr>
            <w:noProof/>
            <w:webHidden/>
          </w:rPr>
          <w:instrText xml:space="preserve"> PAGEREF _Toc75952199 \h </w:instrText>
        </w:r>
        <w:r w:rsidR="00021FDD">
          <w:rPr>
            <w:noProof/>
            <w:webHidden/>
          </w:rPr>
        </w:r>
        <w:r w:rsidR="00021FDD">
          <w:rPr>
            <w:noProof/>
            <w:webHidden/>
          </w:rPr>
          <w:fldChar w:fldCharType="separate"/>
        </w:r>
        <w:r w:rsidR="00021FDD">
          <w:rPr>
            <w:noProof/>
            <w:webHidden/>
          </w:rPr>
          <w:t>41</w:t>
        </w:r>
        <w:r w:rsidR="00021FDD">
          <w:rPr>
            <w:noProof/>
            <w:webHidden/>
          </w:rPr>
          <w:fldChar w:fldCharType="end"/>
        </w:r>
      </w:hyperlink>
    </w:p>
    <w:p w14:paraId="0EAB8823" w14:textId="757786F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0" w:history="1">
        <w:r w:rsidR="00021FDD" w:rsidRPr="00952E2B">
          <w:rPr>
            <w:rStyle w:val="Hypertextovodkaz"/>
            <w:noProof/>
          </w:rPr>
          <w:t>Graf 20: OS – měsíční nápad věcí v rejstříku EPR</w:t>
        </w:r>
        <w:r w:rsidR="00021FDD">
          <w:rPr>
            <w:noProof/>
            <w:webHidden/>
          </w:rPr>
          <w:tab/>
        </w:r>
        <w:r w:rsidR="00021FDD">
          <w:rPr>
            <w:noProof/>
            <w:webHidden/>
          </w:rPr>
          <w:fldChar w:fldCharType="begin"/>
        </w:r>
        <w:r w:rsidR="00021FDD">
          <w:rPr>
            <w:noProof/>
            <w:webHidden/>
          </w:rPr>
          <w:instrText xml:space="preserve"> PAGEREF _Toc75952200 \h </w:instrText>
        </w:r>
        <w:r w:rsidR="00021FDD">
          <w:rPr>
            <w:noProof/>
            <w:webHidden/>
          </w:rPr>
        </w:r>
        <w:r w:rsidR="00021FDD">
          <w:rPr>
            <w:noProof/>
            <w:webHidden/>
          </w:rPr>
          <w:fldChar w:fldCharType="separate"/>
        </w:r>
        <w:r w:rsidR="00021FDD">
          <w:rPr>
            <w:noProof/>
            <w:webHidden/>
          </w:rPr>
          <w:t>42</w:t>
        </w:r>
        <w:r w:rsidR="00021FDD">
          <w:rPr>
            <w:noProof/>
            <w:webHidden/>
          </w:rPr>
          <w:fldChar w:fldCharType="end"/>
        </w:r>
      </w:hyperlink>
    </w:p>
    <w:p w14:paraId="659258B1" w14:textId="773E98B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1" w:history="1">
        <w:r w:rsidR="00021FDD" w:rsidRPr="00952E2B">
          <w:rPr>
            <w:rStyle w:val="Hypertextovodkaz"/>
            <w:noProof/>
          </w:rPr>
          <w:t>Graf 21: OS – převedeno z rejstříku EPR v letech 2013–2020</w:t>
        </w:r>
        <w:r w:rsidR="00021FDD">
          <w:rPr>
            <w:noProof/>
            <w:webHidden/>
          </w:rPr>
          <w:tab/>
        </w:r>
        <w:r w:rsidR="00021FDD">
          <w:rPr>
            <w:noProof/>
            <w:webHidden/>
          </w:rPr>
          <w:fldChar w:fldCharType="begin"/>
        </w:r>
        <w:r w:rsidR="00021FDD">
          <w:rPr>
            <w:noProof/>
            <w:webHidden/>
          </w:rPr>
          <w:instrText xml:space="preserve"> PAGEREF _Toc75952201 \h </w:instrText>
        </w:r>
        <w:r w:rsidR="00021FDD">
          <w:rPr>
            <w:noProof/>
            <w:webHidden/>
          </w:rPr>
        </w:r>
        <w:r w:rsidR="00021FDD">
          <w:rPr>
            <w:noProof/>
            <w:webHidden/>
          </w:rPr>
          <w:fldChar w:fldCharType="separate"/>
        </w:r>
        <w:r w:rsidR="00021FDD">
          <w:rPr>
            <w:noProof/>
            <w:webHidden/>
          </w:rPr>
          <w:t>43</w:t>
        </w:r>
        <w:r w:rsidR="00021FDD">
          <w:rPr>
            <w:noProof/>
            <w:webHidden/>
          </w:rPr>
          <w:fldChar w:fldCharType="end"/>
        </w:r>
      </w:hyperlink>
    </w:p>
    <w:p w14:paraId="3A615E0F" w14:textId="615D8F4A"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2" w:history="1">
        <w:r w:rsidR="00021FDD" w:rsidRPr="00952E2B">
          <w:rPr>
            <w:rStyle w:val="Hypertextovodkaz"/>
            <w:noProof/>
          </w:rPr>
          <w:t>Graf 22: OS – délka trestního řízení v letech 2008–2020</w:t>
        </w:r>
        <w:r w:rsidR="00021FDD">
          <w:rPr>
            <w:noProof/>
            <w:webHidden/>
          </w:rPr>
          <w:tab/>
        </w:r>
        <w:r w:rsidR="00021FDD">
          <w:rPr>
            <w:noProof/>
            <w:webHidden/>
          </w:rPr>
          <w:fldChar w:fldCharType="begin"/>
        </w:r>
        <w:r w:rsidR="00021FDD">
          <w:rPr>
            <w:noProof/>
            <w:webHidden/>
          </w:rPr>
          <w:instrText xml:space="preserve"> PAGEREF _Toc75952202 \h </w:instrText>
        </w:r>
        <w:r w:rsidR="00021FDD">
          <w:rPr>
            <w:noProof/>
            <w:webHidden/>
          </w:rPr>
        </w:r>
        <w:r w:rsidR="00021FDD">
          <w:rPr>
            <w:noProof/>
            <w:webHidden/>
          </w:rPr>
          <w:fldChar w:fldCharType="separate"/>
        </w:r>
        <w:r w:rsidR="00021FDD">
          <w:rPr>
            <w:noProof/>
            <w:webHidden/>
          </w:rPr>
          <w:t>45</w:t>
        </w:r>
        <w:r w:rsidR="00021FDD">
          <w:rPr>
            <w:noProof/>
            <w:webHidden/>
          </w:rPr>
          <w:fldChar w:fldCharType="end"/>
        </w:r>
      </w:hyperlink>
    </w:p>
    <w:p w14:paraId="44624489" w14:textId="5843D19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3" w:history="1">
        <w:r w:rsidR="00021FDD" w:rsidRPr="00952E2B">
          <w:rPr>
            <w:rStyle w:val="Hypertextovodkaz"/>
            <w:noProof/>
          </w:rPr>
          <w:t>Graf 23: OS – mediánové délky trestního řízení u jednotlivých soudů</w:t>
        </w:r>
        <w:r w:rsidR="00021FDD">
          <w:rPr>
            <w:noProof/>
            <w:webHidden/>
          </w:rPr>
          <w:tab/>
        </w:r>
        <w:r w:rsidR="00021FDD">
          <w:rPr>
            <w:noProof/>
            <w:webHidden/>
          </w:rPr>
          <w:fldChar w:fldCharType="begin"/>
        </w:r>
        <w:r w:rsidR="00021FDD">
          <w:rPr>
            <w:noProof/>
            <w:webHidden/>
          </w:rPr>
          <w:instrText xml:space="preserve"> PAGEREF _Toc75952203 \h </w:instrText>
        </w:r>
        <w:r w:rsidR="00021FDD">
          <w:rPr>
            <w:noProof/>
            <w:webHidden/>
          </w:rPr>
        </w:r>
        <w:r w:rsidR="00021FDD">
          <w:rPr>
            <w:noProof/>
            <w:webHidden/>
          </w:rPr>
          <w:fldChar w:fldCharType="separate"/>
        </w:r>
        <w:r w:rsidR="00021FDD">
          <w:rPr>
            <w:noProof/>
            <w:webHidden/>
          </w:rPr>
          <w:t>46</w:t>
        </w:r>
        <w:r w:rsidR="00021FDD">
          <w:rPr>
            <w:noProof/>
            <w:webHidden/>
          </w:rPr>
          <w:fldChar w:fldCharType="end"/>
        </w:r>
      </w:hyperlink>
    </w:p>
    <w:p w14:paraId="08EC0281" w14:textId="55252B4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4" w:history="1">
        <w:r w:rsidR="00021FDD" w:rsidRPr="00952E2B">
          <w:rPr>
            <w:rStyle w:val="Hypertextovodkaz"/>
            <w:noProof/>
          </w:rPr>
          <w:t>Graf 24: OS – krabicové grafy, mediánové délky trestního řízení</w:t>
        </w:r>
        <w:r w:rsidR="00021FDD">
          <w:rPr>
            <w:noProof/>
            <w:webHidden/>
          </w:rPr>
          <w:tab/>
        </w:r>
        <w:r w:rsidR="00021FDD">
          <w:rPr>
            <w:noProof/>
            <w:webHidden/>
          </w:rPr>
          <w:fldChar w:fldCharType="begin"/>
        </w:r>
        <w:r w:rsidR="00021FDD">
          <w:rPr>
            <w:noProof/>
            <w:webHidden/>
          </w:rPr>
          <w:instrText xml:space="preserve"> PAGEREF _Toc75952204 \h </w:instrText>
        </w:r>
        <w:r w:rsidR="00021FDD">
          <w:rPr>
            <w:noProof/>
            <w:webHidden/>
          </w:rPr>
        </w:r>
        <w:r w:rsidR="00021FDD">
          <w:rPr>
            <w:noProof/>
            <w:webHidden/>
          </w:rPr>
          <w:fldChar w:fldCharType="separate"/>
        </w:r>
        <w:r w:rsidR="00021FDD">
          <w:rPr>
            <w:noProof/>
            <w:webHidden/>
          </w:rPr>
          <w:t>47</w:t>
        </w:r>
        <w:r w:rsidR="00021FDD">
          <w:rPr>
            <w:noProof/>
            <w:webHidden/>
          </w:rPr>
          <w:fldChar w:fldCharType="end"/>
        </w:r>
      </w:hyperlink>
    </w:p>
    <w:p w14:paraId="6128D452" w14:textId="0BD3F61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5" w:history="1">
        <w:r w:rsidR="00021FDD" w:rsidRPr="00952E2B">
          <w:rPr>
            <w:rStyle w:val="Hypertextovodkaz"/>
            <w:noProof/>
          </w:rPr>
          <w:t>Graf 25: OS – distribuce délek trestního řízení</w:t>
        </w:r>
        <w:r w:rsidR="00021FDD">
          <w:rPr>
            <w:noProof/>
            <w:webHidden/>
          </w:rPr>
          <w:tab/>
        </w:r>
        <w:r w:rsidR="00021FDD">
          <w:rPr>
            <w:noProof/>
            <w:webHidden/>
          </w:rPr>
          <w:fldChar w:fldCharType="begin"/>
        </w:r>
        <w:r w:rsidR="00021FDD">
          <w:rPr>
            <w:noProof/>
            <w:webHidden/>
          </w:rPr>
          <w:instrText xml:space="preserve"> PAGEREF _Toc75952205 \h </w:instrText>
        </w:r>
        <w:r w:rsidR="00021FDD">
          <w:rPr>
            <w:noProof/>
            <w:webHidden/>
          </w:rPr>
        </w:r>
        <w:r w:rsidR="00021FDD">
          <w:rPr>
            <w:noProof/>
            <w:webHidden/>
          </w:rPr>
          <w:fldChar w:fldCharType="separate"/>
        </w:r>
        <w:r w:rsidR="00021FDD">
          <w:rPr>
            <w:noProof/>
            <w:webHidden/>
          </w:rPr>
          <w:t>48</w:t>
        </w:r>
        <w:r w:rsidR="00021FDD">
          <w:rPr>
            <w:noProof/>
            <w:webHidden/>
          </w:rPr>
          <w:fldChar w:fldCharType="end"/>
        </w:r>
      </w:hyperlink>
    </w:p>
    <w:p w14:paraId="7666363C" w14:textId="4B0D579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6" w:history="1">
        <w:r w:rsidR="00021FDD" w:rsidRPr="00952E2B">
          <w:rPr>
            <w:rStyle w:val="Hypertextovodkaz"/>
            <w:noProof/>
          </w:rPr>
          <w:t>Graf 26: OS – vyřizování trestních věcí v letech 2008–2020</w:t>
        </w:r>
        <w:r w:rsidR="00021FDD">
          <w:rPr>
            <w:noProof/>
            <w:webHidden/>
          </w:rPr>
          <w:tab/>
        </w:r>
        <w:r w:rsidR="00021FDD">
          <w:rPr>
            <w:noProof/>
            <w:webHidden/>
          </w:rPr>
          <w:fldChar w:fldCharType="begin"/>
        </w:r>
        <w:r w:rsidR="00021FDD">
          <w:rPr>
            <w:noProof/>
            <w:webHidden/>
          </w:rPr>
          <w:instrText xml:space="preserve"> PAGEREF _Toc75952206 \h </w:instrText>
        </w:r>
        <w:r w:rsidR="00021FDD">
          <w:rPr>
            <w:noProof/>
            <w:webHidden/>
          </w:rPr>
        </w:r>
        <w:r w:rsidR="00021FDD">
          <w:rPr>
            <w:noProof/>
            <w:webHidden/>
          </w:rPr>
          <w:fldChar w:fldCharType="separate"/>
        </w:r>
        <w:r w:rsidR="00021FDD">
          <w:rPr>
            <w:noProof/>
            <w:webHidden/>
          </w:rPr>
          <w:t>49</w:t>
        </w:r>
        <w:r w:rsidR="00021FDD">
          <w:rPr>
            <w:noProof/>
            <w:webHidden/>
          </w:rPr>
          <w:fldChar w:fldCharType="end"/>
        </w:r>
      </w:hyperlink>
    </w:p>
    <w:p w14:paraId="4A3BA3F1" w14:textId="6F5B782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7" w:history="1">
        <w:r w:rsidR="00021FDD" w:rsidRPr="00952E2B">
          <w:rPr>
            <w:rStyle w:val="Hypertextovodkaz"/>
            <w:noProof/>
          </w:rPr>
          <w:t>Graf 27: OS – měsíční nápad trestních věcí</w:t>
        </w:r>
        <w:r w:rsidR="00021FDD">
          <w:rPr>
            <w:noProof/>
            <w:webHidden/>
          </w:rPr>
          <w:tab/>
        </w:r>
        <w:r w:rsidR="00021FDD">
          <w:rPr>
            <w:noProof/>
            <w:webHidden/>
          </w:rPr>
          <w:fldChar w:fldCharType="begin"/>
        </w:r>
        <w:r w:rsidR="00021FDD">
          <w:rPr>
            <w:noProof/>
            <w:webHidden/>
          </w:rPr>
          <w:instrText xml:space="preserve"> PAGEREF _Toc75952207 \h </w:instrText>
        </w:r>
        <w:r w:rsidR="00021FDD">
          <w:rPr>
            <w:noProof/>
            <w:webHidden/>
          </w:rPr>
        </w:r>
        <w:r w:rsidR="00021FDD">
          <w:rPr>
            <w:noProof/>
            <w:webHidden/>
          </w:rPr>
          <w:fldChar w:fldCharType="separate"/>
        </w:r>
        <w:r w:rsidR="00021FDD">
          <w:rPr>
            <w:noProof/>
            <w:webHidden/>
          </w:rPr>
          <w:t>51</w:t>
        </w:r>
        <w:r w:rsidR="00021FDD">
          <w:rPr>
            <w:noProof/>
            <w:webHidden/>
          </w:rPr>
          <w:fldChar w:fldCharType="end"/>
        </w:r>
      </w:hyperlink>
    </w:p>
    <w:p w14:paraId="6D0D3009" w14:textId="675EC4A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8" w:history="1">
        <w:r w:rsidR="00021FDD" w:rsidRPr="00952E2B">
          <w:rPr>
            <w:rStyle w:val="Hypertextovodkaz"/>
            <w:noProof/>
          </w:rPr>
          <w:t>Graf 28: OS – počet nevyříz. trestních věcí na úvazek u jednotlivých soudů</w:t>
        </w:r>
        <w:r w:rsidR="00021FDD">
          <w:rPr>
            <w:noProof/>
            <w:webHidden/>
          </w:rPr>
          <w:tab/>
        </w:r>
        <w:r w:rsidR="00021FDD">
          <w:rPr>
            <w:noProof/>
            <w:webHidden/>
          </w:rPr>
          <w:fldChar w:fldCharType="begin"/>
        </w:r>
        <w:r w:rsidR="00021FDD">
          <w:rPr>
            <w:noProof/>
            <w:webHidden/>
          </w:rPr>
          <w:instrText xml:space="preserve"> PAGEREF _Toc75952208 \h </w:instrText>
        </w:r>
        <w:r w:rsidR="00021FDD">
          <w:rPr>
            <w:noProof/>
            <w:webHidden/>
          </w:rPr>
        </w:r>
        <w:r w:rsidR="00021FDD">
          <w:rPr>
            <w:noProof/>
            <w:webHidden/>
          </w:rPr>
          <w:fldChar w:fldCharType="separate"/>
        </w:r>
        <w:r w:rsidR="00021FDD">
          <w:rPr>
            <w:noProof/>
            <w:webHidden/>
          </w:rPr>
          <w:t>52</w:t>
        </w:r>
        <w:r w:rsidR="00021FDD">
          <w:rPr>
            <w:noProof/>
            <w:webHidden/>
          </w:rPr>
          <w:fldChar w:fldCharType="end"/>
        </w:r>
      </w:hyperlink>
    </w:p>
    <w:p w14:paraId="2DF8C128" w14:textId="1371880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09" w:history="1">
        <w:r w:rsidR="00021FDD" w:rsidRPr="00952E2B">
          <w:rPr>
            <w:rStyle w:val="Hypertextovodkaz"/>
            <w:noProof/>
          </w:rPr>
          <w:t>Graf 29: OS – disposition time trestního řízení v letech 2008–2020</w:t>
        </w:r>
        <w:r w:rsidR="00021FDD">
          <w:rPr>
            <w:noProof/>
            <w:webHidden/>
          </w:rPr>
          <w:tab/>
        </w:r>
        <w:r w:rsidR="00021FDD">
          <w:rPr>
            <w:noProof/>
            <w:webHidden/>
          </w:rPr>
          <w:fldChar w:fldCharType="begin"/>
        </w:r>
        <w:r w:rsidR="00021FDD">
          <w:rPr>
            <w:noProof/>
            <w:webHidden/>
          </w:rPr>
          <w:instrText xml:space="preserve"> PAGEREF _Toc75952209 \h </w:instrText>
        </w:r>
        <w:r w:rsidR="00021FDD">
          <w:rPr>
            <w:noProof/>
            <w:webHidden/>
          </w:rPr>
        </w:r>
        <w:r w:rsidR="00021FDD">
          <w:rPr>
            <w:noProof/>
            <w:webHidden/>
          </w:rPr>
          <w:fldChar w:fldCharType="separate"/>
        </w:r>
        <w:r w:rsidR="00021FDD">
          <w:rPr>
            <w:noProof/>
            <w:webHidden/>
          </w:rPr>
          <w:t>53</w:t>
        </w:r>
        <w:r w:rsidR="00021FDD">
          <w:rPr>
            <w:noProof/>
            <w:webHidden/>
          </w:rPr>
          <w:fldChar w:fldCharType="end"/>
        </w:r>
      </w:hyperlink>
    </w:p>
    <w:p w14:paraId="3B16E6FC" w14:textId="1FC92B4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0" w:history="1">
        <w:r w:rsidR="00021FDD" w:rsidRPr="00952E2B">
          <w:rPr>
            <w:rStyle w:val="Hypertextovodkaz"/>
            <w:noProof/>
          </w:rPr>
          <w:t>Graf 30: OS – disposition time trestního řízení u jednotlivých soudů</w:t>
        </w:r>
        <w:r w:rsidR="00021FDD">
          <w:rPr>
            <w:noProof/>
            <w:webHidden/>
          </w:rPr>
          <w:tab/>
        </w:r>
        <w:r w:rsidR="00021FDD">
          <w:rPr>
            <w:noProof/>
            <w:webHidden/>
          </w:rPr>
          <w:fldChar w:fldCharType="begin"/>
        </w:r>
        <w:r w:rsidR="00021FDD">
          <w:rPr>
            <w:noProof/>
            <w:webHidden/>
          </w:rPr>
          <w:instrText xml:space="preserve"> PAGEREF _Toc75952210 \h </w:instrText>
        </w:r>
        <w:r w:rsidR="00021FDD">
          <w:rPr>
            <w:noProof/>
            <w:webHidden/>
          </w:rPr>
        </w:r>
        <w:r w:rsidR="00021FDD">
          <w:rPr>
            <w:noProof/>
            <w:webHidden/>
          </w:rPr>
          <w:fldChar w:fldCharType="separate"/>
        </w:r>
        <w:r w:rsidR="00021FDD">
          <w:rPr>
            <w:noProof/>
            <w:webHidden/>
          </w:rPr>
          <w:t>54</w:t>
        </w:r>
        <w:r w:rsidR="00021FDD">
          <w:rPr>
            <w:noProof/>
            <w:webHidden/>
          </w:rPr>
          <w:fldChar w:fldCharType="end"/>
        </w:r>
      </w:hyperlink>
    </w:p>
    <w:p w14:paraId="78A82803" w14:textId="6A5C8EA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1" w:history="1">
        <w:r w:rsidR="00021FDD" w:rsidRPr="00952E2B">
          <w:rPr>
            <w:rStyle w:val="Hypertextovodkaz"/>
            <w:noProof/>
          </w:rPr>
          <w:t>Graf 31: OS – krabicové grafy, DT trestního řízení</w:t>
        </w:r>
        <w:r w:rsidR="00021FDD">
          <w:rPr>
            <w:noProof/>
            <w:webHidden/>
          </w:rPr>
          <w:tab/>
        </w:r>
        <w:r w:rsidR="00021FDD">
          <w:rPr>
            <w:noProof/>
            <w:webHidden/>
          </w:rPr>
          <w:fldChar w:fldCharType="begin"/>
        </w:r>
        <w:r w:rsidR="00021FDD">
          <w:rPr>
            <w:noProof/>
            <w:webHidden/>
          </w:rPr>
          <w:instrText xml:space="preserve"> PAGEREF _Toc75952211 \h </w:instrText>
        </w:r>
        <w:r w:rsidR="00021FDD">
          <w:rPr>
            <w:noProof/>
            <w:webHidden/>
          </w:rPr>
        </w:r>
        <w:r w:rsidR="00021FDD">
          <w:rPr>
            <w:noProof/>
            <w:webHidden/>
          </w:rPr>
          <w:fldChar w:fldCharType="separate"/>
        </w:r>
        <w:r w:rsidR="00021FDD">
          <w:rPr>
            <w:noProof/>
            <w:webHidden/>
          </w:rPr>
          <w:t>54</w:t>
        </w:r>
        <w:r w:rsidR="00021FDD">
          <w:rPr>
            <w:noProof/>
            <w:webHidden/>
          </w:rPr>
          <w:fldChar w:fldCharType="end"/>
        </w:r>
      </w:hyperlink>
    </w:p>
    <w:p w14:paraId="6613EC74" w14:textId="2D0E5A0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2" w:history="1">
        <w:r w:rsidR="00021FDD" w:rsidRPr="00952E2B">
          <w:rPr>
            <w:rStyle w:val="Hypertextovodkaz"/>
            <w:noProof/>
          </w:rPr>
          <w:t>Graf 32: OS – míra odvolání u jednotlivých soudů v trestním řízení</w:t>
        </w:r>
        <w:r w:rsidR="00021FDD">
          <w:rPr>
            <w:noProof/>
            <w:webHidden/>
          </w:rPr>
          <w:tab/>
        </w:r>
        <w:r w:rsidR="00021FDD">
          <w:rPr>
            <w:noProof/>
            <w:webHidden/>
          </w:rPr>
          <w:fldChar w:fldCharType="begin"/>
        </w:r>
        <w:r w:rsidR="00021FDD">
          <w:rPr>
            <w:noProof/>
            <w:webHidden/>
          </w:rPr>
          <w:instrText xml:space="preserve"> PAGEREF _Toc75952212 \h </w:instrText>
        </w:r>
        <w:r w:rsidR="00021FDD">
          <w:rPr>
            <w:noProof/>
            <w:webHidden/>
          </w:rPr>
        </w:r>
        <w:r w:rsidR="00021FDD">
          <w:rPr>
            <w:noProof/>
            <w:webHidden/>
          </w:rPr>
          <w:fldChar w:fldCharType="separate"/>
        </w:r>
        <w:r w:rsidR="00021FDD">
          <w:rPr>
            <w:noProof/>
            <w:webHidden/>
          </w:rPr>
          <w:t>56</w:t>
        </w:r>
        <w:r w:rsidR="00021FDD">
          <w:rPr>
            <w:noProof/>
            <w:webHidden/>
          </w:rPr>
          <w:fldChar w:fldCharType="end"/>
        </w:r>
      </w:hyperlink>
    </w:p>
    <w:p w14:paraId="2563179A" w14:textId="7DC9CD7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3" w:history="1">
        <w:r w:rsidR="00021FDD" w:rsidRPr="00952E2B">
          <w:rPr>
            <w:rStyle w:val="Hypertextovodkaz"/>
            <w:noProof/>
          </w:rPr>
          <w:t>Graf 33: OS – míra změny rozsudku u jednotlivých soudů v trestním řízení</w:t>
        </w:r>
        <w:r w:rsidR="00021FDD">
          <w:rPr>
            <w:noProof/>
            <w:webHidden/>
          </w:rPr>
          <w:tab/>
        </w:r>
        <w:r w:rsidR="00021FDD">
          <w:rPr>
            <w:noProof/>
            <w:webHidden/>
          </w:rPr>
          <w:fldChar w:fldCharType="begin"/>
        </w:r>
        <w:r w:rsidR="00021FDD">
          <w:rPr>
            <w:noProof/>
            <w:webHidden/>
          </w:rPr>
          <w:instrText xml:space="preserve"> PAGEREF _Toc75952213 \h </w:instrText>
        </w:r>
        <w:r w:rsidR="00021FDD">
          <w:rPr>
            <w:noProof/>
            <w:webHidden/>
          </w:rPr>
        </w:r>
        <w:r w:rsidR="00021FDD">
          <w:rPr>
            <w:noProof/>
            <w:webHidden/>
          </w:rPr>
          <w:fldChar w:fldCharType="separate"/>
        </w:r>
        <w:r w:rsidR="00021FDD">
          <w:rPr>
            <w:noProof/>
            <w:webHidden/>
          </w:rPr>
          <w:t>57</w:t>
        </w:r>
        <w:r w:rsidR="00021FDD">
          <w:rPr>
            <w:noProof/>
            <w:webHidden/>
          </w:rPr>
          <w:fldChar w:fldCharType="end"/>
        </w:r>
      </w:hyperlink>
    </w:p>
    <w:p w14:paraId="658D3347" w14:textId="6A640FA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4" w:history="1">
        <w:r w:rsidR="00021FDD" w:rsidRPr="00952E2B">
          <w:rPr>
            <w:rStyle w:val="Hypertextovodkaz"/>
            <w:noProof/>
          </w:rPr>
          <w:t>Graf 34: OS – podíl věcí skončených trestním příkazem v letech 2008–2020</w:t>
        </w:r>
        <w:r w:rsidR="00021FDD">
          <w:rPr>
            <w:noProof/>
            <w:webHidden/>
          </w:rPr>
          <w:tab/>
        </w:r>
        <w:r w:rsidR="00021FDD">
          <w:rPr>
            <w:noProof/>
            <w:webHidden/>
          </w:rPr>
          <w:fldChar w:fldCharType="begin"/>
        </w:r>
        <w:r w:rsidR="00021FDD">
          <w:rPr>
            <w:noProof/>
            <w:webHidden/>
          </w:rPr>
          <w:instrText xml:space="preserve"> PAGEREF _Toc75952214 \h </w:instrText>
        </w:r>
        <w:r w:rsidR="00021FDD">
          <w:rPr>
            <w:noProof/>
            <w:webHidden/>
          </w:rPr>
        </w:r>
        <w:r w:rsidR="00021FDD">
          <w:rPr>
            <w:noProof/>
            <w:webHidden/>
          </w:rPr>
          <w:fldChar w:fldCharType="separate"/>
        </w:r>
        <w:r w:rsidR="00021FDD">
          <w:rPr>
            <w:noProof/>
            <w:webHidden/>
          </w:rPr>
          <w:t>58</w:t>
        </w:r>
        <w:r w:rsidR="00021FDD">
          <w:rPr>
            <w:noProof/>
            <w:webHidden/>
          </w:rPr>
          <w:fldChar w:fldCharType="end"/>
        </w:r>
      </w:hyperlink>
    </w:p>
    <w:p w14:paraId="74F51DCE" w14:textId="25F57DF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5" w:history="1">
        <w:r w:rsidR="00021FDD" w:rsidRPr="00952E2B">
          <w:rPr>
            <w:rStyle w:val="Hypertextovodkaz"/>
            <w:noProof/>
          </w:rPr>
          <w:t>Graf 35: OS – suma uložených peněžitých trestů</w:t>
        </w:r>
        <w:r w:rsidR="00021FDD">
          <w:rPr>
            <w:noProof/>
            <w:webHidden/>
          </w:rPr>
          <w:tab/>
        </w:r>
        <w:r w:rsidR="00021FDD">
          <w:rPr>
            <w:noProof/>
            <w:webHidden/>
          </w:rPr>
          <w:fldChar w:fldCharType="begin"/>
        </w:r>
        <w:r w:rsidR="00021FDD">
          <w:rPr>
            <w:noProof/>
            <w:webHidden/>
          </w:rPr>
          <w:instrText xml:space="preserve"> PAGEREF _Toc75952215 \h </w:instrText>
        </w:r>
        <w:r w:rsidR="00021FDD">
          <w:rPr>
            <w:noProof/>
            <w:webHidden/>
          </w:rPr>
        </w:r>
        <w:r w:rsidR="00021FDD">
          <w:rPr>
            <w:noProof/>
            <w:webHidden/>
          </w:rPr>
          <w:fldChar w:fldCharType="separate"/>
        </w:r>
        <w:r w:rsidR="00021FDD">
          <w:rPr>
            <w:noProof/>
            <w:webHidden/>
          </w:rPr>
          <w:t>61</w:t>
        </w:r>
        <w:r w:rsidR="00021FDD">
          <w:rPr>
            <w:noProof/>
            <w:webHidden/>
          </w:rPr>
          <w:fldChar w:fldCharType="end"/>
        </w:r>
      </w:hyperlink>
    </w:p>
    <w:p w14:paraId="7A856111" w14:textId="6139AEF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6" w:history="1">
        <w:r w:rsidR="00021FDD" w:rsidRPr="00952E2B">
          <w:rPr>
            <w:rStyle w:val="Hypertextovodkaz"/>
            <w:noProof/>
          </w:rPr>
          <w:t>Graf 36: OS – počet a průměrná výše uložených peněžitých trestů</w:t>
        </w:r>
        <w:r w:rsidR="00021FDD">
          <w:rPr>
            <w:noProof/>
            <w:webHidden/>
          </w:rPr>
          <w:tab/>
        </w:r>
        <w:r w:rsidR="00021FDD">
          <w:rPr>
            <w:noProof/>
            <w:webHidden/>
          </w:rPr>
          <w:fldChar w:fldCharType="begin"/>
        </w:r>
        <w:r w:rsidR="00021FDD">
          <w:rPr>
            <w:noProof/>
            <w:webHidden/>
          </w:rPr>
          <w:instrText xml:space="preserve"> PAGEREF _Toc75952216 \h </w:instrText>
        </w:r>
        <w:r w:rsidR="00021FDD">
          <w:rPr>
            <w:noProof/>
            <w:webHidden/>
          </w:rPr>
        </w:r>
        <w:r w:rsidR="00021FDD">
          <w:rPr>
            <w:noProof/>
            <w:webHidden/>
          </w:rPr>
          <w:fldChar w:fldCharType="separate"/>
        </w:r>
        <w:r w:rsidR="00021FDD">
          <w:rPr>
            <w:noProof/>
            <w:webHidden/>
          </w:rPr>
          <w:t>62</w:t>
        </w:r>
        <w:r w:rsidR="00021FDD">
          <w:rPr>
            <w:noProof/>
            <w:webHidden/>
          </w:rPr>
          <w:fldChar w:fldCharType="end"/>
        </w:r>
      </w:hyperlink>
    </w:p>
    <w:p w14:paraId="69E9C57B" w14:textId="78249F3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7" w:history="1">
        <w:r w:rsidR="00021FDD" w:rsidRPr="00952E2B">
          <w:rPr>
            <w:rStyle w:val="Hypertextovodkaz"/>
            <w:noProof/>
          </w:rPr>
          <w:t>Graf 37: OS – míra odsouzení v letech 2008 až 2020</w:t>
        </w:r>
        <w:r w:rsidR="00021FDD">
          <w:rPr>
            <w:noProof/>
            <w:webHidden/>
          </w:rPr>
          <w:tab/>
        </w:r>
        <w:r w:rsidR="00021FDD">
          <w:rPr>
            <w:noProof/>
            <w:webHidden/>
          </w:rPr>
          <w:fldChar w:fldCharType="begin"/>
        </w:r>
        <w:r w:rsidR="00021FDD">
          <w:rPr>
            <w:noProof/>
            <w:webHidden/>
          </w:rPr>
          <w:instrText xml:space="preserve"> PAGEREF _Toc75952217 \h </w:instrText>
        </w:r>
        <w:r w:rsidR="00021FDD">
          <w:rPr>
            <w:noProof/>
            <w:webHidden/>
          </w:rPr>
        </w:r>
        <w:r w:rsidR="00021FDD">
          <w:rPr>
            <w:noProof/>
            <w:webHidden/>
          </w:rPr>
          <w:fldChar w:fldCharType="separate"/>
        </w:r>
        <w:r w:rsidR="00021FDD">
          <w:rPr>
            <w:noProof/>
            <w:webHidden/>
          </w:rPr>
          <w:t>64</w:t>
        </w:r>
        <w:r w:rsidR="00021FDD">
          <w:rPr>
            <w:noProof/>
            <w:webHidden/>
          </w:rPr>
          <w:fldChar w:fldCharType="end"/>
        </w:r>
      </w:hyperlink>
    </w:p>
    <w:p w14:paraId="4849E6B6" w14:textId="6EEF18F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8" w:history="1">
        <w:r w:rsidR="00021FDD" w:rsidRPr="00952E2B">
          <w:rPr>
            <w:rStyle w:val="Hypertextovodkaz"/>
            <w:noProof/>
          </w:rPr>
          <w:t>Graf 38: OS – délka řízení v opatrovnické agendě v letech 2010–2020</w:t>
        </w:r>
        <w:r w:rsidR="00021FDD">
          <w:rPr>
            <w:noProof/>
            <w:webHidden/>
          </w:rPr>
          <w:tab/>
        </w:r>
        <w:r w:rsidR="00021FDD">
          <w:rPr>
            <w:noProof/>
            <w:webHidden/>
          </w:rPr>
          <w:fldChar w:fldCharType="begin"/>
        </w:r>
        <w:r w:rsidR="00021FDD">
          <w:rPr>
            <w:noProof/>
            <w:webHidden/>
          </w:rPr>
          <w:instrText xml:space="preserve"> PAGEREF _Toc75952218 \h </w:instrText>
        </w:r>
        <w:r w:rsidR="00021FDD">
          <w:rPr>
            <w:noProof/>
            <w:webHidden/>
          </w:rPr>
        </w:r>
        <w:r w:rsidR="00021FDD">
          <w:rPr>
            <w:noProof/>
            <w:webHidden/>
          </w:rPr>
          <w:fldChar w:fldCharType="separate"/>
        </w:r>
        <w:r w:rsidR="00021FDD">
          <w:rPr>
            <w:noProof/>
            <w:webHidden/>
          </w:rPr>
          <w:t>66</w:t>
        </w:r>
        <w:r w:rsidR="00021FDD">
          <w:rPr>
            <w:noProof/>
            <w:webHidden/>
          </w:rPr>
          <w:fldChar w:fldCharType="end"/>
        </w:r>
      </w:hyperlink>
    </w:p>
    <w:p w14:paraId="5624A497" w14:textId="47E6D44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19" w:history="1">
        <w:r w:rsidR="00021FDD" w:rsidRPr="00952E2B">
          <w:rPr>
            <w:rStyle w:val="Hypertextovodkaz"/>
            <w:noProof/>
          </w:rPr>
          <w:t>Graf 39: OS – mediánové délky opatrovnického řízení u jednotlivých soudů</w:t>
        </w:r>
        <w:r w:rsidR="00021FDD">
          <w:rPr>
            <w:noProof/>
            <w:webHidden/>
          </w:rPr>
          <w:tab/>
        </w:r>
        <w:r w:rsidR="00021FDD">
          <w:rPr>
            <w:noProof/>
            <w:webHidden/>
          </w:rPr>
          <w:fldChar w:fldCharType="begin"/>
        </w:r>
        <w:r w:rsidR="00021FDD">
          <w:rPr>
            <w:noProof/>
            <w:webHidden/>
          </w:rPr>
          <w:instrText xml:space="preserve"> PAGEREF _Toc75952219 \h </w:instrText>
        </w:r>
        <w:r w:rsidR="00021FDD">
          <w:rPr>
            <w:noProof/>
            <w:webHidden/>
          </w:rPr>
        </w:r>
        <w:r w:rsidR="00021FDD">
          <w:rPr>
            <w:noProof/>
            <w:webHidden/>
          </w:rPr>
          <w:fldChar w:fldCharType="separate"/>
        </w:r>
        <w:r w:rsidR="00021FDD">
          <w:rPr>
            <w:noProof/>
            <w:webHidden/>
          </w:rPr>
          <w:t>68</w:t>
        </w:r>
        <w:r w:rsidR="00021FDD">
          <w:rPr>
            <w:noProof/>
            <w:webHidden/>
          </w:rPr>
          <w:fldChar w:fldCharType="end"/>
        </w:r>
      </w:hyperlink>
    </w:p>
    <w:p w14:paraId="56CB11D7" w14:textId="7C0472E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0" w:history="1">
        <w:r w:rsidR="00021FDD" w:rsidRPr="00952E2B">
          <w:rPr>
            <w:rStyle w:val="Hypertextovodkaz"/>
            <w:noProof/>
          </w:rPr>
          <w:t>Graf 40: OS – krabicové grafy, mediánové délky opatrovnického řízení</w:t>
        </w:r>
        <w:r w:rsidR="00021FDD">
          <w:rPr>
            <w:noProof/>
            <w:webHidden/>
          </w:rPr>
          <w:tab/>
        </w:r>
        <w:r w:rsidR="00021FDD">
          <w:rPr>
            <w:noProof/>
            <w:webHidden/>
          </w:rPr>
          <w:fldChar w:fldCharType="begin"/>
        </w:r>
        <w:r w:rsidR="00021FDD">
          <w:rPr>
            <w:noProof/>
            <w:webHidden/>
          </w:rPr>
          <w:instrText xml:space="preserve"> PAGEREF _Toc75952220 \h </w:instrText>
        </w:r>
        <w:r w:rsidR="00021FDD">
          <w:rPr>
            <w:noProof/>
            <w:webHidden/>
          </w:rPr>
        </w:r>
        <w:r w:rsidR="00021FDD">
          <w:rPr>
            <w:noProof/>
            <w:webHidden/>
          </w:rPr>
          <w:fldChar w:fldCharType="separate"/>
        </w:r>
        <w:r w:rsidR="00021FDD">
          <w:rPr>
            <w:noProof/>
            <w:webHidden/>
          </w:rPr>
          <w:t>69</w:t>
        </w:r>
        <w:r w:rsidR="00021FDD">
          <w:rPr>
            <w:noProof/>
            <w:webHidden/>
          </w:rPr>
          <w:fldChar w:fldCharType="end"/>
        </w:r>
      </w:hyperlink>
    </w:p>
    <w:p w14:paraId="47784EE7" w14:textId="51E4D79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1" w:history="1">
        <w:r w:rsidR="00021FDD" w:rsidRPr="00952E2B">
          <w:rPr>
            <w:rStyle w:val="Hypertextovodkaz"/>
            <w:noProof/>
          </w:rPr>
          <w:t>Graf 41: OS – vyřizování věcí v opatrovnické agendě v letech 2008–2020</w:t>
        </w:r>
        <w:r w:rsidR="00021FDD">
          <w:rPr>
            <w:noProof/>
            <w:webHidden/>
          </w:rPr>
          <w:tab/>
        </w:r>
        <w:r w:rsidR="00021FDD">
          <w:rPr>
            <w:noProof/>
            <w:webHidden/>
          </w:rPr>
          <w:fldChar w:fldCharType="begin"/>
        </w:r>
        <w:r w:rsidR="00021FDD">
          <w:rPr>
            <w:noProof/>
            <w:webHidden/>
          </w:rPr>
          <w:instrText xml:space="preserve"> PAGEREF _Toc75952221 \h </w:instrText>
        </w:r>
        <w:r w:rsidR="00021FDD">
          <w:rPr>
            <w:noProof/>
            <w:webHidden/>
          </w:rPr>
        </w:r>
        <w:r w:rsidR="00021FDD">
          <w:rPr>
            <w:noProof/>
            <w:webHidden/>
          </w:rPr>
          <w:fldChar w:fldCharType="separate"/>
        </w:r>
        <w:r w:rsidR="00021FDD">
          <w:rPr>
            <w:noProof/>
            <w:webHidden/>
          </w:rPr>
          <w:t>70</w:t>
        </w:r>
        <w:r w:rsidR="00021FDD">
          <w:rPr>
            <w:noProof/>
            <w:webHidden/>
          </w:rPr>
          <w:fldChar w:fldCharType="end"/>
        </w:r>
      </w:hyperlink>
    </w:p>
    <w:p w14:paraId="6D77E009" w14:textId="45EC5002"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2" w:history="1">
        <w:r w:rsidR="00021FDD" w:rsidRPr="00952E2B">
          <w:rPr>
            <w:rStyle w:val="Hypertextovodkaz"/>
            <w:noProof/>
          </w:rPr>
          <w:t>Graf 42: OS – měsíční nápad opatrovnických věcí</w:t>
        </w:r>
        <w:r w:rsidR="00021FDD">
          <w:rPr>
            <w:noProof/>
            <w:webHidden/>
          </w:rPr>
          <w:tab/>
        </w:r>
        <w:r w:rsidR="00021FDD">
          <w:rPr>
            <w:noProof/>
            <w:webHidden/>
          </w:rPr>
          <w:fldChar w:fldCharType="begin"/>
        </w:r>
        <w:r w:rsidR="00021FDD">
          <w:rPr>
            <w:noProof/>
            <w:webHidden/>
          </w:rPr>
          <w:instrText xml:space="preserve"> PAGEREF _Toc75952222 \h </w:instrText>
        </w:r>
        <w:r w:rsidR="00021FDD">
          <w:rPr>
            <w:noProof/>
            <w:webHidden/>
          </w:rPr>
        </w:r>
        <w:r w:rsidR="00021FDD">
          <w:rPr>
            <w:noProof/>
            <w:webHidden/>
          </w:rPr>
          <w:fldChar w:fldCharType="separate"/>
        </w:r>
        <w:r w:rsidR="00021FDD">
          <w:rPr>
            <w:noProof/>
            <w:webHidden/>
          </w:rPr>
          <w:t>71</w:t>
        </w:r>
        <w:r w:rsidR="00021FDD">
          <w:rPr>
            <w:noProof/>
            <w:webHidden/>
          </w:rPr>
          <w:fldChar w:fldCharType="end"/>
        </w:r>
      </w:hyperlink>
    </w:p>
    <w:p w14:paraId="2ADABD98" w14:textId="5903501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3" w:history="1">
        <w:r w:rsidR="00021FDD" w:rsidRPr="00952E2B">
          <w:rPr>
            <w:rStyle w:val="Hypertextovodkaz"/>
            <w:noProof/>
          </w:rPr>
          <w:t>Graf 43: OS – počet nevyříz. opatrov. věcí na úvazky soudce u jednotlivých soudů</w:t>
        </w:r>
        <w:r w:rsidR="00021FDD">
          <w:rPr>
            <w:noProof/>
            <w:webHidden/>
          </w:rPr>
          <w:tab/>
        </w:r>
        <w:r w:rsidR="00021FDD">
          <w:rPr>
            <w:noProof/>
            <w:webHidden/>
          </w:rPr>
          <w:fldChar w:fldCharType="begin"/>
        </w:r>
        <w:r w:rsidR="00021FDD">
          <w:rPr>
            <w:noProof/>
            <w:webHidden/>
          </w:rPr>
          <w:instrText xml:space="preserve"> PAGEREF _Toc75952223 \h </w:instrText>
        </w:r>
        <w:r w:rsidR="00021FDD">
          <w:rPr>
            <w:noProof/>
            <w:webHidden/>
          </w:rPr>
        </w:r>
        <w:r w:rsidR="00021FDD">
          <w:rPr>
            <w:noProof/>
            <w:webHidden/>
          </w:rPr>
          <w:fldChar w:fldCharType="separate"/>
        </w:r>
        <w:r w:rsidR="00021FDD">
          <w:rPr>
            <w:noProof/>
            <w:webHidden/>
          </w:rPr>
          <w:t>72</w:t>
        </w:r>
        <w:r w:rsidR="00021FDD">
          <w:rPr>
            <w:noProof/>
            <w:webHidden/>
          </w:rPr>
          <w:fldChar w:fldCharType="end"/>
        </w:r>
      </w:hyperlink>
    </w:p>
    <w:p w14:paraId="24A841AB" w14:textId="43D6464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4" w:history="1">
        <w:r w:rsidR="00021FDD" w:rsidRPr="00952E2B">
          <w:rPr>
            <w:rStyle w:val="Hypertextovodkaz"/>
            <w:noProof/>
          </w:rPr>
          <w:t>Graf 44: OS – disposition time v opatrovnické agendě v letech 2008–2020</w:t>
        </w:r>
        <w:r w:rsidR="00021FDD">
          <w:rPr>
            <w:noProof/>
            <w:webHidden/>
          </w:rPr>
          <w:tab/>
        </w:r>
        <w:r w:rsidR="00021FDD">
          <w:rPr>
            <w:noProof/>
            <w:webHidden/>
          </w:rPr>
          <w:fldChar w:fldCharType="begin"/>
        </w:r>
        <w:r w:rsidR="00021FDD">
          <w:rPr>
            <w:noProof/>
            <w:webHidden/>
          </w:rPr>
          <w:instrText xml:space="preserve"> PAGEREF _Toc75952224 \h </w:instrText>
        </w:r>
        <w:r w:rsidR="00021FDD">
          <w:rPr>
            <w:noProof/>
            <w:webHidden/>
          </w:rPr>
        </w:r>
        <w:r w:rsidR="00021FDD">
          <w:rPr>
            <w:noProof/>
            <w:webHidden/>
          </w:rPr>
          <w:fldChar w:fldCharType="separate"/>
        </w:r>
        <w:r w:rsidR="00021FDD">
          <w:rPr>
            <w:noProof/>
            <w:webHidden/>
          </w:rPr>
          <w:t>73</w:t>
        </w:r>
        <w:r w:rsidR="00021FDD">
          <w:rPr>
            <w:noProof/>
            <w:webHidden/>
          </w:rPr>
          <w:fldChar w:fldCharType="end"/>
        </w:r>
      </w:hyperlink>
    </w:p>
    <w:p w14:paraId="65EC019B" w14:textId="5BE4505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5" w:history="1">
        <w:r w:rsidR="00021FDD" w:rsidRPr="00952E2B">
          <w:rPr>
            <w:rStyle w:val="Hypertextovodkaz"/>
            <w:noProof/>
          </w:rPr>
          <w:t>Graf 45: OS – disposition time v opatrovnické agendě u jednotlivých soudů</w:t>
        </w:r>
        <w:r w:rsidR="00021FDD">
          <w:rPr>
            <w:noProof/>
            <w:webHidden/>
          </w:rPr>
          <w:tab/>
        </w:r>
        <w:r w:rsidR="00021FDD">
          <w:rPr>
            <w:noProof/>
            <w:webHidden/>
          </w:rPr>
          <w:fldChar w:fldCharType="begin"/>
        </w:r>
        <w:r w:rsidR="00021FDD">
          <w:rPr>
            <w:noProof/>
            <w:webHidden/>
          </w:rPr>
          <w:instrText xml:space="preserve"> PAGEREF _Toc75952225 \h </w:instrText>
        </w:r>
        <w:r w:rsidR="00021FDD">
          <w:rPr>
            <w:noProof/>
            <w:webHidden/>
          </w:rPr>
        </w:r>
        <w:r w:rsidR="00021FDD">
          <w:rPr>
            <w:noProof/>
            <w:webHidden/>
          </w:rPr>
          <w:fldChar w:fldCharType="separate"/>
        </w:r>
        <w:r w:rsidR="00021FDD">
          <w:rPr>
            <w:noProof/>
            <w:webHidden/>
          </w:rPr>
          <w:t>74</w:t>
        </w:r>
        <w:r w:rsidR="00021FDD">
          <w:rPr>
            <w:noProof/>
            <w:webHidden/>
          </w:rPr>
          <w:fldChar w:fldCharType="end"/>
        </w:r>
      </w:hyperlink>
    </w:p>
    <w:p w14:paraId="2A0671E6" w14:textId="79EFBAE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6" w:history="1">
        <w:r w:rsidR="00021FDD" w:rsidRPr="00952E2B">
          <w:rPr>
            <w:rStyle w:val="Hypertextovodkaz"/>
            <w:noProof/>
          </w:rPr>
          <w:t>Graf 46: OS – průměrná výše výživného dle povinné osoby v letech 2012–2020</w:t>
        </w:r>
        <w:r w:rsidR="00021FDD">
          <w:rPr>
            <w:noProof/>
            <w:webHidden/>
          </w:rPr>
          <w:tab/>
        </w:r>
        <w:r w:rsidR="00021FDD">
          <w:rPr>
            <w:noProof/>
            <w:webHidden/>
          </w:rPr>
          <w:fldChar w:fldCharType="begin"/>
        </w:r>
        <w:r w:rsidR="00021FDD">
          <w:rPr>
            <w:noProof/>
            <w:webHidden/>
          </w:rPr>
          <w:instrText xml:space="preserve"> PAGEREF _Toc75952226 \h </w:instrText>
        </w:r>
        <w:r w:rsidR="00021FDD">
          <w:rPr>
            <w:noProof/>
            <w:webHidden/>
          </w:rPr>
        </w:r>
        <w:r w:rsidR="00021FDD">
          <w:rPr>
            <w:noProof/>
            <w:webHidden/>
          </w:rPr>
          <w:fldChar w:fldCharType="separate"/>
        </w:r>
        <w:r w:rsidR="00021FDD">
          <w:rPr>
            <w:noProof/>
            <w:webHidden/>
          </w:rPr>
          <w:t>76</w:t>
        </w:r>
        <w:r w:rsidR="00021FDD">
          <w:rPr>
            <w:noProof/>
            <w:webHidden/>
          </w:rPr>
          <w:fldChar w:fldCharType="end"/>
        </w:r>
      </w:hyperlink>
    </w:p>
    <w:p w14:paraId="544C4F2F" w14:textId="3AAF7A6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7" w:history="1">
        <w:r w:rsidR="00021FDD" w:rsidRPr="00952E2B">
          <w:rPr>
            <w:rStyle w:val="Hypertextovodkaz"/>
            <w:noProof/>
          </w:rPr>
          <w:t>Graf 47: OS – podíl na příjmu povinné osoby v letech 2012–2019</w:t>
        </w:r>
        <w:r w:rsidR="00021FDD">
          <w:rPr>
            <w:noProof/>
            <w:webHidden/>
          </w:rPr>
          <w:tab/>
        </w:r>
        <w:r w:rsidR="00021FDD">
          <w:rPr>
            <w:noProof/>
            <w:webHidden/>
          </w:rPr>
          <w:fldChar w:fldCharType="begin"/>
        </w:r>
        <w:r w:rsidR="00021FDD">
          <w:rPr>
            <w:noProof/>
            <w:webHidden/>
          </w:rPr>
          <w:instrText xml:space="preserve"> PAGEREF _Toc75952227 \h </w:instrText>
        </w:r>
        <w:r w:rsidR="00021FDD">
          <w:rPr>
            <w:noProof/>
            <w:webHidden/>
          </w:rPr>
        </w:r>
        <w:r w:rsidR="00021FDD">
          <w:rPr>
            <w:noProof/>
            <w:webHidden/>
          </w:rPr>
          <w:fldChar w:fldCharType="separate"/>
        </w:r>
        <w:r w:rsidR="00021FDD">
          <w:rPr>
            <w:noProof/>
            <w:webHidden/>
          </w:rPr>
          <w:t>77</w:t>
        </w:r>
        <w:r w:rsidR="00021FDD">
          <w:rPr>
            <w:noProof/>
            <w:webHidden/>
          </w:rPr>
          <w:fldChar w:fldCharType="end"/>
        </w:r>
      </w:hyperlink>
    </w:p>
    <w:p w14:paraId="0E86949F" w14:textId="7967062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8" w:history="1">
        <w:r w:rsidR="00021FDD" w:rsidRPr="00952E2B">
          <w:rPr>
            <w:rStyle w:val="Hypertextovodkaz"/>
            <w:noProof/>
          </w:rPr>
          <w:t>Graf 48: OS – svěřování dítěte do péče</w:t>
        </w:r>
        <w:r w:rsidR="00021FDD">
          <w:rPr>
            <w:noProof/>
            <w:webHidden/>
          </w:rPr>
          <w:tab/>
        </w:r>
        <w:r w:rsidR="00021FDD">
          <w:rPr>
            <w:noProof/>
            <w:webHidden/>
          </w:rPr>
          <w:fldChar w:fldCharType="begin"/>
        </w:r>
        <w:r w:rsidR="00021FDD">
          <w:rPr>
            <w:noProof/>
            <w:webHidden/>
          </w:rPr>
          <w:instrText xml:space="preserve"> PAGEREF _Toc75952228 \h </w:instrText>
        </w:r>
        <w:r w:rsidR="00021FDD">
          <w:rPr>
            <w:noProof/>
            <w:webHidden/>
          </w:rPr>
        </w:r>
        <w:r w:rsidR="00021FDD">
          <w:rPr>
            <w:noProof/>
            <w:webHidden/>
          </w:rPr>
          <w:fldChar w:fldCharType="separate"/>
        </w:r>
        <w:r w:rsidR="00021FDD">
          <w:rPr>
            <w:noProof/>
            <w:webHidden/>
          </w:rPr>
          <w:t>78</w:t>
        </w:r>
        <w:r w:rsidR="00021FDD">
          <w:rPr>
            <w:noProof/>
            <w:webHidden/>
          </w:rPr>
          <w:fldChar w:fldCharType="end"/>
        </w:r>
      </w:hyperlink>
    </w:p>
    <w:p w14:paraId="5C00435E" w14:textId="5793A30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29" w:history="1">
        <w:r w:rsidR="00021FDD" w:rsidRPr="00952E2B">
          <w:rPr>
            <w:rStyle w:val="Hypertextovodkaz"/>
            <w:noProof/>
          </w:rPr>
          <w:t>Graf 49: OS – věkové složení dětí v řízení o péči o nezletilé</w:t>
        </w:r>
        <w:r w:rsidR="00021FDD">
          <w:rPr>
            <w:noProof/>
            <w:webHidden/>
          </w:rPr>
          <w:tab/>
        </w:r>
        <w:r w:rsidR="00021FDD">
          <w:rPr>
            <w:noProof/>
            <w:webHidden/>
          </w:rPr>
          <w:fldChar w:fldCharType="begin"/>
        </w:r>
        <w:r w:rsidR="00021FDD">
          <w:rPr>
            <w:noProof/>
            <w:webHidden/>
          </w:rPr>
          <w:instrText xml:space="preserve"> PAGEREF _Toc75952229 \h </w:instrText>
        </w:r>
        <w:r w:rsidR="00021FDD">
          <w:rPr>
            <w:noProof/>
            <w:webHidden/>
          </w:rPr>
        </w:r>
        <w:r w:rsidR="00021FDD">
          <w:rPr>
            <w:noProof/>
            <w:webHidden/>
          </w:rPr>
          <w:fldChar w:fldCharType="separate"/>
        </w:r>
        <w:r w:rsidR="00021FDD">
          <w:rPr>
            <w:noProof/>
            <w:webHidden/>
          </w:rPr>
          <w:t>79</w:t>
        </w:r>
        <w:r w:rsidR="00021FDD">
          <w:rPr>
            <w:noProof/>
            <w:webHidden/>
          </w:rPr>
          <w:fldChar w:fldCharType="end"/>
        </w:r>
      </w:hyperlink>
    </w:p>
    <w:p w14:paraId="1125626A" w14:textId="5DB2248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0" w:history="1">
        <w:r w:rsidR="00021FDD" w:rsidRPr="00952E2B">
          <w:rPr>
            <w:rStyle w:val="Hypertextovodkaz"/>
            <w:noProof/>
          </w:rPr>
          <w:t>Graf 50: KS – počet soudců v letech 2008–2020</w:t>
        </w:r>
        <w:r w:rsidR="00021FDD">
          <w:rPr>
            <w:noProof/>
            <w:webHidden/>
          </w:rPr>
          <w:tab/>
        </w:r>
        <w:r w:rsidR="00021FDD">
          <w:rPr>
            <w:noProof/>
            <w:webHidden/>
          </w:rPr>
          <w:fldChar w:fldCharType="begin"/>
        </w:r>
        <w:r w:rsidR="00021FDD">
          <w:rPr>
            <w:noProof/>
            <w:webHidden/>
          </w:rPr>
          <w:instrText xml:space="preserve"> PAGEREF _Toc75952230 \h </w:instrText>
        </w:r>
        <w:r w:rsidR="00021FDD">
          <w:rPr>
            <w:noProof/>
            <w:webHidden/>
          </w:rPr>
        </w:r>
        <w:r w:rsidR="00021FDD">
          <w:rPr>
            <w:noProof/>
            <w:webHidden/>
          </w:rPr>
          <w:fldChar w:fldCharType="separate"/>
        </w:r>
        <w:r w:rsidR="00021FDD">
          <w:rPr>
            <w:noProof/>
            <w:webHidden/>
          </w:rPr>
          <w:t>85</w:t>
        </w:r>
        <w:r w:rsidR="00021FDD">
          <w:rPr>
            <w:noProof/>
            <w:webHidden/>
          </w:rPr>
          <w:fldChar w:fldCharType="end"/>
        </w:r>
      </w:hyperlink>
    </w:p>
    <w:p w14:paraId="623D3A3F" w14:textId="3946EC6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1" w:history="1">
        <w:r w:rsidR="00021FDD" w:rsidRPr="00952E2B">
          <w:rPr>
            <w:rStyle w:val="Hypertextovodkaz"/>
            <w:noProof/>
          </w:rPr>
          <w:t>Graf 51: KS – evidenční počet soudců dle soudních úseků v letech 2008–2020</w:t>
        </w:r>
        <w:r w:rsidR="00021FDD">
          <w:rPr>
            <w:noProof/>
            <w:webHidden/>
          </w:rPr>
          <w:tab/>
        </w:r>
        <w:r w:rsidR="00021FDD">
          <w:rPr>
            <w:noProof/>
            <w:webHidden/>
          </w:rPr>
          <w:fldChar w:fldCharType="begin"/>
        </w:r>
        <w:r w:rsidR="00021FDD">
          <w:rPr>
            <w:noProof/>
            <w:webHidden/>
          </w:rPr>
          <w:instrText xml:space="preserve"> PAGEREF _Toc75952231 \h </w:instrText>
        </w:r>
        <w:r w:rsidR="00021FDD">
          <w:rPr>
            <w:noProof/>
            <w:webHidden/>
          </w:rPr>
        </w:r>
        <w:r w:rsidR="00021FDD">
          <w:rPr>
            <w:noProof/>
            <w:webHidden/>
          </w:rPr>
          <w:fldChar w:fldCharType="separate"/>
        </w:r>
        <w:r w:rsidR="00021FDD">
          <w:rPr>
            <w:noProof/>
            <w:webHidden/>
          </w:rPr>
          <w:t>86</w:t>
        </w:r>
        <w:r w:rsidR="00021FDD">
          <w:rPr>
            <w:noProof/>
            <w:webHidden/>
          </w:rPr>
          <w:fldChar w:fldCharType="end"/>
        </w:r>
      </w:hyperlink>
    </w:p>
    <w:p w14:paraId="61F07680" w14:textId="0CA6E10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2" w:history="1">
        <w:r w:rsidR="00021FDD" w:rsidRPr="00952E2B">
          <w:rPr>
            <w:rStyle w:val="Hypertextovodkaz"/>
            <w:noProof/>
          </w:rPr>
          <w:t>Graf 52: KS – evidenční počet soudců dle pohlaví v letech 2008–2019</w:t>
        </w:r>
        <w:r w:rsidR="00021FDD">
          <w:rPr>
            <w:noProof/>
            <w:webHidden/>
          </w:rPr>
          <w:tab/>
        </w:r>
        <w:r w:rsidR="00021FDD">
          <w:rPr>
            <w:noProof/>
            <w:webHidden/>
          </w:rPr>
          <w:fldChar w:fldCharType="begin"/>
        </w:r>
        <w:r w:rsidR="00021FDD">
          <w:rPr>
            <w:noProof/>
            <w:webHidden/>
          </w:rPr>
          <w:instrText xml:space="preserve"> PAGEREF _Toc75952232 \h </w:instrText>
        </w:r>
        <w:r w:rsidR="00021FDD">
          <w:rPr>
            <w:noProof/>
            <w:webHidden/>
          </w:rPr>
        </w:r>
        <w:r w:rsidR="00021FDD">
          <w:rPr>
            <w:noProof/>
            <w:webHidden/>
          </w:rPr>
          <w:fldChar w:fldCharType="separate"/>
        </w:r>
        <w:r w:rsidR="00021FDD">
          <w:rPr>
            <w:noProof/>
            <w:webHidden/>
          </w:rPr>
          <w:t>87</w:t>
        </w:r>
        <w:r w:rsidR="00021FDD">
          <w:rPr>
            <w:noProof/>
            <w:webHidden/>
          </w:rPr>
          <w:fldChar w:fldCharType="end"/>
        </w:r>
      </w:hyperlink>
    </w:p>
    <w:p w14:paraId="60FEF0C1" w14:textId="22D1655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3" w:history="1">
        <w:r w:rsidR="00021FDD" w:rsidRPr="00952E2B">
          <w:rPr>
            <w:rStyle w:val="Hypertextovodkaz"/>
            <w:noProof/>
          </w:rPr>
          <w:t>Graf 53: KS – věkové složení soudců v letech 2008–2020</w:t>
        </w:r>
        <w:r w:rsidR="00021FDD">
          <w:rPr>
            <w:noProof/>
            <w:webHidden/>
          </w:rPr>
          <w:tab/>
        </w:r>
        <w:r w:rsidR="00021FDD">
          <w:rPr>
            <w:noProof/>
            <w:webHidden/>
          </w:rPr>
          <w:fldChar w:fldCharType="begin"/>
        </w:r>
        <w:r w:rsidR="00021FDD">
          <w:rPr>
            <w:noProof/>
            <w:webHidden/>
          </w:rPr>
          <w:instrText xml:space="preserve"> PAGEREF _Toc75952233 \h </w:instrText>
        </w:r>
        <w:r w:rsidR="00021FDD">
          <w:rPr>
            <w:noProof/>
            <w:webHidden/>
          </w:rPr>
        </w:r>
        <w:r w:rsidR="00021FDD">
          <w:rPr>
            <w:noProof/>
            <w:webHidden/>
          </w:rPr>
          <w:fldChar w:fldCharType="separate"/>
        </w:r>
        <w:r w:rsidR="00021FDD">
          <w:rPr>
            <w:noProof/>
            <w:webHidden/>
          </w:rPr>
          <w:t>88</w:t>
        </w:r>
        <w:r w:rsidR="00021FDD">
          <w:rPr>
            <w:noProof/>
            <w:webHidden/>
          </w:rPr>
          <w:fldChar w:fldCharType="end"/>
        </w:r>
      </w:hyperlink>
    </w:p>
    <w:p w14:paraId="2F66F74D" w14:textId="4124C25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4" w:history="1">
        <w:r w:rsidR="00021FDD" w:rsidRPr="00952E2B">
          <w:rPr>
            <w:rStyle w:val="Hypertextovodkaz"/>
            <w:noProof/>
          </w:rPr>
          <w:t>Graf 54: KS – délka prvostupňového civilního řízení v letech 2008–2020</w:t>
        </w:r>
        <w:r w:rsidR="00021FDD">
          <w:rPr>
            <w:noProof/>
            <w:webHidden/>
          </w:rPr>
          <w:tab/>
        </w:r>
        <w:r w:rsidR="00021FDD">
          <w:rPr>
            <w:noProof/>
            <w:webHidden/>
          </w:rPr>
          <w:fldChar w:fldCharType="begin"/>
        </w:r>
        <w:r w:rsidR="00021FDD">
          <w:rPr>
            <w:noProof/>
            <w:webHidden/>
          </w:rPr>
          <w:instrText xml:space="preserve"> PAGEREF _Toc75952234 \h </w:instrText>
        </w:r>
        <w:r w:rsidR="00021FDD">
          <w:rPr>
            <w:noProof/>
            <w:webHidden/>
          </w:rPr>
        </w:r>
        <w:r w:rsidR="00021FDD">
          <w:rPr>
            <w:noProof/>
            <w:webHidden/>
          </w:rPr>
          <w:fldChar w:fldCharType="separate"/>
        </w:r>
        <w:r w:rsidR="00021FDD">
          <w:rPr>
            <w:noProof/>
            <w:webHidden/>
          </w:rPr>
          <w:t>93</w:t>
        </w:r>
        <w:r w:rsidR="00021FDD">
          <w:rPr>
            <w:noProof/>
            <w:webHidden/>
          </w:rPr>
          <w:fldChar w:fldCharType="end"/>
        </w:r>
      </w:hyperlink>
    </w:p>
    <w:p w14:paraId="1C2A20FD" w14:textId="3793934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5" w:history="1">
        <w:r w:rsidR="00021FDD" w:rsidRPr="00952E2B">
          <w:rPr>
            <w:rStyle w:val="Hypertextovodkaz"/>
            <w:noProof/>
          </w:rPr>
          <w:t>Graf 55: KS – vyřizování prvostupňových civilních věcí v letech 2008–2020</w:t>
        </w:r>
        <w:r w:rsidR="00021FDD">
          <w:rPr>
            <w:noProof/>
            <w:webHidden/>
          </w:rPr>
          <w:tab/>
        </w:r>
        <w:r w:rsidR="00021FDD">
          <w:rPr>
            <w:noProof/>
            <w:webHidden/>
          </w:rPr>
          <w:fldChar w:fldCharType="begin"/>
        </w:r>
        <w:r w:rsidR="00021FDD">
          <w:rPr>
            <w:noProof/>
            <w:webHidden/>
          </w:rPr>
          <w:instrText xml:space="preserve"> PAGEREF _Toc75952235 \h </w:instrText>
        </w:r>
        <w:r w:rsidR="00021FDD">
          <w:rPr>
            <w:noProof/>
            <w:webHidden/>
          </w:rPr>
        </w:r>
        <w:r w:rsidR="00021FDD">
          <w:rPr>
            <w:noProof/>
            <w:webHidden/>
          </w:rPr>
          <w:fldChar w:fldCharType="separate"/>
        </w:r>
        <w:r w:rsidR="00021FDD">
          <w:rPr>
            <w:noProof/>
            <w:webHidden/>
          </w:rPr>
          <w:t>96</w:t>
        </w:r>
        <w:r w:rsidR="00021FDD">
          <w:rPr>
            <w:noProof/>
            <w:webHidden/>
          </w:rPr>
          <w:fldChar w:fldCharType="end"/>
        </w:r>
      </w:hyperlink>
    </w:p>
    <w:p w14:paraId="17403F7D" w14:textId="471B294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6" w:history="1">
        <w:r w:rsidR="00021FDD" w:rsidRPr="00952E2B">
          <w:rPr>
            <w:rStyle w:val="Hypertextovodkaz"/>
            <w:noProof/>
          </w:rPr>
          <w:t>Graf 56: KS – vyřizování věcí v letech 2008–2020, pouze rejstřík Cm</w:t>
        </w:r>
        <w:r w:rsidR="00021FDD">
          <w:rPr>
            <w:noProof/>
            <w:webHidden/>
          </w:rPr>
          <w:tab/>
        </w:r>
        <w:r w:rsidR="00021FDD">
          <w:rPr>
            <w:noProof/>
            <w:webHidden/>
          </w:rPr>
          <w:fldChar w:fldCharType="begin"/>
        </w:r>
        <w:r w:rsidR="00021FDD">
          <w:rPr>
            <w:noProof/>
            <w:webHidden/>
          </w:rPr>
          <w:instrText xml:space="preserve"> PAGEREF _Toc75952236 \h </w:instrText>
        </w:r>
        <w:r w:rsidR="00021FDD">
          <w:rPr>
            <w:noProof/>
            <w:webHidden/>
          </w:rPr>
        </w:r>
        <w:r w:rsidR="00021FDD">
          <w:rPr>
            <w:noProof/>
            <w:webHidden/>
          </w:rPr>
          <w:fldChar w:fldCharType="separate"/>
        </w:r>
        <w:r w:rsidR="00021FDD">
          <w:rPr>
            <w:noProof/>
            <w:webHidden/>
          </w:rPr>
          <w:t>96</w:t>
        </w:r>
        <w:r w:rsidR="00021FDD">
          <w:rPr>
            <w:noProof/>
            <w:webHidden/>
          </w:rPr>
          <w:fldChar w:fldCharType="end"/>
        </w:r>
      </w:hyperlink>
    </w:p>
    <w:p w14:paraId="16D04D05" w14:textId="1CA8CFA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7" w:history="1">
        <w:r w:rsidR="00021FDD" w:rsidRPr="00952E2B">
          <w:rPr>
            <w:rStyle w:val="Hypertextovodkaz"/>
            <w:noProof/>
          </w:rPr>
          <w:t>Graf 57: KS – DT prvostupňového civilního řízení v letech 2008–2020</w:t>
        </w:r>
        <w:r w:rsidR="00021FDD">
          <w:rPr>
            <w:noProof/>
            <w:webHidden/>
          </w:rPr>
          <w:tab/>
        </w:r>
        <w:r w:rsidR="00021FDD">
          <w:rPr>
            <w:noProof/>
            <w:webHidden/>
          </w:rPr>
          <w:fldChar w:fldCharType="begin"/>
        </w:r>
        <w:r w:rsidR="00021FDD">
          <w:rPr>
            <w:noProof/>
            <w:webHidden/>
          </w:rPr>
          <w:instrText xml:space="preserve"> PAGEREF _Toc75952237 \h </w:instrText>
        </w:r>
        <w:r w:rsidR="00021FDD">
          <w:rPr>
            <w:noProof/>
            <w:webHidden/>
          </w:rPr>
        </w:r>
        <w:r w:rsidR="00021FDD">
          <w:rPr>
            <w:noProof/>
            <w:webHidden/>
          </w:rPr>
          <w:fldChar w:fldCharType="separate"/>
        </w:r>
        <w:r w:rsidR="00021FDD">
          <w:rPr>
            <w:noProof/>
            <w:webHidden/>
          </w:rPr>
          <w:t>99</w:t>
        </w:r>
        <w:r w:rsidR="00021FDD">
          <w:rPr>
            <w:noProof/>
            <w:webHidden/>
          </w:rPr>
          <w:fldChar w:fldCharType="end"/>
        </w:r>
      </w:hyperlink>
    </w:p>
    <w:p w14:paraId="50276B8B" w14:textId="3B2F4ED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8" w:history="1">
        <w:r w:rsidR="00021FDD" w:rsidRPr="00952E2B">
          <w:rPr>
            <w:rStyle w:val="Hypertextovodkaz"/>
            <w:noProof/>
          </w:rPr>
          <w:t>Graf 58: KS – délka odvolacího civilního řízení v letech 2010–2020</w:t>
        </w:r>
        <w:r w:rsidR="00021FDD">
          <w:rPr>
            <w:noProof/>
            <w:webHidden/>
          </w:rPr>
          <w:tab/>
        </w:r>
        <w:r w:rsidR="00021FDD">
          <w:rPr>
            <w:noProof/>
            <w:webHidden/>
          </w:rPr>
          <w:fldChar w:fldCharType="begin"/>
        </w:r>
        <w:r w:rsidR="00021FDD">
          <w:rPr>
            <w:noProof/>
            <w:webHidden/>
          </w:rPr>
          <w:instrText xml:space="preserve"> PAGEREF _Toc75952238 \h </w:instrText>
        </w:r>
        <w:r w:rsidR="00021FDD">
          <w:rPr>
            <w:noProof/>
            <w:webHidden/>
          </w:rPr>
        </w:r>
        <w:r w:rsidR="00021FDD">
          <w:rPr>
            <w:noProof/>
            <w:webHidden/>
          </w:rPr>
          <w:fldChar w:fldCharType="separate"/>
        </w:r>
        <w:r w:rsidR="00021FDD">
          <w:rPr>
            <w:noProof/>
            <w:webHidden/>
          </w:rPr>
          <w:t>103</w:t>
        </w:r>
        <w:r w:rsidR="00021FDD">
          <w:rPr>
            <w:noProof/>
            <w:webHidden/>
          </w:rPr>
          <w:fldChar w:fldCharType="end"/>
        </w:r>
      </w:hyperlink>
    </w:p>
    <w:p w14:paraId="13558C37" w14:textId="2062BFC2"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39" w:history="1">
        <w:r w:rsidR="00021FDD" w:rsidRPr="00952E2B">
          <w:rPr>
            <w:rStyle w:val="Hypertextovodkaz"/>
            <w:noProof/>
          </w:rPr>
          <w:t>Graf 59: KS – distribuce délek odvolacího civilního řízení</w:t>
        </w:r>
        <w:r w:rsidR="00021FDD">
          <w:rPr>
            <w:noProof/>
            <w:webHidden/>
          </w:rPr>
          <w:tab/>
        </w:r>
        <w:r w:rsidR="00021FDD">
          <w:rPr>
            <w:noProof/>
            <w:webHidden/>
          </w:rPr>
          <w:fldChar w:fldCharType="begin"/>
        </w:r>
        <w:r w:rsidR="00021FDD">
          <w:rPr>
            <w:noProof/>
            <w:webHidden/>
          </w:rPr>
          <w:instrText xml:space="preserve"> PAGEREF _Toc75952239 \h </w:instrText>
        </w:r>
        <w:r w:rsidR="00021FDD">
          <w:rPr>
            <w:noProof/>
            <w:webHidden/>
          </w:rPr>
        </w:r>
        <w:r w:rsidR="00021FDD">
          <w:rPr>
            <w:noProof/>
            <w:webHidden/>
          </w:rPr>
          <w:fldChar w:fldCharType="separate"/>
        </w:r>
        <w:r w:rsidR="00021FDD">
          <w:rPr>
            <w:noProof/>
            <w:webHidden/>
          </w:rPr>
          <w:t>105</w:t>
        </w:r>
        <w:r w:rsidR="00021FDD">
          <w:rPr>
            <w:noProof/>
            <w:webHidden/>
          </w:rPr>
          <w:fldChar w:fldCharType="end"/>
        </w:r>
      </w:hyperlink>
    </w:p>
    <w:p w14:paraId="53F0CFDA" w14:textId="7E979A7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0" w:history="1">
        <w:r w:rsidR="00021FDD" w:rsidRPr="00952E2B">
          <w:rPr>
            <w:rStyle w:val="Hypertextovodkaz"/>
            <w:noProof/>
          </w:rPr>
          <w:t>Graf 60: KS – vyřizování odvolacích civilních věcí v letech 2008–2020</w:t>
        </w:r>
        <w:r w:rsidR="00021FDD">
          <w:rPr>
            <w:noProof/>
            <w:webHidden/>
          </w:rPr>
          <w:tab/>
        </w:r>
        <w:r w:rsidR="00021FDD">
          <w:rPr>
            <w:noProof/>
            <w:webHidden/>
          </w:rPr>
          <w:fldChar w:fldCharType="begin"/>
        </w:r>
        <w:r w:rsidR="00021FDD">
          <w:rPr>
            <w:noProof/>
            <w:webHidden/>
          </w:rPr>
          <w:instrText xml:space="preserve"> PAGEREF _Toc75952240 \h </w:instrText>
        </w:r>
        <w:r w:rsidR="00021FDD">
          <w:rPr>
            <w:noProof/>
            <w:webHidden/>
          </w:rPr>
        </w:r>
        <w:r w:rsidR="00021FDD">
          <w:rPr>
            <w:noProof/>
            <w:webHidden/>
          </w:rPr>
          <w:fldChar w:fldCharType="separate"/>
        </w:r>
        <w:r w:rsidR="00021FDD">
          <w:rPr>
            <w:noProof/>
            <w:webHidden/>
          </w:rPr>
          <w:t>105</w:t>
        </w:r>
        <w:r w:rsidR="00021FDD">
          <w:rPr>
            <w:noProof/>
            <w:webHidden/>
          </w:rPr>
          <w:fldChar w:fldCharType="end"/>
        </w:r>
      </w:hyperlink>
    </w:p>
    <w:p w14:paraId="5862CF09" w14:textId="53AFEDB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1" w:history="1">
        <w:r w:rsidR="00021FDD" w:rsidRPr="00952E2B">
          <w:rPr>
            <w:rStyle w:val="Hypertextovodkaz"/>
            <w:noProof/>
          </w:rPr>
          <w:t>Graf 61: KS – DT odvolacího civilního řízení v letech 2008–2020</w:t>
        </w:r>
        <w:r w:rsidR="00021FDD">
          <w:rPr>
            <w:noProof/>
            <w:webHidden/>
          </w:rPr>
          <w:tab/>
        </w:r>
        <w:r w:rsidR="00021FDD">
          <w:rPr>
            <w:noProof/>
            <w:webHidden/>
          </w:rPr>
          <w:fldChar w:fldCharType="begin"/>
        </w:r>
        <w:r w:rsidR="00021FDD">
          <w:rPr>
            <w:noProof/>
            <w:webHidden/>
          </w:rPr>
          <w:instrText xml:space="preserve"> PAGEREF _Toc75952241 \h </w:instrText>
        </w:r>
        <w:r w:rsidR="00021FDD">
          <w:rPr>
            <w:noProof/>
            <w:webHidden/>
          </w:rPr>
        </w:r>
        <w:r w:rsidR="00021FDD">
          <w:rPr>
            <w:noProof/>
            <w:webHidden/>
          </w:rPr>
          <w:fldChar w:fldCharType="separate"/>
        </w:r>
        <w:r w:rsidR="00021FDD">
          <w:rPr>
            <w:noProof/>
            <w:webHidden/>
          </w:rPr>
          <w:t>108</w:t>
        </w:r>
        <w:r w:rsidR="00021FDD">
          <w:rPr>
            <w:noProof/>
            <w:webHidden/>
          </w:rPr>
          <w:fldChar w:fldCharType="end"/>
        </w:r>
      </w:hyperlink>
    </w:p>
    <w:p w14:paraId="61AD7B3D" w14:textId="1475E87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2" w:history="1">
        <w:r w:rsidR="00021FDD" w:rsidRPr="00952E2B">
          <w:rPr>
            <w:rStyle w:val="Hypertextovodkaz"/>
            <w:noProof/>
          </w:rPr>
          <w:t>Graf 62: KS – délka prvostupňového trestního řízení v letech 2008–2020</w:t>
        </w:r>
        <w:r w:rsidR="00021FDD">
          <w:rPr>
            <w:noProof/>
            <w:webHidden/>
          </w:rPr>
          <w:tab/>
        </w:r>
        <w:r w:rsidR="00021FDD">
          <w:rPr>
            <w:noProof/>
            <w:webHidden/>
          </w:rPr>
          <w:fldChar w:fldCharType="begin"/>
        </w:r>
        <w:r w:rsidR="00021FDD">
          <w:rPr>
            <w:noProof/>
            <w:webHidden/>
          </w:rPr>
          <w:instrText xml:space="preserve"> PAGEREF _Toc75952242 \h </w:instrText>
        </w:r>
        <w:r w:rsidR="00021FDD">
          <w:rPr>
            <w:noProof/>
            <w:webHidden/>
          </w:rPr>
        </w:r>
        <w:r w:rsidR="00021FDD">
          <w:rPr>
            <w:noProof/>
            <w:webHidden/>
          </w:rPr>
          <w:fldChar w:fldCharType="separate"/>
        </w:r>
        <w:r w:rsidR="00021FDD">
          <w:rPr>
            <w:noProof/>
            <w:webHidden/>
          </w:rPr>
          <w:t>109</w:t>
        </w:r>
        <w:r w:rsidR="00021FDD">
          <w:rPr>
            <w:noProof/>
            <w:webHidden/>
          </w:rPr>
          <w:fldChar w:fldCharType="end"/>
        </w:r>
      </w:hyperlink>
    </w:p>
    <w:p w14:paraId="575DAD5F" w14:textId="29E9862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3" w:history="1">
        <w:r w:rsidR="00021FDD" w:rsidRPr="00952E2B">
          <w:rPr>
            <w:rStyle w:val="Hypertextovodkaz"/>
            <w:noProof/>
          </w:rPr>
          <w:t>Graf 63: KS – vyřizování prvostupňových trestních věcí v letech 2008–2020</w:t>
        </w:r>
        <w:r w:rsidR="00021FDD">
          <w:rPr>
            <w:noProof/>
            <w:webHidden/>
          </w:rPr>
          <w:tab/>
        </w:r>
        <w:r w:rsidR="00021FDD">
          <w:rPr>
            <w:noProof/>
            <w:webHidden/>
          </w:rPr>
          <w:fldChar w:fldCharType="begin"/>
        </w:r>
        <w:r w:rsidR="00021FDD">
          <w:rPr>
            <w:noProof/>
            <w:webHidden/>
          </w:rPr>
          <w:instrText xml:space="preserve"> PAGEREF _Toc75952243 \h </w:instrText>
        </w:r>
        <w:r w:rsidR="00021FDD">
          <w:rPr>
            <w:noProof/>
            <w:webHidden/>
          </w:rPr>
        </w:r>
        <w:r w:rsidR="00021FDD">
          <w:rPr>
            <w:noProof/>
            <w:webHidden/>
          </w:rPr>
          <w:fldChar w:fldCharType="separate"/>
        </w:r>
        <w:r w:rsidR="00021FDD">
          <w:rPr>
            <w:noProof/>
            <w:webHidden/>
          </w:rPr>
          <w:t>111</w:t>
        </w:r>
        <w:r w:rsidR="00021FDD">
          <w:rPr>
            <w:noProof/>
            <w:webHidden/>
          </w:rPr>
          <w:fldChar w:fldCharType="end"/>
        </w:r>
      </w:hyperlink>
    </w:p>
    <w:p w14:paraId="3FD10A07" w14:textId="139F610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4" w:history="1">
        <w:r w:rsidR="00021FDD" w:rsidRPr="00952E2B">
          <w:rPr>
            <w:rStyle w:val="Hypertextovodkaz"/>
            <w:noProof/>
          </w:rPr>
          <w:t>Graf 64: KS – DT prvostupňového trestního řízení v letech 2008–2020</w:t>
        </w:r>
        <w:r w:rsidR="00021FDD">
          <w:rPr>
            <w:noProof/>
            <w:webHidden/>
          </w:rPr>
          <w:tab/>
        </w:r>
        <w:r w:rsidR="00021FDD">
          <w:rPr>
            <w:noProof/>
            <w:webHidden/>
          </w:rPr>
          <w:fldChar w:fldCharType="begin"/>
        </w:r>
        <w:r w:rsidR="00021FDD">
          <w:rPr>
            <w:noProof/>
            <w:webHidden/>
          </w:rPr>
          <w:instrText xml:space="preserve"> PAGEREF _Toc75952244 \h </w:instrText>
        </w:r>
        <w:r w:rsidR="00021FDD">
          <w:rPr>
            <w:noProof/>
            <w:webHidden/>
          </w:rPr>
        </w:r>
        <w:r w:rsidR="00021FDD">
          <w:rPr>
            <w:noProof/>
            <w:webHidden/>
          </w:rPr>
          <w:fldChar w:fldCharType="separate"/>
        </w:r>
        <w:r w:rsidR="00021FDD">
          <w:rPr>
            <w:noProof/>
            <w:webHidden/>
          </w:rPr>
          <w:t>113</w:t>
        </w:r>
        <w:r w:rsidR="00021FDD">
          <w:rPr>
            <w:noProof/>
            <w:webHidden/>
          </w:rPr>
          <w:fldChar w:fldCharType="end"/>
        </w:r>
      </w:hyperlink>
    </w:p>
    <w:p w14:paraId="517A7354" w14:textId="4D29FDD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5" w:history="1">
        <w:r w:rsidR="00021FDD" w:rsidRPr="00952E2B">
          <w:rPr>
            <w:rStyle w:val="Hypertextovodkaz"/>
            <w:noProof/>
          </w:rPr>
          <w:t>Graf 65: KS – délka odvolacího trestního řízení v letech 2008–2020</w:t>
        </w:r>
        <w:r w:rsidR="00021FDD">
          <w:rPr>
            <w:noProof/>
            <w:webHidden/>
          </w:rPr>
          <w:tab/>
        </w:r>
        <w:r w:rsidR="00021FDD">
          <w:rPr>
            <w:noProof/>
            <w:webHidden/>
          </w:rPr>
          <w:fldChar w:fldCharType="begin"/>
        </w:r>
        <w:r w:rsidR="00021FDD">
          <w:rPr>
            <w:noProof/>
            <w:webHidden/>
          </w:rPr>
          <w:instrText xml:space="preserve"> PAGEREF _Toc75952245 \h </w:instrText>
        </w:r>
        <w:r w:rsidR="00021FDD">
          <w:rPr>
            <w:noProof/>
            <w:webHidden/>
          </w:rPr>
        </w:r>
        <w:r w:rsidR="00021FDD">
          <w:rPr>
            <w:noProof/>
            <w:webHidden/>
          </w:rPr>
          <w:fldChar w:fldCharType="separate"/>
        </w:r>
        <w:r w:rsidR="00021FDD">
          <w:rPr>
            <w:noProof/>
            <w:webHidden/>
          </w:rPr>
          <w:t>116</w:t>
        </w:r>
        <w:r w:rsidR="00021FDD">
          <w:rPr>
            <w:noProof/>
            <w:webHidden/>
          </w:rPr>
          <w:fldChar w:fldCharType="end"/>
        </w:r>
      </w:hyperlink>
    </w:p>
    <w:p w14:paraId="61A72D9D" w14:textId="5F5B519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6" w:history="1">
        <w:r w:rsidR="00021FDD" w:rsidRPr="00952E2B">
          <w:rPr>
            <w:rStyle w:val="Hypertextovodkaz"/>
            <w:noProof/>
          </w:rPr>
          <w:t>Graf 66: KS – distribuce délek trestního odvolacího řízení</w:t>
        </w:r>
        <w:r w:rsidR="00021FDD">
          <w:rPr>
            <w:noProof/>
            <w:webHidden/>
          </w:rPr>
          <w:tab/>
        </w:r>
        <w:r w:rsidR="00021FDD">
          <w:rPr>
            <w:noProof/>
            <w:webHidden/>
          </w:rPr>
          <w:fldChar w:fldCharType="begin"/>
        </w:r>
        <w:r w:rsidR="00021FDD">
          <w:rPr>
            <w:noProof/>
            <w:webHidden/>
          </w:rPr>
          <w:instrText xml:space="preserve"> PAGEREF _Toc75952246 \h </w:instrText>
        </w:r>
        <w:r w:rsidR="00021FDD">
          <w:rPr>
            <w:noProof/>
            <w:webHidden/>
          </w:rPr>
        </w:r>
        <w:r w:rsidR="00021FDD">
          <w:rPr>
            <w:noProof/>
            <w:webHidden/>
          </w:rPr>
          <w:fldChar w:fldCharType="separate"/>
        </w:r>
        <w:r w:rsidR="00021FDD">
          <w:rPr>
            <w:noProof/>
            <w:webHidden/>
          </w:rPr>
          <w:t>117</w:t>
        </w:r>
        <w:r w:rsidR="00021FDD">
          <w:rPr>
            <w:noProof/>
            <w:webHidden/>
          </w:rPr>
          <w:fldChar w:fldCharType="end"/>
        </w:r>
      </w:hyperlink>
    </w:p>
    <w:p w14:paraId="658DC08A" w14:textId="489F011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7" w:history="1">
        <w:r w:rsidR="00021FDD" w:rsidRPr="00952E2B">
          <w:rPr>
            <w:rStyle w:val="Hypertextovodkaz"/>
            <w:noProof/>
          </w:rPr>
          <w:t>Graf 67: KS – vyřizování odvolacích trestních věcí v letech 2008–2020</w:t>
        </w:r>
        <w:r w:rsidR="00021FDD">
          <w:rPr>
            <w:noProof/>
            <w:webHidden/>
          </w:rPr>
          <w:tab/>
        </w:r>
        <w:r w:rsidR="00021FDD">
          <w:rPr>
            <w:noProof/>
            <w:webHidden/>
          </w:rPr>
          <w:fldChar w:fldCharType="begin"/>
        </w:r>
        <w:r w:rsidR="00021FDD">
          <w:rPr>
            <w:noProof/>
            <w:webHidden/>
          </w:rPr>
          <w:instrText xml:space="preserve"> PAGEREF _Toc75952247 \h </w:instrText>
        </w:r>
        <w:r w:rsidR="00021FDD">
          <w:rPr>
            <w:noProof/>
            <w:webHidden/>
          </w:rPr>
        </w:r>
        <w:r w:rsidR="00021FDD">
          <w:rPr>
            <w:noProof/>
            <w:webHidden/>
          </w:rPr>
          <w:fldChar w:fldCharType="separate"/>
        </w:r>
        <w:r w:rsidR="00021FDD">
          <w:rPr>
            <w:noProof/>
            <w:webHidden/>
          </w:rPr>
          <w:t>118</w:t>
        </w:r>
        <w:r w:rsidR="00021FDD">
          <w:rPr>
            <w:noProof/>
            <w:webHidden/>
          </w:rPr>
          <w:fldChar w:fldCharType="end"/>
        </w:r>
      </w:hyperlink>
    </w:p>
    <w:p w14:paraId="0A206C8A" w14:textId="2A9AB67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8" w:history="1">
        <w:r w:rsidR="00021FDD" w:rsidRPr="00952E2B">
          <w:rPr>
            <w:rStyle w:val="Hypertextovodkaz"/>
            <w:noProof/>
          </w:rPr>
          <w:t>Graf 68: KS – DT odvolacího trestního řízení v letech 2008–2020</w:t>
        </w:r>
        <w:r w:rsidR="00021FDD">
          <w:rPr>
            <w:noProof/>
            <w:webHidden/>
          </w:rPr>
          <w:tab/>
        </w:r>
        <w:r w:rsidR="00021FDD">
          <w:rPr>
            <w:noProof/>
            <w:webHidden/>
          </w:rPr>
          <w:fldChar w:fldCharType="begin"/>
        </w:r>
        <w:r w:rsidR="00021FDD">
          <w:rPr>
            <w:noProof/>
            <w:webHidden/>
          </w:rPr>
          <w:instrText xml:space="preserve"> PAGEREF _Toc75952248 \h </w:instrText>
        </w:r>
        <w:r w:rsidR="00021FDD">
          <w:rPr>
            <w:noProof/>
            <w:webHidden/>
          </w:rPr>
        </w:r>
        <w:r w:rsidR="00021FDD">
          <w:rPr>
            <w:noProof/>
            <w:webHidden/>
          </w:rPr>
          <w:fldChar w:fldCharType="separate"/>
        </w:r>
        <w:r w:rsidR="00021FDD">
          <w:rPr>
            <w:noProof/>
            <w:webHidden/>
          </w:rPr>
          <w:t>120</w:t>
        </w:r>
        <w:r w:rsidR="00021FDD">
          <w:rPr>
            <w:noProof/>
            <w:webHidden/>
          </w:rPr>
          <w:fldChar w:fldCharType="end"/>
        </w:r>
      </w:hyperlink>
    </w:p>
    <w:p w14:paraId="18F0AE05" w14:textId="1C75475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49" w:history="1">
        <w:r w:rsidR="00021FDD" w:rsidRPr="00952E2B">
          <w:rPr>
            <w:rStyle w:val="Hypertextovodkaz"/>
            <w:noProof/>
          </w:rPr>
          <w:t>Graf 69: KS – délka správního řízení u KS v letech 2008–2020</w:t>
        </w:r>
        <w:r w:rsidR="00021FDD">
          <w:rPr>
            <w:noProof/>
            <w:webHidden/>
          </w:rPr>
          <w:tab/>
        </w:r>
        <w:r w:rsidR="00021FDD">
          <w:rPr>
            <w:noProof/>
            <w:webHidden/>
          </w:rPr>
          <w:fldChar w:fldCharType="begin"/>
        </w:r>
        <w:r w:rsidR="00021FDD">
          <w:rPr>
            <w:noProof/>
            <w:webHidden/>
          </w:rPr>
          <w:instrText xml:space="preserve"> PAGEREF _Toc75952249 \h </w:instrText>
        </w:r>
        <w:r w:rsidR="00021FDD">
          <w:rPr>
            <w:noProof/>
            <w:webHidden/>
          </w:rPr>
        </w:r>
        <w:r w:rsidR="00021FDD">
          <w:rPr>
            <w:noProof/>
            <w:webHidden/>
          </w:rPr>
          <w:fldChar w:fldCharType="separate"/>
        </w:r>
        <w:r w:rsidR="00021FDD">
          <w:rPr>
            <w:noProof/>
            <w:webHidden/>
          </w:rPr>
          <w:t>122</w:t>
        </w:r>
        <w:r w:rsidR="00021FDD">
          <w:rPr>
            <w:noProof/>
            <w:webHidden/>
          </w:rPr>
          <w:fldChar w:fldCharType="end"/>
        </w:r>
      </w:hyperlink>
    </w:p>
    <w:p w14:paraId="6450BF05" w14:textId="5D7B1FD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0" w:history="1">
        <w:r w:rsidR="00021FDD" w:rsidRPr="00952E2B">
          <w:rPr>
            <w:rStyle w:val="Hypertextovodkaz"/>
            <w:noProof/>
          </w:rPr>
          <w:t>Graf 70: KS – distribuce délek správního řízení</w:t>
        </w:r>
        <w:r w:rsidR="00021FDD">
          <w:rPr>
            <w:noProof/>
            <w:webHidden/>
          </w:rPr>
          <w:tab/>
        </w:r>
        <w:r w:rsidR="00021FDD">
          <w:rPr>
            <w:noProof/>
            <w:webHidden/>
          </w:rPr>
          <w:fldChar w:fldCharType="begin"/>
        </w:r>
        <w:r w:rsidR="00021FDD">
          <w:rPr>
            <w:noProof/>
            <w:webHidden/>
          </w:rPr>
          <w:instrText xml:space="preserve"> PAGEREF _Toc75952250 \h </w:instrText>
        </w:r>
        <w:r w:rsidR="00021FDD">
          <w:rPr>
            <w:noProof/>
            <w:webHidden/>
          </w:rPr>
        </w:r>
        <w:r w:rsidR="00021FDD">
          <w:rPr>
            <w:noProof/>
            <w:webHidden/>
          </w:rPr>
          <w:fldChar w:fldCharType="separate"/>
        </w:r>
        <w:r w:rsidR="00021FDD">
          <w:rPr>
            <w:noProof/>
            <w:webHidden/>
          </w:rPr>
          <w:t>124</w:t>
        </w:r>
        <w:r w:rsidR="00021FDD">
          <w:rPr>
            <w:noProof/>
            <w:webHidden/>
          </w:rPr>
          <w:fldChar w:fldCharType="end"/>
        </w:r>
      </w:hyperlink>
    </w:p>
    <w:p w14:paraId="08BD0E6B" w14:textId="3101276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1" w:history="1">
        <w:r w:rsidR="00021FDD" w:rsidRPr="00952E2B">
          <w:rPr>
            <w:rStyle w:val="Hypertextovodkaz"/>
            <w:noProof/>
          </w:rPr>
          <w:t>Graf 71: KS – vyřizování správních věcí v letech 2008–2020</w:t>
        </w:r>
        <w:r w:rsidR="00021FDD">
          <w:rPr>
            <w:noProof/>
            <w:webHidden/>
          </w:rPr>
          <w:tab/>
        </w:r>
        <w:r w:rsidR="00021FDD">
          <w:rPr>
            <w:noProof/>
            <w:webHidden/>
          </w:rPr>
          <w:fldChar w:fldCharType="begin"/>
        </w:r>
        <w:r w:rsidR="00021FDD">
          <w:rPr>
            <w:noProof/>
            <w:webHidden/>
          </w:rPr>
          <w:instrText xml:space="preserve"> PAGEREF _Toc75952251 \h </w:instrText>
        </w:r>
        <w:r w:rsidR="00021FDD">
          <w:rPr>
            <w:noProof/>
            <w:webHidden/>
          </w:rPr>
        </w:r>
        <w:r w:rsidR="00021FDD">
          <w:rPr>
            <w:noProof/>
            <w:webHidden/>
          </w:rPr>
          <w:fldChar w:fldCharType="separate"/>
        </w:r>
        <w:r w:rsidR="00021FDD">
          <w:rPr>
            <w:noProof/>
            <w:webHidden/>
          </w:rPr>
          <w:t>125</w:t>
        </w:r>
        <w:r w:rsidR="00021FDD">
          <w:rPr>
            <w:noProof/>
            <w:webHidden/>
          </w:rPr>
          <w:fldChar w:fldCharType="end"/>
        </w:r>
      </w:hyperlink>
    </w:p>
    <w:p w14:paraId="57DECC0D" w14:textId="2052FC9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2" w:history="1">
        <w:r w:rsidR="00021FDD" w:rsidRPr="00952E2B">
          <w:rPr>
            <w:rStyle w:val="Hypertextovodkaz"/>
            <w:noProof/>
          </w:rPr>
          <w:t>Graf 72: KS – vývoj počtu příchozích věcí dle agend správního soudnictví</w:t>
        </w:r>
        <w:r w:rsidR="00021FDD">
          <w:rPr>
            <w:noProof/>
            <w:webHidden/>
          </w:rPr>
          <w:tab/>
        </w:r>
        <w:r w:rsidR="00021FDD">
          <w:rPr>
            <w:noProof/>
            <w:webHidden/>
          </w:rPr>
          <w:fldChar w:fldCharType="begin"/>
        </w:r>
        <w:r w:rsidR="00021FDD">
          <w:rPr>
            <w:noProof/>
            <w:webHidden/>
          </w:rPr>
          <w:instrText xml:space="preserve"> PAGEREF _Toc75952252 \h </w:instrText>
        </w:r>
        <w:r w:rsidR="00021FDD">
          <w:rPr>
            <w:noProof/>
            <w:webHidden/>
          </w:rPr>
        </w:r>
        <w:r w:rsidR="00021FDD">
          <w:rPr>
            <w:noProof/>
            <w:webHidden/>
          </w:rPr>
          <w:fldChar w:fldCharType="separate"/>
        </w:r>
        <w:r w:rsidR="00021FDD">
          <w:rPr>
            <w:noProof/>
            <w:webHidden/>
          </w:rPr>
          <w:t>126</w:t>
        </w:r>
        <w:r w:rsidR="00021FDD">
          <w:rPr>
            <w:noProof/>
            <w:webHidden/>
          </w:rPr>
          <w:fldChar w:fldCharType="end"/>
        </w:r>
      </w:hyperlink>
    </w:p>
    <w:p w14:paraId="1946FCDF" w14:textId="6DD45E1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3" w:history="1">
        <w:r w:rsidR="00021FDD" w:rsidRPr="00952E2B">
          <w:rPr>
            <w:rStyle w:val="Hypertextovodkaz"/>
            <w:noProof/>
          </w:rPr>
          <w:t>Graf 73: KS – DT správního řízení v letech 2008–2020</w:t>
        </w:r>
        <w:r w:rsidR="00021FDD">
          <w:rPr>
            <w:noProof/>
            <w:webHidden/>
          </w:rPr>
          <w:tab/>
        </w:r>
        <w:r w:rsidR="00021FDD">
          <w:rPr>
            <w:noProof/>
            <w:webHidden/>
          </w:rPr>
          <w:fldChar w:fldCharType="begin"/>
        </w:r>
        <w:r w:rsidR="00021FDD">
          <w:rPr>
            <w:noProof/>
            <w:webHidden/>
          </w:rPr>
          <w:instrText xml:space="preserve"> PAGEREF _Toc75952253 \h </w:instrText>
        </w:r>
        <w:r w:rsidR="00021FDD">
          <w:rPr>
            <w:noProof/>
            <w:webHidden/>
          </w:rPr>
        </w:r>
        <w:r w:rsidR="00021FDD">
          <w:rPr>
            <w:noProof/>
            <w:webHidden/>
          </w:rPr>
          <w:fldChar w:fldCharType="separate"/>
        </w:r>
        <w:r w:rsidR="00021FDD">
          <w:rPr>
            <w:noProof/>
            <w:webHidden/>
          </w:rPr>
          <w:t>129</w:t>
        </w:r>
        <w:r w:rsidR="00021FDD">
          <w:rPr>
            <w:noProof/>
            <w:webHidden/>
          </w:rPr>
          <w:fldChar w:fldCharType="end"/>
        </w:r>
      </w:hyperlink>
    </w:p>
    <w:p w14:paraId="535FAAF0" w14:textId="50173B2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4" w:history="1">
        <w:r w:rsidR="00021FDD" w:rsidRPr="00952E2B">
          <w:rPr>
            <w:rStyle w:val="Hypertextovodkaz"/>
            <w:noProof/>
          </w:rPr>
          <w:t>Graf 74: KS – délka insolvenčního řízení v letech 2008–2020</w:t>
        </w:r>
        <w:r w:rsidR="00021FDD">
          <w:rPr>
            <w:noProof/>
            <w:webHidden/>
          </w:rPr>
          <w:tab/>
        </w:r>
        <w:r w:rsidR="00021FDD">
          <w:rPr>
            <w:noProof/>
            <w:webHidden/>
          </w:rPr>
          <w:fldChar w:fldCharType="begin"/>
        </w:r>
        <w:r w:rsidR="00021FDD">
          <w:rPr>
            <w:noProof/>
            <w:webHidden/>
          </w:rPr>
          <w:instrText xml:space="preserve"> PAGEREF _Toc75952254 \h </w:instrText>
        </w:r>
        <w:r w:rsidR="00021FDD">
          <w:rPr>
            <w:noProof/>
            <w:webHidden/>
          </w:rPr>
        </w:r>
        <w:r w:rsidR="00021FDD">
          <w:rPr>
            <w:noProof/>
            <w:webHidden/>
          </w:rPr>
          <w:fldChar w:fldCharType="separate"/>
        </w:r>
        <w:r w:rsidR="00021FDD">
          <w:rPr>
            <w:noProof/>
            <w:webHidden/>
          </w:rPr>
          <w:t>131</w:t>
        </w:r>
        <w:r w:rsidR="00021FDD">
          <w:rPr>
            <w:noProof/>
            <w:webHidden/>
          </w:rPr>
          <w:fldChar w:fldCharType="end"/>
        </w:r>
      </w:hyperlink>
    </w:p>
    <w:p w14:paraId="182D8E4F" w14:textId="18F88DD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5" w:history="1">
        <w:r w:rsidR="00021FDD" w:rsidRPr="00952E2B">
          <w:rPr>
            <w:rStyle w:val="Hypertextovodkaz"/>
            <w:noProof/>
          </w:rPr>
          <w:t>Graf 75: KS – délka druhé fáze insolvenčního řízení u PO v letech 2010–2020</w:t>
        </w:r>
        <w:r w:rsidR="00021FDD">
          <w:rPr>
            <w:noProof/>
            <w:webHidden/>
          </w:rPr>
          <w:tab/>
        </w:r>
        <w:r w:rsidR="00021FDD">
          <w:rPr>
            <w:noProof/>
            <w:webHidden/>
          </w:rPr>
          <w:fldChar w:fldCharType="begin"/>
        </w:r>
        <w:r w:rsidR="00021FDD">
          <w:rPr>
            <w:noProof/>
            <w:webHidden/>
          </w:rPr>
          <w:instrText xml:space="preserve"> PAGEREF _Toc75952255 \h </w:instrText>
        </w:r>
        <w:r w:rsidR="00021FDD">
          <w:rPr>
            <w:noProof/>
            <w:webHidden/>
          </w:rPr>
        </w:r>
        <w:r w:rsidR="00021FDD">
          <w:rPr>
            <w:noProof/>
            <w:webHidden/>
          </w:rPr>
          <w:fldChar w:fldCharType="separate"/>
        </w:r>
        <w:r w:rsidR="00021FDD">
          <w:rPr>
            <w:noProof/>
            <w:webHidden/>
          </w:rPr>
          <w:t>133</w:t>
        </w:r>
        <w:r w:rsidR="00021FDD">
          <w:rPr>
            <w:noProof/>
            <w:webHidden/>
          </w:rPr>
          <w:fldChar w:fldCharType="end"/>
        </w:r>
      </w:hyperlink>
    </w:p>
    <w:p w14:paraId="26B92D5D" w14:textId="7CC0EAD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6" w:history="1">
        <w:r w:rsidR="00021FDD" w:rsidRPr="00952E2B">
          <w:rPr>
            <w:rStyle w:val="Hypertextovodkaz"/>
            <w:noProof/>
          </w:rPr>
          <w:t>Graf 76: KS – délka druhé fáze insolvenčního řízení u FO v letech 2010–2020</w:t>
        </w:r>
        <w:r w:rsidR="00021FDD">
          <w:rPr>
            <w:noProof/>
            <w:webHidden/>
          </w:rPr>
          <w:tab/>
        </w:r>
        <w:r w:rsidR="00021FDD">
          <w:rPr>
            <w:noProof/>
            <w:webHidden/>
          </w:rPr>
          <w:fldChar w:fldCharType="begin"/>
        </w:r>
        <w:r w:rsidR="00021FDD">
          <w:rPr>
            <w:noProof/>
            <w:webHidden/>
          </w:rPr>
          <w:instrText xml:space="preserve"> PAGEREF _Toc75952256 \h </w:instrText>
        </w:r>
        <w:r w:rsidR="00021FDD">
          <w:rPr>
            <w:noProof/>
            <w:webHidden/>
          </w:rPr>
        </w:r>
        <w:r w:rsidR="00021FDD">
          <w:rPr>
            <w:noProof/>
            <w:webHidden/>
          </w:rPr>
          <w:fldChar w:fldCharType="separate"/>
        </w:r>
        <w:r w:rsidR="00021FDD">
          <w:rPr>
            <w:noProof/>
            <w:webHidden/>
          </w:rPr>
          <w:t>134</w:t>
        </w:r>
        <w:r w:rsidR="00021FDD">
          <w:rPr>
            <w:noProof/>
            <w:webHidden/>
          </w:rPr>
          <w:fldChar w:fldCharType="end"/>
        </w:r>
      </w:hyperlink>
    </w:p>
    <w:p w14:paraId="290E1943" w14:textId="12E3942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7" w:history="1">
        <w:r w:rsidR="00021FDD" w:rsidRPr="00952E2B">
          <w:rPr>
            <w:rStyle w:val="Hypertextovodkaz"/>
            <w:noProof/>
          </w:rPr>
          <w:t>Graf 77: KS – vyřizování insolvenčních věcí v letech 2008–2020</w:t>
        </w:r>
        <w:r w:rsidR="00021FDD">
          <w:rPr>
            <w:noProof/>
            <w:webHidden/>
          </w:rPr>
          <w:tab/>
        </w:r>
        <w:r w:rsidR="00021FDD">
          <w:rPr>
            <w:noProof/>
            <w:webHidden/>
          </w:rPr>
          <w:fldChar w:fldCharType="begin"/>
        </w:r>
        <w:r w:rsidR="00021FDD">
          <w:rPr>
            <w:noProof/>
            <w:webHidden/>
          </w:rPr>
          <w:instrText xml:space="preserve"> PAGEREF _Toc75952257 \h </w:instrText>
        </w:r>
        <w:r w:rsidR="00021FDD">
          <w:rPr>
            <w:noProof/>
            <w:webHidden/>
          </w:rPr>
        </w:r>
        <w:r w:rsidR="00021FDD">
          <w:rPr>
            <w:noProof/>
            <w:webHidden/>
          </w:rPr>
          <w:fldChar w:fldCharType="separate"/>
        </w:r>
        <w:r w:rsidR="00021FDD">
          <w:rPr>
            <w:noProof/>
            <w:webHidden/>
          </w:rPr>
          <w:t>135</w:t>
        </w:r>
        <w:r w:rsidR="00021FDD">
          <w:rPr>
            <w:noProof/>
            <w:webHidden/>
          </w:rPr>
          <w:fldChar w:fldCharType="end"/>
        </w:r>
      </w:hyperlink>
    </w:p>
    <w:p w14:paraId="1CEBD5F7" w14:textId="22D5891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8" w:history="1">
        <w:r w:rsidR="00021FDD" w:rsidRPr="00952E2B">
          <w:rPr>
            <w:rStyle w:val="Hypertextovodkaz"/>
            <w:noProof/>
          </w:rPr>
          <w:t>Graf 78: KS – délka incidenčních sporů řízení v letech 2011–2020</w:t>
        </w:r>
        <w:r w:rsidR="00021FDD">
          <w:rPr>
            <w:noProof/>
            <w:webHidden/>
          </w:rPr>
          <w:tab/>
        </w:r>
        <w:r w:rsidR="00021FDD">
          <w:rPr>
            <w:noProof/>
            <w:webHidden/>
          </w:rPr>
          <w:fldChar w:fldCharType="begin"/>
        </w:r>
        <w:r w:rsidR="00021FDD">
          <w:rPr>
            <w:noProof/>
            <w:webHidden/>
          </w:rPr>
          <w:instrText xml:space="preserve"> PAGEREF _Toc75952258 \h </w:instrText>
        </w:r>
        <w:r w:rsidR="00021FDD">
          <w:rPr>
            <w:noProof/>
            <w:webHidden/>
          </w:rPr>
        </w:r>
        <w:r w:rsidR="00021FDD">
          <w:rPr>
            <w:noProof/>
            <w:webHidden/>
          </w:rPr>
          <w:fldChar w:fldCharType="separate"/>
        </w:r>
        <w:r w:rsidR="00021FDD">
          <w:rPr>
            <w:noProof/>
            <w:webHidden/>
          </w:rPr>
          <w:t>139</w:t>
        </w:r>
        <w:r w:rsidR="00021FDD">
          <w:rPr>
            <w:noProof/>
            <w:webHidden/>
          </w:rPr>
          <w:fldChar w:fldCharType="end"/>
        </w:r>
      </w:hyperlink>
    </w:p>
    <w:p w14:paraId="1E7C282B" w14:textId="7F6DC24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59" w:history="1">
        <w:r w:rsidR="00021FDD" w:rsidRPr="00952E2B">
          <w:rPr>
            <w:rStyle w:val="Hypertextovodkaz"/>
            <w:noProof/>
          </w:rPr>
          <w:t>Graf 79: KS – distribuce délek incidenčních sporů</w:t>
        </w:r>
        <w:r w:rsidR="00021FDD">
          <w:rPr>
            <w:noProof/>
            <w:webHidden/>
          </w:rPr>
          <w:tab/>
        </w:r>
        <w:r w:rsidR="00021FDD">
          <w:rPr>
            <w:noProof/>
            <w:webHidden/>
          </w:rPr>
          <w:fldChar w:fldCharType="begin"/>
        </w:r>
        <w:r w:rsidR="00021FDD">
          <w:rPr>
            <w:noProof/>
            <w:webHidden/>
          </w:rPr>
          <w:instrText xml:space="preserve"> PAGEREF _Toc75952259 \h </w:instrText>
        </w:r>
        <w:r w:rsidR="00021FDD">
          <w:rPr>
            <w:noProof/>
            <w:webHidden/>
          </w:rPr>
        </w:r>
        <w:r w:rsidR="00021FDD">
          <w:rPr>
            <w:noProof/>
            <w:webHidden/>
          </w:rPr>
          <w:fldChar w:fldCharType="separate"/>
        </w:r>
        <w:r w:rsidR="00021FDD">
          <w:rPr>
            <w:noProof/>
            <w:webHidden/>
          </w:rPr>
          <w:t>140</w:t>
        </w:r>
        <w:r w:rsidR="00021FDD">
          <w:rPr>
            <w:noProof/>
            <w:webHidden/>
          </w:rPr>
          <w:fldChar w:fldCharType="end"/>
        </w:r>
      </w:hyperlink>
    </w:p>
    <w:p w14:paraId="1C1DBF62" w14:textId="4C82796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0" w:history="1">
        <w:r w:rsidR="00021FDD" w:rsidRPr="00952E2B">
          <w:rPr>
            <w:rStyle w:val="Hypertextovodkaz"/>
            <w:noProof/>
          </w:rPr>
          <w:t>Graf 80: KS – vyřizování incidenčních sporů v letech 2011–2020</w:t>
        </w:r>
        <w:r w:rsidR="00021FDD">
          <w:rPr>
            <w:noProof/>
            <w:webHidden/>
          </w:rPr>
          <w:tab/>
        </w:r>
        <w:r w:rsidR="00021FDD">
          <w:rPr>
            <w:noProof/>
            <w:webHidden/>
          </w:rPr>
          <w:fldChar w:fldCharType="begin"/>
        </w:r>
        <w:r w:rsidR="00021FDD">
          <w:rPr>
            <w:noProof/>
            <w:webHidden/>
          </w:rPr>
          <w:instrText xml:space="preserve"> PAGEREF _Toc75952260 \h </w:instrText>
        </w:r>
        <w:r w:rsidR="00021FDD">
          <w:rPr>
            <w:noProof/>
            <w:webHidden/>
          </w:rPr>
        </w:r>
        <w:r w:rsidR="00021FDD">
          <w:rPr>
            <w:noProof/>
            <w:webHidden/>
          </w:rPr>
          <w:fldChar w:fldCharType="separate"/>
        </w:r>
        <w:r w:rsidR="00021FDD">
          <w:rPr>
            <w:noProof/>
            <w:webHidden/>
          </w:rPr>
          <w:t>141</w:t>
        </w:r>
        <w:r w:rsidR="00021FDD">
          <w:rPr>
            <w:noProof/>
            <w:webHidden/>
          </w:rPr>
          <w:fldChar w:fldCharType="end"/>
        </w:r>
      </w:hyperlink>
    </w:p>
    <w:p w14:paraId="3C43CA33" w14:textId="7419D5E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1" w:history="1">
        <w:r w:rsidR="00021FDD" w:rsidRPr="00952E2B">
          <w:rPr>
            <w:rStyle w:val="Hypertextovodkaz"/>
            <w:noProof/>
          </w:rPr>
          <w:t>Graf 81: KS – DT incidenčních sporů v letech 2011–2020</w:t>
        </w:r>
        <w:r w:rsidR="00021FDD">
          <w:rPr>
            <w:noProof/>
            <w:webHidden/>
          </w:rPr>
          <w:tab/>
        </w:r>
        <w:r w:rsidR="00021FDD">
          <w:rPr>
            <w:noProof/>
            <w:webHidden/>
          </w:rPr>
          <w:fldChar w:fldCharType="begin"/>
        </w:r>
        <w:r w:rsidR="00021FDD">
          <w:rPr>
            <w:noProof/>
            <w:webHidden/>
          </w:rPr>
          <w:instrText xml:space="preserve"> PAGEREF _Toc75952261 \h </w:instrText>
        </w:r>
        <w:r w:rsidR="00021FDD">
          <w:rPr>
            <w:noProof/>
            <w:webHidden/>
          </w:rPr>
        </w:r>
        <w:r w:rsidR="00021FDD">
          <w:rPr>
            <w:noProof/>
            <w:webHidden/>
          </w:rPr>
          <w:fldChar w:fldCharType="separate"/>
        </w:r>
        <w:r w:rsidR="00021FDD">
          <w:rPr>
            <w:noProof/>
            <w:webHidden/>
          </w:rPr>
          <w:t>143</w:t>
        </w:r>
        <w:r w:rsidR="00021FDD">
          <w:rPr>
            <w:noProof/>
            <w:webHidden/>
          </w:rPr>
          <w:fldChar w:fldCharType="end"/>
        </w:r>
      </w:hyperlink>
    </w:p>
    <w:p w14:paraId="0FB0D7D4" w14:textId="758EB52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2" w:history="1">
        <w:r w:rsidR="00021FDD" w:rsidRPr="00952E2B">
          <w:rPr>
            <w:rStyle w:val="Hypertextovodkaz"/>
            <w:noProof/>
          </w:rPr>
          <w:t>Graf 82: VS – počet soudců v letech 2008–2020</w:t>
        </w:r>
        <w:r w:rsidR="00021FDD">
          <w:rPr>
            <w:noProof/>
            <w:webHidden/>
          </w:rPr>
          <w:tab/>
        </w:r>
        <w:r w:rsidR="00021FDD">
          <w:rPr>
            <w:noProof/>
            <w:webHidden/>
          </w:rPr>
          <w:fldChar w:fldCharType="begin"/>
        </w:r>
        <w:r w:rsidR="00021FDD">
          <w:rPr>
            <w:noProof/>
            <w:webHidden/>
          </w:rPr>
          <w:instrText xml:space="preserve"> PAGEREF _Toc75952262 \h </w:instrText>
        </w:r>
        <w:r w:rsidR="00021FDD">
          <w:rPr>
            <w:noProof/>
            <w:webHidden/>
          </w:rPr>
        </w:r>
        <w:r w:rsidR="00021FDD">
          <w:rPr>
            <w:noProof/>
            <w:webHidden/>
          </w:rPr>
          <w:fldChar w:fldCharType="separate"/>
        </w:r>
        <w:r w:rsidR="00021FDD">
          <w:rPr>
            <w:noProof/>
            <w:webHidden/>
          </w:rPr>
          <w:t>145</w:t>
        </w:r>
        <w:r w:rsidR="00021FDD">
          <w:rPr>
            <w:noProof/>
            <w:webHidden/>
          </w:rPr>
          <w:fldChar w:fldCharType="end"/>
        </w:r>
      </w:hyperlink>
    </w:p>
    <w:p w14:paraId="0E549691" w14:textId="283A1E0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3" w:history="1">
        <w:r w:rsidR="00021FDD" w:rsidRPr="00952E2B">
          <w:rPr>
            <w:rStyle w:val="Hypertextovodkaz"/>
            <w:noProof/>
          </w:rPr>
          <w:t>Graf 83: VS – evidenční počet soudců dle soudních úseků v letech 2008–2019</w:t>
        </w:r>
        <w:r w:rsidR="00021FDD">
          <w:rPr>
            <w:noProof/>
            <w:webHidden/>
          </w:rPr>
          <w:tab/>
        </w:r>
        <w:r w:rsidR="00021FDD">
          <w:rPr>
            <w:noProof/>
            <w:webHidden/>
          </w:rPr>
          <w:fldChar w:fldCharType="begin"/>
        </w:r>
        <w:r w:rsidR="00021FDD">
          <w:rPr>
            <w:noProof/>
            <w:webHidden/>
          </w:rPr>
          <w:instrText xml:space="preserve"> PAGEREF _Toc75952263 \h </w:instrText>
        </w:r>
        <w:r w:rsidR="00021FDD">
          <w:rPr>
            <w:noProof/>
            <w:webHidden/>
          </w:rPr>
        </w:r>
        <w:r w:rsidR="00021FDD">
          <w:rPr>
            <w:noProof/>
            <w:webHidden/>
          </w:rPr>
          <w:fldChar w:fldCharType="separate"/>
        </w:r>
        <w:r w:rsidR="00021FDD">
          <w:rPr>
            <w:noProof/>
            <w:webHidden/>
          </w:rPr>
          <w:t>146</w:t>
        </w:r>
        <w:r w:rsidR="00021FDD">
          <w:rPr>
            <w:noProof/>
            <w:webHidden/>
          </w:rPr>
          <w:fldChar w:fldCharType="end"/>
        </w:r>
      </w:hyperlink>
    </w:p>
    <w:p w14:paraId="5E20F524" w14:textId="4476A74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4" w:history="1">
        <w:r w:rsidR="00021FDD" w:rsidRPr="00952E2B">
          <w:rPr>
            <w:rStyle w:val="Hypertextovodkaz"/>
            <w:noProof/>
          </w:rPr>
          <w:t>Graf 84: VS – evidenční počet soudců dle pohlaví v letech 2008–2020</w:t>
        </w:r>
        <w:r w:rsidR="00021FDD">
          <w:rPr>
            <w:noProof/>
            <w:webHidden/>
          </w:rPr>
          <w:tab/>
        </w:r>
        <w:r w:rsidR="00021FDD">
          <w:rPr>
            <w:noProof/>
            <w:webHidden/>
          </w:rPr>
          <w:fldChar w:fldCharType="begin"/>
        </w:r>
        <w:r w:rsidR="00021FDD">
          <w:rPr>
            <w:noProof/>
            <w:webHidden/>
          </w:rPr>
          <w:instrText xml:space="preserve"> PAGEREF _Toc75952264 \h </w:instrText>
        </w:r>
        <w:r w:rsidR="00021FDD">
          <w:rPr>
            <w:noProof/>
            <w:webHidden/>
          </w:rPr>
        </w:r>
        <w:r w:rsidR="00021FDD">
          <w:rPr>
            <w:noProof/>
            <w:webHidden/>
          </w:rPr>
          <w:fldChar w:fldCharType="separate"/>
        </w:r>
        <w:r w:rsidR="00021FDD">
          <w:rPr>
            <w:noProof/>
            <w:webHidden/>
          </w:rPr>
          <w:t>147</w:t>
        </w:r>
        <w:r w:rsidR="00021FDD">
          <w:rPr>
            <w:noProof/>
            <w:webHidden/>
          </w:rPr>
          <w:fldChar w:fldCharType="end"/>
        </w:r>
      </w:hyperlink>
    </w:p>
    <w:p w14:paraId="31695652" w14:textId="789BCBF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5" w:history="1">
        <w:r w:rsidR="00021FDD" w:rsidRPr="00952E2B">
          <w:rPr>
            <w:rStyle w:val="Hypertextovodkaz"/>
            <w:noProof/>
          </w:rPr>
          <w:t>Graf 85: VS Praha – věkové složení soudců v letech 2008–2020</w:t>
        </w:r>
        <w:r w:rsidR="00021FDD">
          <w:rPr>
            <w:noProof/>
            <w:webHidden/>
          </w:rPr>
          <w:tab/>
        </w:r>
        <w:r w:rsidR="00021FDD">
          <w:rPr>
            <w:noProof/>
            <w:webHidden/>
          </w:rPr>
          <w:fldChar w:fldCharType="begin"/>
        </w:r>
        <w:r w:rsidR="00021FDD">
          <w:rPr>
            <w:noProof/>
            <w:webHidden/>
          </w:rPr>
          <w:instrText xml:space="preserve"> PAGEREF _Toc75952265 \h </w:instrText>
        </w:r>
        <w:r w:rsidR="00021FDD">
          <w:rPr>
            <w:noProof/>
            <w:webHidden/>
          </w:rPr>
        </w:r>
        <w:r w:rsidR="00021FDD">
          <w:rPr>
            <w:noProof/>
            <w:webHidden/>
          </w:rPr>
          <w:fldChar w:fldCharType="separate"/>
        </w:r>
        <w:r w:rsidR="00021FDD">
          <w:rPr>
            <w:noProof/>
            <w:webHidden/>
          </w:rPr>
          <w:t>148</w:t>
        </w:r>
        <w:r w:rsidR="00021FDD">
          <w:rPr>
            <w:noProof/>
            <w:webHidden/>
          </w:rPr>
          <w:fldChar w:fldCharType="end"/>
        </w:r>
      </w:hyperlink>
    </w:p>
    <w:p w14:paraId="31216560" w14:textId="6E7061C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6" w:history="1">
        <w:r w:rsidR="00021FDD" w:rsidRPr="00952E2B">
          <w:rPr>
            <w:rStyle w:val="Hypertextovodkaz"/>
            <w:noProof/>
          </w:rPr>
          <w:t>Graf 86: VS Olomouc – věkové složení soudců v letech 2008–2020</w:t>
        </w:r>
        <w:r w:rsidR="00021FDD">
          <w:rPr>
            <w:noProof/>
            <w:webHidden/>
          </w:rPr>
          <w:tab/>
        </w:r>
        <w:r w:rsidR="00021FDD">
          <w:rPr>
            <w:noProof/>
            <w:webHidden/>
          </w:rPr>
          <w:fldChar w:fldCharType="begin"/>
        </w:r>
        <w:r w:rsidR="00021FDD">
          <w:rPr>
            <w:noProof/>
            <w:webHidden/>
          </w:rPr>
          <w:instrText xml:space="preserve"> PAGEREF _Toc75952266 \h </w:instrText>
        </w:r>
        <w:r w:rsidR="00021FDD">
          <w:rPr>
            <w:noProof/>
            <w:webHidden/>
          </w:rPr>
        </w:r>
        <w:r w:rsidR="00021FDD">
          <w:rPr>
            <w:noProof/>
            <w:webHidden/>
          </w:rPr>
          <w:fldChar w:fldCharType="separate"/>
        </w:r>
        <w:r w:rsidR="00021FDD">
          <w:rPr>
            <w:noProof/>
            <w:webHidden/>
          </w:rPr>
          <w:t>149</w:t>
        </w:r>
        <w:r w:rsidR="00021FDD">
          <w:rPr>
            <w:noProof/>
            <w:webHidden/>
          </w:rPr>
          <w:fldChar w:fldCharType="end"/>
        </w:r>
      </w:hyperlink>
    </w:p>
    <w:p w14:paraId="693AE8B1" w14:textId="246BFFB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7" w:history="1">
        <w:r w:rsidR="00021FDD" w:rsidRPr="00952E2B">
          <w:rPr>
            <w:rStyle w:val="Hypertextovodkaz"/>
            <w:noProof/>
          </w:rPr>
          <w:t>Graf 87: VS – délka civilního odvolacího řízení u VS v letech 2010–2020</w:t>
        </w:r>
        <w:r w:rsidR="00021FDD">
          <w:rPr>
            <w:noProof/>
            <w:webHidden/>
          </w:rPr>
          <w:tab/>
        </w:r>
        <w:r w:rsidR="00021FDD">
          <w:rPr>
            <w:noProof/>
            <w:webHidden/>
          </w:rPr>
          <w:fldChar w:fldCharType="begin"/>
        </w:r>
        <w:r w:rsidR="00021FDD">
          <w:rPr>
            <w:noProof/>
            <w:webHidden/>
          </w:rPr>
          <w:instrText xml:space="preserve"> PAGEREF _Toc75952267 \h </w:instrText>
        </w:r>
        <w:r w:rsidR="00021FDD">
          <w:rPr>
            <w:noProof/>
            <w:webHidden/>
          </w:rPr>
        </w:r>
        <w:r w:rsidR="00021FDD">
          <w:rPr>
            <w:noProof/>
            <w:webHidden/>
          </w:rPr>
          <w:fldChar w:fldCharType="separate"/>
        </w:r>
        <w:r w:rsidR="00021FDD">
          <w:rPr>
            <w:noProof/>
            <w:webHidden/>
          </w:rPr>
          <w:t>151</w:t>
        </w:r>
        <w:r w:rsidR="00021FDD">
          <w:rPr>
            <w:noProof/>
            <w:webHidden/>
          </w:rPr>
          <w:fldChar w:fldCharType="end"/>
        </w:r>
      </w:hyperlink>
    </w:p>
    <w:p w14:paraId="13FDBFD2" w14:textId="01B9946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8" w:history="1">
        <w:r w:rsidR="00021FDD" w:rsidRPr="00952E2B">
          <w:rPr>
            <w:rStyle w:val="Hypertextovodkaz"/>
            <w:noProof/>
          </w:rPr>
          <w:t>Graf 88: VS – distribuce délek civilního odvolacího řízení</w:t>
        </w:r>
        <w:r w:rsidR="00021FDD">
          <w:rPr>
            <w:noProof/>
            <w:webHidden/>
          </w:rPr>
          <w:tab/>
        </w:r>
        <w:r w:rsidR="00021FDD">
          <w:rPr>
            <w:noProof/>
            <w:webHidden/>
          </w:rPr>
          <w:fldChar w:fldCharType="begin"/>
        </w:r>
        <w:r w:rsidR="00021FDD">
          <w:rPr>
            <w:noProof/>
            <w:webHidden/>
          </w:rPr>
          <w:instrText xml:space="preserve"> PAGEREF _Toc75952268 \h </w:instrText>
        </w:r>
        <w:r w:rsidR="00021FDD">
          <w:rPr>
            <w:noProof/>
            <w:webHidden/>
          </w:rPr>
        </w:r>
        <w:r w:rsidR="00021FDD">
          <w:rPr>
            <w:noProof/>
            <w:webHidden/>
          </w:rPr>
          <w:fldChar w:fldCharType="separate"/>
        </w:r>
        <w:r w:rsidR="00021FDD">
          <w:rPr>
            <w:noProof/>
            <w:webHidden/>
          </w:rPr>
          <w:t>152</w:t>
        </w:r>
        <w:r w:rsidR="00021FDD">
          <w:rPr>
            <w:noProof/>
            <w:webHidden/>
          </w:rPr>
          <w:fldChar w:fldCharType="end"/>
        </w:r>
      </w:hyperlink>
    </w:p>
    <w:p w14:paraId="08B495E3" w14:textId="2857D9B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69" w:history="1">
        <w:r w:rsidR="00021FDD" w:rsidRPr="00952E2B">
          <w:rPr>
            <w:rStyle w:val="Hypertextovodkaz"/>
            <w:noProof/>
          </w:rPr>
          <w:t>Graf 89: VS – vyřizování odvolacích civilních věcí v letech 2008–2020</w:t>
        </w:r>
        <w:r w:rsidR="00021FDD">
          <w:rPr>
            <w:noProof/>
            <w:webHidden/>
          </w:rPr>
          <w:tab/>
        </w:r>
        <w:r w:rsidR="00021FDD">
          <w:rPr>
            <w:noProof/>
            <w:webHidden/>
          </w:rPr>
          <w:fldChar w:fldCharType="begin"/>
        </w:r>
        <w:r w:rsidR="00021FDD">
          <w:rPr>
            <w:noProof/>
            <w:webHidden/>
          </w:rPr>
          <w:instrText xml:space="preserve"> PAGEREF _Toc75952269 \h </w:instrText>
        </w:r>
        <w:r w:rsidR="00021FDD">
          <w:rPr>
            <w:noProof/>
            <w:webHidden/>
          </w:rPr>
        </w:r>
        <w:r w:rsidR="00021FDD">
          <w:rPr>
            <w:noProof/>
            <w:webHidden/>
          </w:rPr>
          <w:fldChar w:fldCharType="separate"/>
        </w:r>
        <w:r w:rsidR="00021FDD">
          <w:rPr>
            <w:noProof/>
            <w:webHidden/>
          </w:rPr>
          <w:t>152</w:t>
        </w:r>
        <w:r w:rsidR="00021FDD">
          <w:rPr>
            <w:noProof/>
            <w:webHidden/>
          </w:rPr>
          <w:fldChar w:fldCharType="end"/>
        </w:r>
      </w:hyperlink>
    </w:p>
    <w:p w14:paraId="12E6DA98" w14:textId="09D0131A"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0" w:history="1">
        <w:r w:rsidR="00021FDD" w:rsidRPr="00952E2B">
          <w:rPr>
            <w:rStyle w:val="Hypertextovodkaz"/>
            <w:noProof/>
          </w:rPr>
          <w:t>Graf 90: VS – DT civilního odvolacího řízení v letech 2008–2020</w:t>
        </w:r>
        <w:r w:rsidR="00021FDD">
          <w:rPr>
            <w:noProof/>
            <w:webHidden/>
          </w:rPr>
          <w:tab/>
        </w:r>
        <w:r w:rsidR="00021FDD">
          <w:rPr>
            <w:noProof/>
            <w:webHidden/>
          </w:rPr>
          <w:fldChar w:fldCharType="begin"/>
        </w:r>
        <w:r w:rsidR="00021FDD">
          <w:rPr>
            <w:noProof/>
            <w:webHidden/>
          </w:rPr>
          <w:instrText xml:space="preserve"> PAGEREF _Toc75952270 \h </w:instrText>
        </w:r>
        <w:r w:rsidR="00021FDD">
          <w:rPr>
            <w:noProof/>
            <w:webHidden/>
          </w:rPr>
        </w:r>
        <w:r w:rsidR="00021FDD">
          <w:rPr>
            <w:noProof/>
            <w:webHidden/>
          </w:rPr>
          <w:fldChar w:fldCharType="separate"/>
        </w:r>
        <w:r w:rsidR="00021FDD">
          <w:rPr>
            <w:noProof/>
            <w:webHidden/>
          </w:rPr>
          <w:t>154</w:t>
        </w:r>
        <w:r w:rsidR="00021FDD">
          <w:rPr>
            <w:noProof/>
            <w:webHidden/>
          </w:rPr>
          <w:fldChar w:fldCharType="end"/>
        </w:r>
      </w:hyperlink>
    </w:p>
    <w:p w14:paraId="3D5CA461" w14:textId="6DADBE5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1" w:history="1">
        <w:r w:rsidR="00021FDD" w:rsidRPr="00952E2B">
          <w:rPr>
            <w:rStyle w:val="Hypertextovodkaz"/>
            <w:noProof/>
          </w:rPr>
          <w:t>Graf 91: VS – délka trestního odvolacího řízení v letech 2010–2020</w:t>
        </w:r>
        <w:r w:rsidR="00021FDD">
          <w:rPr>
            <w:noProof/>
            <w:webHidden/>
          </w:rPr>
          <w:tab/>
        </w:r>
        <w:r w:rsidR="00021FDD">
          <w:rPr>
            <w:noProof/>
            <w:webHidden/>
          </w:rPr>
          <w:fldChar w:fldCharType="begin"/>
        </w:r>
        <w:r w:rsidR="00021FDD">
          <w:rPr>
            <w:noProof/>
            <w:webHidden/>
          </w:rPr>
          <w:instrText xml:space="preserve"> PAGEREF _Toc75952271 \h </w:instrText>
        </w:r>
        <w:r w:rsidR="00021FDD">
          <w:rPr>
            <w:noProof/>
            <w:webHidden/>
          </w:rPr>
        </w:r>
        <w:r w:rsidR="00021FDD">
          <w:rPr>
            <w:noProof/>
            <w:webHidden/>
          </w:rPr>
          <w:fldChar w:fldCharType="separate"/>
        </w:r>
        <w:r w:rsidR="00021FDD">
          <w:rPr>
            <w:noProof/>
            <w:webHidden/>
          </w:rPr>
          <w:t>155</w:t>
        </w:r>
        <w:r w:rsidR="00021FDD">
          <w:rPr>
            <w:noProof/>
            <w:webHidden/>
          </w:rPr>
          <w:fldChar w:fldCharType="end"/>
        </w:r>
      </w:hyperlink>
    </w:p>
    <w:p w14:paraId="261AE8B1" w14:textId="66E5B40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2" w:history="1">
        <w:r w:rsidR="00021FDD" w:rsidRPr="00952E2B">
          <w:rPr>
            <w:rStyle w:val="Hypertextovodkaz"/>
            <w:noProof/>
          </w:rPr>
          <w:t>Graf 92: VS – distribuce délek trestního odvolacího řízení</w:t>
        </w:r>
        <w:r w:rsidR="00021FDD">
          <w:rPr>
            <w:noProof/>
            <w:webHidden/>
          </w:rPr>
          <w:tab/>
        </w:r>
        <w:r w:rsidR="00021FDD">
          <w:rPr>
            <w:noProof/>
            <w:webHidden/>
          </w:rPr>
          <w:fldChar w:fldCharType="begin"/>
        </w:r>
        <w:r w:rsidR="00021FDD">
          <w:rPr>
            <w:noProof/>
            <w:webHidden/>
          </w:rPr>
          <w:instrText xml:space="preserve"> PAGEREF _Toc75952272 \h </w:instrText>
        </w:r>
        <w:r w:rsidR="00021FDD">
          <w:rPr>
            <w:noProof/>
            <w:webHidden/>
          </w:rPr>
        </w:r>
        <w:r w:rsidR="00021FDD">
          <w:rPr>
            <w:noProof/>
            <w:webHidden/>
          </w:rPr>
          <w:fldChar w:fldCharType="separate"/>
        </w:r>
        <w:r w:rsidR="00021FDD">
          <w:rPr>
            <w:noProof/>
            <w:webHidden/>
          </w:rPr>
          <w:t>156</w:t>
        </w:r>
        <w:r w:rsidR="00021FDD">
          <w:rPr>
            <w:noProof/>
            <w:webHidden/>
          </w:rPr>
          <w:fldChar w:fldCharType="end"/>
        </w:r>
      </w:hyperlink>
    </w:p>
    <w:p w14:paraId="715DA4C4" w14:textId="5432C98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3" w:history="1">
        <w:r w:rsidR="00021FDD" w:rsidRPr="00952E2B">
          <w:rPr>
            <w:rStyle w:val="Hypertextovodkaz"/>
            <w:noProof/>
          </w:rPr>
          <w:t>Graf 93: VS – vyřizování odvolacích trestních věcí v letech 2008–2020</w:t>
        </w:r>
        <w:r w:rsidR="00021FDD">
          <w:rPr>
            <w:noProof/>
            <w:webHidden/>
          </w:rPr>
          <w:tab/>
        </w:r>
        <w:r w:rsidR="00021FDD">
          <w:rPr>
            <w:noProof/>
            <w:webHidden/>
          </w:rPr>
          <w:fldChar w:fldCharType="begin"/>
        </w:r>
        <w:r w:rsidR="00021FDD">
          <w:rPr>
            <w:noProof/>
            <w:webHidden/>
          </w:rPr>
          <w:instrText xml:space="preserve"> PAGEREF _Toc75952273 \h </w:instrText>
        </w:r>
        <w:r w:rsidR="00021FDD">
          <w:rPr>
            <w:noProof/>
            <w:webHidden/>
          </w:rPr>
        </w:r>
        <w:r w:rsidR="00021FDD">
          <w:rPr>
            <w:noProof/>
            <w:webHidden/>
          </w:rPr>
          <w:fldChar w:fldCharType="separate"/>
        </w:r>
        <w:r w:rsidR="00021FDD">
          <w:rPr>
            <w:noProof/>
            <w:webHidden/>
          </w:rPr>
          <w:t>157</w:t>
        </w:r>
        <w:r w:rsidR="00021FDD">
          <w:rPr>
            <w:noProof/>
            <w:webHidden/>
          </w:rPr>
          <w:fldChar w:fldCharType="end"/>
        </w:r>
      </w:hyperlink>
    </w:p>
    <w:p w14:paraId="3086E492" w14:textId="2E4B9EE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4" w:history="1">
        <w:r w:rsidR="00021FDD" w:rsidRPr="00952E2B">
          <w:rPr>
            <w:rStyle w:val="Hypertextovodkaz"/>
            <w:noProof/>
          </w:rPr>
          <w:t>Graf 94: VS – DT trestního odvolacího řízení v letech 2008–2020</w:t>
        </w:r>
        <w:r w:rsidR="00021FDD">
          <w:rPr>
            <w:noProof/>
            <w:webHidden/>
          </w:rPr>
          <w:tab/>
        </w:r>
        <w:r w:rsidR="00021FDD">
          <w:rPr>
            <w:noProof/>
            <w:webHidden/>
          </w:rPr>
          <w:fldChar w:fldCharType="begin"/>
        </w:r>
        <w:r w:rsidR="00021FDD">
          <w:rPr>
            <w:noProof/>
            <w:webHidden/>
          </w:rPr>
          <w:instrText xml:space="preserve"> PAGEREF _Toc75952274 \h </w:instrText>
        </w:r>
        <w:r w:rsidR="00021FDD">
          <w:rPr>
            <w:noProof/>
            <w:webHidden/>
          </w:rPr>
        </w:r>
        <w:r w:rsidR="00021FDD">
          <w:rPr>
            <w:noProof/>
            <w:webHidden/>
          </w:rPr>
          <w:fldChar w:fldCharType="separate"/>
        </w:r>
        <w:r w:rsidR="00021FDD">
          <w:rPr>
            <w:noProof/>
            <w:webHidden/>
          </w:rPr>
          <w:t>158</w:t>
        </w:r>
        <w:r w:rsidR="00021FDD">
          <w:rPr>
            <w:noProof/>
            <w:webHidden/>
          </w:rPr>
          <w:fldChar w:fldCharType="end"/>
        </w:r>
      </w:hyperlink>
    </w:p>
    <w:p w14:paraId="41FB8822" w14:textId="5D3BE52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5" w:history="1">
        <w:r w:rsidR="00021FDD" w:rsidRPr="00952E2B">
          <w:rPr>
            <w:rStyle w:val="Hypertextovodkaz"/>
            <w:noProof/>
          </w:rPr>
          <w:t>Graf 95: VS – vyřizování insolvenční agendy v letech 2010–2020</w:t>
        </w:r>
        <w:r w:rsidR="00021FDD">
          <w:rPr>
            <w:noProof/>
            <w:webHidden/>
          </w:rPr>
          <w:tab/>
        </w:r>
        <w:r w:rsidR="00021FDD">
          <w:rPr>
            <w:noProof/>
            <w:webHidden/>
          </w:rPr>
          <w:fldChar w:fldCharType="begin"/>
        </w:r>
        <w:r w:rsidR="00021FDD">
          <w:rPr>
            <w:noProof/>
            <w:webHidden/>
          </w:rPr>
          <w:instrText xml:space="preserve"> PAGEREF _Toc75952275 \h </w:instrText>
        </w:r>
        <w:r w:rsidR="00021FDD">
          <w:rPr>
            <w:noProof/>
            <w:webHidden/>
          </w:rPr>
        </w:r>
        <w:r w:rsidR="00021FDD">
          <w:rPr>
            <w:noProof/>
            <w:webHidden/>
          </w:rPr>
          <w:fldChar w:fldCharType="separate"/>
        </w:r>
        <w:r w:rsidR="00021FDD">
          <w:rPr>
            <w:noProof/>
            <w:webHidden/>
          </w:rPr>
          <w:t>159</w:t>
        </w:r>
        <w:r w:rsidR="00021FDD">
          <w:rPr>
            <w:noProof/>
            <w:webHidden/>
          </w:rPr>
          <w:fldChar w:fldCharType="end"/>
        </w:r>
      </w:hyperlink>
    </w:p>
    <w:p w14:paraId="69A26B0C" w14:textId="2CD6905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6" w:history="1">
        <w:r w:rsidR="00021FDD" w:rsidRPr="00952E2B">
          <w:rPr>
            <w:rStyle w:val="Hypertextovodkaz"/>
            <w:noProof/>
          </w:rPr>
          <w:t>Graf 96: VS – DT v insolvenční agendě v letech 2010–2020</w:t>
        </w:r>
        <w:r w:rsidR="00021FDD">
          <w:rPr>
            <w:noProof/>
            <w:webHidden/>
          </w:rPr>
          <w:tab/>
        </w:r>
        <w:r w:rsidR="00021FDD">
          <w:rPr>
            <w:noProof/>
            <w:webHidden/>
          </w:rPr>
          <w:fldChar w:fldCharType="begin"/>
        </w:r>
        <w:r w:rsidR="00021FDD">
          <w:rPr>
            <w:noProof/>
            <w:webHidden/>
          </w:rPr>
          <w:instrText xml:space="preserve"> PAGEREF _Toc75952276 \h </w:instrText>
        </w:r>
        <w:r w:rsidR="00021FDD">
          <w:rPr>
            <w:noProof/>
            <w:webHidden/>
          </w:rPr>
        </w:r>
        <w:r w:rsidR="00021FDD">
          <w:rPr>
            <w:noProof/>
            <w:webHidden/>
          </w:rPr>
          <w:fldChar w:fldCharType="separate"/>
        </w:r>
        <w:r w:rsidR="00021FDD">
          <w:rPr>
            <w:noProof/>
            <w:webHidden/>
          </w:rPr>
          <w:t>160</w:t>
        </w:r>
        <w:r w:rsidR="00021FDD">
          <w:rPr>
            <w:noProof/>
            <w:webHidden/>
          </w:rPr>
          <w:fldChar w:fldCharType="end"/>
        </w:r>
      </w:hyperlink>
    </w:p>
    <w:p w14:paraId="16F19E61" w14:textId="50C42FA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7" w:history="1">
        <w:r w:rsidR="00021FDD" w:rsidRPr="00952E2B">
          <w:rPr>
            <w:rStyle w:val="Hypertextovodkaz"/>
            <w:noProof/>
          </w:rPr>
          <w:t>Graf 97: VS – délka odvolacího řízení incidenčních sporů v letech 2011–2020</w:t>
        </w:r>
        <w:r w:rsidR="00021FDD">
          <w:rPr>
            <w:noProof/>
            <w:webHidden/>
          </w:rPr>
          <w:tab/>
        </w:r>
        <w:r w:rsidR="00021FDD">
          <w:rPr>
            <w:noProof/>
            <w:webHidden/>
          </w:rPr>
          <w:fldChar w:fldCharType="begin"/>
        </w:r>
        <w:r w:rsidR="00021FDD">
          <w:rPr>
            <w:noProof/>
            <w:webHidden/>
          </w:rPr>
          <w:instrText xml:space="preserve"> PAGEREF _Toc75952277 \h </w:instrText>
        </w:r>
        <w:r w:rsidR="00021FDD">
          <w:rPr>
            <w:noProof/>
            <w:webHidden/>
          </w:rPr>
        </w:r>
        <w:r w:rsidR="00021FDD">
          <w:rPr>
            <w:noProof/>
            <w:webHidden/>
          </w:rPr>
          <w:fldChar w:fldCharType="separate"/>
        </w:r>
        <w:r w:rsidR="00021FDD">
          <w:rPr>
            <w:noProof/>
            <w:webHidden/>
          </w:rPr>
          <w:t>161</w:t>
        </w:r>
        <w:r w:rsidR="00021FDD">
          <w:rPr>
            <w:noProof/>
            <w:webHidden/>
          </w:rPr>
          <w:fldChar w:fldCharType="end"/>
        </w:r>
      </w:hyperlink>
    </w:p>
    <w:p w14:paraId="4E559BBF" w14:textId="5CECE27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8" w:history="1">
        <w:r w:rsidR="00021FDD" w:rsidRPr="00952E2B">
          <w:rPr>
            <w:rStyle w:val="Hypertextovodkaz"/>
            <w:noProof/>
          </w:rPr>
          <w:t>Graf 98: VS – distribuce délek odvolacího řízení v incidenčních sporech</w:t>
        </w:r>
        <w:r w:rsidR="00021FDD">
          <w:rPr>
            <w:noProof/>
            <w:webHidden/>
          </w:rPr>
          <w:tab/>
        </w:r>
        <w:r w:rsidR="00021FDD">
          <w:rPr>
            <w:noProof/>
            <w:webHidden/>
          </w:rPr>
          <w:fldChar w:fldCharType="begin"/>
        </w:r>
        <w:r w:rsidR="00021FDD">
          <w:rPr>
            <w:noProof/>
            <w:webHidden/>
          </w:rPr>
          <w:instrText xml:space="preserve"> PAGEREF _Toc75952278 \h </w:instrText>
        </w:r>
        <w:r w:rsidR="00021FDD">
          <w:rPr>
            <w:noProof/>
            <w:webHidden/>
          </w:rPr>
        </w:r>
        <w:r w:rsidR="00021FDD">
          <w:rPr>
            <w:noProof/>
            <w:webHidden/>
          </w:rPr>
          <w:fldChar w:fldCharType="separate"/>
        </w:r>
        <w:r w:rsidR="00021FDD">
          <w:rPr>
            <w:noProof/>
            <w:webHidden/>
          </w:rPr>
          <w:t>162</w:t>
        </w:r>
        <w:r w:rsidR="00021FDD">
          <w:rPr>
            <w:noProof/>
            <w:webHidden/>
          </w:rPr>
          <w:fldChar w:fldCharType="end"/>
        </w:r>
      </w:hyperlink>
    </w:p>
    <w:p w14:paraId="4544C42E" w14:textId="7B636AF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79" w:history="1">
        <w:r w:rsidR="00021FDD" w:rsidRPr="00952E2B">
          <w:rPr>
            <w:rStyle w:val="Hypertextovodkaz"/>
            <w:noProof/>
          </w:rPr>
          <w:t>Graf 99: VS – vyřizování odvolacího řízení v incidenčních sporech</w:t>
        </w:r>
        <w:r w:rsidR="00021FDD">
          <w:rPr>
            <w:noProof/>
            <w:webHidden/>
          </w:rPr>
          <w:tab/>
        </w:r>
        <w:r w:rsidR="00021FDD">
          <w:rPr>
            <w:noProof/>
            <w:webHidden/>
          </w:rPr>
          <w:fldChar w:fldCharType="begin"/>
        </w:r>
        <w:r w:rsidR="00021FDD">
          <w:rPr>
            <w:noProof/>
            <w:webHidden/>
          </w:rPr>
          <w:instrText xml:space="preserve"> PAGEREF _Toc75952279 \h </w:instrText>
        </w:r>
        <w:r w:rsidR="00021FDD">
          <w:rPr>
            <w:noProof/>
            <w:webHidden/>
          </w:rPr>
        </w:r>
        <w:r w:rsidR="00021FDD">
          <w:rPr>
            <w:noProof/>
            <w:webHidden/>
          </w:rPr>
          <w:fldChar w:fldCharType="separate"/>
        </w:r>
        <w:r w:rsidR="00021FDD">
          <w:rPr>
            <w:noProof/>
            <w:webHidden/>
          </w:rPr>
          <w:t>163</w:t>
        </w:r>
        <w:r w:rsidR="00021FDD">
          <w:rPr>
            <w:noProof/>
            <w:webHidden/>
          </w:rPr>
          <w:fldChar w:fldCharType="end"/>
        </w:r>
      </w:hyperlink>
    </w:p>
    <w:p w14:paraId="7A26F1B9" w14:textId="3C9E623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0" w:history="1">
        <w:r w:rsidR="00021FDD" w:rsidRPr="00952E2B">
          <w:rPr>
            <w:rStyle w:val="Hypertextovodkaz"/>
            <w:noProof/>
          </w:rPr>
          <w:t>Graf 100: VS – DT odvolacího řízení v incidenčních sporech</w:t>
        </w:r>
        <w:r w:rsidR="00021FDD">
          <w:rPr>
            <w:noProof/>
            <w:webHidden/>
          </w:rPr>
          <w:tab/>
        </w:r>
        <w:r w:rsidR="00021FDD">
          <w:rPr>
            <w:noProof/>
            <w:webHidden/>
          </w:rPr>
          <w:fldChar w:fldCharType="begin"/>
        </w:r>
        <w:r w:rsidR="00021FDD">
          <w:rPr>
            <w:noProof/>
            <w:webHidden/>
          </w:rPr>
          <w:instrText xml:space="preserve"> PAGEREF _Toc75952280 \h </w:instrText>
        </w:r>
        <w:r w:rsidR="00021FDD">
          <w:rPr>
            <w:noProof/>
            <w:webHidden/>
          </w:rPr>
        </w:r>
        <w:r w:rsidR="00021FDD">
          <w:rPr>
            <w:noProof/>
            <w:webHidden/>
          </w:rPr>
          <w:fldChar w:fldCharType="separate"/>
        </w:r>
        <w:r w:rsidR="00021FDD">
          <w:rPr>
            <w:noProof/>
            <w:webHidden/>
          </w:rPr>
          <w:t>164</w:t>
        </w:r>
        <w:r w:rsidR="00021FDD">
          <w:rPr>
            <w:noProof/>
            <w:webHidden/>
          </w:rPr>
          <w:fldChar w:fldCharType="end"/>
        </w:r>
      </w:hyperlink>
    </w:p>
    <w:p w14:paraId="43143E51" w14:textId="5E9783A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1" w:history="1">
        <w:r w:rsidR="00021FDD" w:rsidRPr="00952E2B">
          <w:rPr>
            <w:rStyle w:val="Hypertextovodkaz"/>
            <w:noProof/>
          </w:rPr>
          <w:t>Graf 101: NS – počet soudců v letech 2008–2020</w:t>
        </w:r>
        <w:r w:rsidR="00021FDD">
          <w:rPr>
            <w:noProof/>
            <w:webHidden/>
          </w:rPr>
          <w:tab/>
        </w:r>
        <w:r w:rsidR="00021FDD">
          <w:rPr>
            <w:noProof/>
            <w:webHidden/>
          </w:rPr>
          <w:fldChar w:fldCharType="begin"/>
        </w:r>
        <w:r w:rsidR="00021FDD">
          <w:rPr>
            <w:noProof/>
            <w:webHidden/>
          </w:rPr>
          <w:instrText xml:space="preserve"> PAGEREF _Toc75952281 \h </w:instrText>
        </w:r>
        <w:r w:rsidR="00021FDD">
          <w:rPr>
            <w:noProof/>
            <w:webHidden/>
          </w:rPr>
        </w:r>
        <w:r w:rsidR="00021FDD">
          <w:rPr>
            <w:noProof/>
            <w:webHidden/>
          </w:rPr>
          <w:fldChar w:fldCharType="separate"/>
        </w:r>
        <w:r w:rsidR="00021FDD">
          <w:rPr>
            <w:noProof/>
            <w:webHidden/>
          </w:rPr>
          <w:t>166</w:t>
        </w:r>
        <w:r w:rsidR="00021FDD">
          <w:rPr>
            <w:noProof/>
            <w:webHidden/>
          </w:rPr>
          <w:fldChar w:fldCharType="end"/>
        </w:r>
      </w:hyperlink>
    </w:p>
    <w:p w14:paraId="7AA789DB" w14:textId="035796D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2" w:history="1">
        <w:r w:rsidR="00021FDD" w:rsidRPr="00952E2B">
          <w:rPr>
            <w:rStyle w:val="Hypertextovodkaz"/>
            <w:noProof/>
          </w:rPr>
          <w:t>Graf 102: NS – evidenční počet soudců dle soudních úseků v letech 2008–2020</w:t>
        </w:r>
        <w:r w:rsidR="00021FDD">
          <w:rPr>
            <w:noProof/>
            <w:webHidden/>
          </w:rPr>
          <w:tab/>
        </w:r>
        <w:r w:rsidR="00021FDD">
          <w:rPr>
            <w:noProof/>
            <w:webHidden/>
          </w:rPr>
          <w:fldChar w:fldCharType="begin"/>
        </w:r>
        <w:r w:rsidR="00021FDD">
          <w:rPr>
            <w:noProof/>
            <w:webHidden/>
          </w:rPr>
          <w:instrText xml:space="preserve"> PAGEREF _Toc75952282 \h </w:instrText>
        </w:r>
        <w:r w:rsidR="00021FDD">
          <w:rPr>
            <w:noProof/>
            <w:webHidden/>
          </w:rPr>
        </w:r>
        <w:r w:rsidR="00021FDD">
          <w:rPr>
            <w:noProof/>
            <w:webHidden/>
          </w:rPr>
          <w:fldChar w:fldCharType="separate"/>
        </w:r>
        <w:r w:rsidR="00021FDD">
          <w:rPr>
            <w:noProof/>
            <w:webHidden/>
          </w:rPr>
          <w:t>166</w:t>
        </w:r>
        <w:r w:rsidR="00021FDD">
          <w:rPr>
            <w:noProof/>
            <w:webHidden/>
          </w:rPr>
          <w:fldChar w:fldCharType="end"/>
        </w:r>
      </w:hyperlink>
    </w:p>
    <w:p w14:paraId="08608DFF" w14:textId="1641310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3" w:history="1">
        <w:r w:rsidR="00021FDD" w:rsidRPr="00952E2B">
          <w:rPr>
            <w:rStyle w:val="Hypertextovodkaz"/>
            <w:noProof/>
          </w:rPr>
          <w:t>Graf 103: NS – evidenční počet soudců podle pohlaví v letech 2008–2020</w:t>
        </w:r>
        <w:r w:rsidR="00021FDD">
          <w:rPr>
            <w:noProof/>
            <w:webHidden/>
          </w:rPr>
          <w:tab/>
        </w:r>
        <w:r w:rsidR="00021FDD">
          <w:rPr>
            <w:noProof/>
            <w:webHidden/>
          </w:rPr>
          <w:fldChar w:fldCharType="begin"/>
        </w:r>
        <w:r w:rsidR="00021FDD">
          <w:rPr>
            <w:noProof/>
            <w:webHidden/>
          </w:rPr>
          <w:instrText xml:space="preserve"> PAGEREF _Toc75952283 \h </w:instrText>
        </w:r>
        <w:r w:rsidR="00021FDD">
          <w:rPr>
            <w:noProof/>
            <w:webHidden/>
          </w:rPr>
        </w:r>
        <w:r w:rsidR="00021FDD">
          <w:rPr>
            <w:noProof/>
            <w:webHidden/>
          </w:rPr>
          <w:fldChar w:fldCharType="separate"/>
        </w:r>
        <w:r w:rsidR="00021FDD">
          <w:rPr>
            <w:noProof/>
            <w:webHidden/>
          </w:rPr>
          <w:t>167</w:t>
        </w:r>
        <w:r w:rsidR="00021FDD">
          <w:rPr>
            <w:noProof/>
            <w:webHidden/>
          </w:rPr>
          <w:fldChar w:fldCharType="end"/>
        </w:r>
      </w:hyperlink>
    </w:p>
    <w:p w14:paraId="7B3437CA" w14:textId="11E4FBE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4" w:history="1">
        <w:r w:rsidR="00021FDD" w:rsidRPr="00952E2B">
          <w:rPr>
            <w:rStyle w:val="Hypertextovodkaz"/>
            <w:noProof/>
          </w:rPr>
          <w:t>Graf 104: NS – věková struktura soudců v letech 2008–2020</w:t>
        </w:r>
        <w:r w:rsidR="00021FDD">
          <w:rPr>
            <w:noProof/>
            <w:webHidden/>
          </w:rPr>
          <w:tab/>
        </w:r>
        <w:r w:rsidR="00021FDD">
          <w:rPr>
            <w:noProof/>
            <w:webHidden/>
          </w:rPr>
          <w:fldChar w:fldCharType="begin"/>
        </w:r>
        <w:r w:rsidR="00021FDD">
          <w:rPr>
            <w:noProof/>
            <w:webHidden/>
          </w:rPr>
          <w:instrText xml:space="preserve"> PAGEREF _Toc75952284 \h </w:instrText>
        </w:r>
        <w:r w:rsidR="00021FDD">
          <w:rPr>
            <w:noProof/>
            <w:webHidden/>
          </w:rPr>
        </w:r>
        <w:r w:rsidR="00021FDD">
          <w:rPr>
            <w:noProof/>
            <w:webHidden/>
          </w:rPr>
          <w:fldChar w:fldCharType="separate"/>
        </w:r>
        <w:r w:rsidR="00021FDD">
          <w:rPr>
            <w:noProof/>
            <w:webHidden/>
          </w:rPr>
          <w:t>168</w:t>
        </w:r>
        <w:r w:rsidR="00021FDD">
          <w:rPr>
            <w:noProof/>
            <w:webHidden/>
          </w:rPr>
          <w:fldChar w:fldCharType="end"/>
        </w:r>
      </w:hyperlink>
    </w:p>
    <w:p w14:paraId="1D4D3D84" w14:textId="7EF518B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5" w:history="1">
        <w:r w:rsidR="00021FDD" w:rsidRPr="00952E2B">
          <w:rPr>
            <w:rStyle w:val="Hypertextovodkaz"/>
            <w:noProof/>
          </w:rPr>
          <w:t>Graf 105: NS – vyřizování civilní dovolací agendy v letech 2008–2020</w:t>
        </w:r>
        <w:r w:rsidR="00021FDD">
          <w:rPr>
            <w:noProof/>
            <w:webHidden/>
          </w:rPr>
          <w:tab/>
        </w:r>
        <w:r w:rsidR="00021FDD">
          <w:rPr>
            <w:noProof/>
            <w:webHidden/>
          </w:rPr>
          <w:fldChar w:fldCharType="begin"/>
        </w:r>
        <w:r w:rsidR="00021FDD">
          <w:rPr>
            <w:noProof/>
            <w:webHidden/>
          </w:rPr>
          <w:instrText xml:space="preserve"> PAGEREF _Toc75952285 \h </w:instrText>
        </w:r>
        <w:r w:rsidR="00021FDD">
          <w:rPr>
            <w:noProof/>
            <w:webHidden/>
          </w:rPr>
        </w:r>
        <w:r w:rsidR="00021FDD">
          <w:rPr>
            <w:noProof/>
            <w:webHidden/>
          </w:rPr>
          <w:fldChar w:fldCharType="separate"/>
        </w:r>
        <w:r w:rsidR="00021FDD">
          <w:rPr>
            <w:noProof/>
            <w:webHidden/>
          </w:rPr>
          <w:t>170</w:t>
        </w:r>
        <w:r w:rsidR="00021FDD">
          <w:rPr>
            <w:noProof/>
            <w:webHidden/>
          </w:rPr>
          <w:fldChar w:fldCharType="end"/>
        </w:r>
      </w:hyperlink>
    </w:p>
    <w:p w14:paraId="373DB19E" w14:textId="0C09461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6" w:history="1">
        <w:r w:rsidR="00021FDD" w:rsidRPr="00952E2B">
          <w:rPr>
            <w:rStyle w:val="Hypertextovodkaz"/>
            <w:noProof/>
          </w:rPr>
          <w:t>Graf 106: NS – vyřizování trestní dovolací agendy v letech 2008–2020</w:t>
        </w:r>
        <w:r w:rsidR="00021FDD">
          <w:rPr>
            <w:noProof/>
            <w:webHidden/>
          </w:rPr>
          <w:tab/>
        </w:r>
        <w:r w:rsidR="00021FDD">
          <w:rPr>
            <w:noProof/>
            <w:webHidden/>
          </w:rPr>
          <w:fldChar w:fldCharType="begin"/>
        </w:r>
        <w:r w:rsidR="00021FDD">
          <w:rPr>
            <w:noProof/>
            <w:webHidden/>
          </w:rPr>
          <w:instrText xml:space="preserve"> PAGEREF _Toc75952286 \h </w:instrText>
        </w:r>
        <w:r w:rsidR="00021FDD">
          <w:rPr>
            <w:noProof/>
            <w:webHidden/>
          </w:rPr>
        </w:r>
        <w:r w:rsidR="00021FDD">
          <w:rPr>
            <w:noProof/>
            <w:webHidden/>
          </w:rPr>
          <w:fldChar w:fldCharType="separate"/>
        </w:r>
        <w:r w:rsidR="00021FDD">
          <w:rPr>
            <w:noProof/>
            <w:webHidden/>
          </w:rPr>
          <w:t>171</w:t>
        </w:r>
        <w:r w:rsidR="00021FDD">
          <w:rPr>
            <w:noProof/>
            <w:webHidden/>
          </w:rPr>
          <w:fldChar w:fldCharType="end"/>
        </w:r>
      </w:hyperlink>
    </w:p>
    <w:p w14:paraId="54D3CADF" w14:textId="232E89E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7" w:history="1">
        <w:r w:rsidR="00021FDD" w:rsidRPr="00952E2B">
          <w:rPr>
            <w:rStyle w:val="Hypertextovodkaz"/>
            <w:noProof/>
          </w:rPr>
          <w:t>Graf 107: NS – vyřizování stížností pro porušení zákona v letech 2010–2020</w:t>
        </w:r>
        <w:r w:rsidR="00021FDD">
          <w:rPr>
            <w:noProof/>
            <w:webHidden/>
          </w:rPr>
          <w:tab/>
        </w:r>
        <w:r w:rsidR="00021FDD">
          <w:rPr>
            <w:noProof/>
            <w:webHidden/>
          </w:rPr>
          <w:fldChar w:fldCharType="begin"/>
        </w:r>
        <w:r w:rsidR="00021FDD">
          <w:rPr>
            <w:noProof/>
            <w:webHidden/>
          </w:rPr>
          <w:instrText xml:space="preserve"> PAGEREF _Toc75952287 \h </w:instrText>
        </w:r>
        <w:r w:rsidR="00021FDD">
          <w:rPr>
            <w:noProof/>
            <w:webHidden/>
          </w:rPr>
        </w:r>
        <w:r w:rsidR="00021FDD">
          <w:rPr>
            <w:noProof/>
            <w:webHidden/>
          </w:rPr>
          <w:fldChar w:fldCharType="separate"/>
        </w:r>
        <w:r w:rsidR="00021FDD">
          <w:rPr>
            <w:noProof/>
            <w:webHidden/>
          </w:rPr>
          <w:t>172</w:t>
        </w:r>
        <w:r w:rsidR="00021FDD">
          <w:rPr>
            <w:noProof/>
            <w:webHidden/>
          </w:rPr>
          <w:fldChar w:fldCharType="end"/>
        </w:r>
      </w:hyperlink>
    </w:p>
    <w:p w14:paraId="5C1AA9FF" w14:textId="00AA3F2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8" w:history="1">
        <w:r w:rsidR="00021FDD" w:rsidRPr="00952E2B">
          <w:rPr>
            <w:rStyle w:val="Hypertextovodkaz"/>
            <w:noProof/>
          </w:rPr>
          <w:t>Graf 108: NS – vyřizování insolvenční dovolací agendy v letech 2010–2020</w:t>
        </w:r>
        <w:r w:rsidR="00021FDD">
          <w:rPr>
            <w:noProof/>
            <w:webHidden/>
          </w:rPr>
          <w:tab/>
        </w:r>
        <w:r w:rsidR="00021FDD">
          <w:rPr>
            <w:noProof/>
            <w:webHidden/>
          </w:rPr>
          <w:fldChar w:fldCharType="begin"/>
        </w:r>
        <w:r w:rsidR="00021FDD">
          <w:rPr>
            <w:noProof/>
            <w:webHidden/>
          </w:rPr>
          <w:instrText xml:space="preserve"> PAGEREF _Toc75952288 \h </w:instrText>
        </w:r>
        <w:r w:rsidR="00021FDD">
          <w:rPr>
            <w:noProof/>
            <w:webHidden/>
          </w:rPr>
        </w:r>
        <w:r w:rsidR="00021FDD">
          <w:rPr>
            <w:noProof/>
            <w:webHidden/>
          </w:rPr>
          <w:fldChar w:fldCharType="separate"/>
        </w:r>
        <w:r w:rsidR="00021FDD">
          <w:rPr>
            <w:noProof/>
            <w:webHidden/>
          </w:rPr>
          <w:t>173</w:t>
        </w:r>
        <w:r w:rsidR="00021FDD">
          <w:rPr>
            <w:noProof/>
            <w:webHidden/>
          </w:rPr>
          <w:fldChar w:fldCharType="end"/>
        </w:r>
      </w:hyperlink>
    </w:p>
    <w:p w14:paraId="05F88570" w14:textId="74E6601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89" w:history="1">
        <w:r w:rsidR="00021FDD" w:rsidRPr="00952E2B">
          <w:rPr>
            <w:rStyle w:val="Hypertextovodkaz"/>
            <w:noProof/>
          </w:rPr>
          <w:t>Graf 109: NSS – počet soudců v letech 2008–2020</w:t>
        </w:r>
        <w:r w:rsidR="00021FDD">
          <w:rPr>
            <w:noProof/>
            <w:webHidden/>
          </w:rPr>
          <w:tab/>
        </w:r>
        <w:r w:rsidR="00021FDD">
          <w:rPr>
            <w:noProof/>
            <w:webHidden/>
          </w:rPr>
          <w:fldChar w:fldCharType="begin"/>
        </w:r>
        <w:r w:rsidR="00021FDD">
          <w:rPr>
            <w:noProof/>
            <w:webHidden/>
          </w:rPr>
          <w:instrText xml:space="preserve"> PAGEREF _Toc75952289 \h </w:instrText>
        </w:r>
        <w:r w:rsidR="00021FDD">
          <w:rPr>
            <w:noProof/>
            <w:webHidden/>
          </w:rPr>
        </w:r>
        <w:r w:rsidR="00021FDD">
          <w:rPr>
            <w:noProof/>
            <w:webHidden/>
          </w:rPr>
          <w:fldChar w:fldCharType="separate"/>
        </w:r>
        <w:r w:rsidR="00021FDD">
          <w:rPr>
            <w:noProof/>
            <w:webHidden/>
          </w:rPr>
          <w:t>174</w:t>
        </w:r>
        <w:r w:rsidR="00021FDD">
          <w:rPr>
            <w:noProof/>
            <w:webHidden/>
          </w:rPr>
          <w:fldChar w:fldCharType="end"/>
        </w:r>
      </w:hyperlink>
    </w:p>
    <w:p w14:paraId="2A23DF73" w14:textId="4CBD847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0" w:history="1">
        <w:r w:rsidR="00021FDD" w:rsidRPr="00952E2B">
          <w:rPr>
            <w:rStyle w:val="Hypertextovodkaz"/>
            <w:noProof/>
          </w:rPr>
          <w:t>Graf 110: NSS – evidenční počet soudců dle pohlaví v letech 2008–2020</w:t>
        </w:r>
        <w:r w:rsidR="00021FDD">
          <w:rPr>
            <w:noProof/>
            <w:webHidden/>
          </w:rPr>
          <w:tab/>
        </w:r>
        <w:r w:rsidR="00021FDD">
          <w:rPr>
            <w:noProof/>
            <w:webHidden/>
          </w:rPr>
          <w:fldChar w:fldCharType="begin"/>
        </w:r>
        <w:r w:rsidR="00021FDD">
          <w:rPr>
            <w:noProof/>
            <w:webHidden/>
          </w:rPr>
          <w:instrText xml:space="preserve"> PAGEREF _Toc75952290 \h </w:instrText>
        </w:r>
        <w:r w:rsidR="00021FDD">
          <w:rPr>
            <w:noProof/>
            <w:webHidden/>
          </w:rPr>
        </w:r>
        <w:r w:rsidR="00021FDD">
          <w:rPr>
            <w:noProof/>
            <w:webHidden/>
          </w:rPr>
          <w:fldChar w:fldCharType="separate"/>
        </w:r>
        <w:r w:rsidR="00021FDD">
          <w:rPr>
            <w:noProof/>
            <w:webHidden/>
          </w:rPr>
          <w:t>175</w:t>
        </w:r>
        <w:r w:rsidR="00021FDD">
          <w:rPr>
            <w:noProof/>
            <w:webHidden/>
          </w:rPr>
          <w:fldChar w:fldCharType="end"/>
        </w:r>
      </w:hyperlink>
    </w:p>
    <w:p w14:paraId="3D3FF660" w14:textId="06C7107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1" w:history="1">
        <w:r w:rsidR="00021FDD" w:rsidRPr="00952E2B">
          <w:rPr>
            <w:rStyle w:val="Hypertextovodkaz"/>
            <w:noProof/>
          </w:rPr>
          <w:t>Graf 111: NSS – věková struktura soudců v letech 2008</w:t>
        </w:r>
        <w:r w:rsidR="00021FDD" w:rsidRPr="00952E2B">
          <w:rPr>
            <w:rStyle w:val="Hypertextovodkaz"/>
            <w:noProof/>
          </w:rPr>
          <w:sym w:font="Symbol" w:char="F02D"/>
        </w:r>
        <w:r w:rsidR="00021FDD" w:rsidRPr="00952E2B">
          <w:rPr>
            <w:rStyle w:val="Hypertextovodkaz"/>
            <w:noProof/>
          </w:rPr>
          <w:t>2020</w:t>
        </w:r>
        <w:r w:rsidR="00021FDD">
          <w:rPr>
            <w:noProof/>
            <w:webHidden/>
          </w:rPr>
          <w:tab/>
        </w:r>
        <w:r w:rsidR="00021FDD">
          <w:rPr>
            <w:noProof/>
            <w:webHidden/>
          </w:rPr>
          <w:fldChar w:fldCharType="begin"/>
        </w:r>
        <w:r w:rsidR="00021FDD">
          <w:rPr>
            <w:noProof/>
            <w:webHidden/>
          </w:rPr>
          <w:instrText xml:space="preserve"> PAGEREF _Toc75952291 \h </w:instrText>
        </w:r>
        <w:r w:rsidR="00021FDD">
          <w:rPr>
            <w:noProof/>
            <w:webHidden/>
          </w:rPr>
        </w:r>
        <w:r w:rsidR="00021FDD">
          <w:rPr>
            <w:noProof/>
            <w:webHidden/>
          </w:rPr>
          <w:fldChar w:fldCharType="separate"/>
        </w:r>
        <w:r w:rsidR="00021FDD">
          <w:rPr>
            <w:noProof/>
            <w:webHidden/>
          </w:rPr>
          <w:t>176</w:t>
        </w:r>
        <w:r w:rsidR="00021FDD">
          <w:rPr>
            <w:noProof/>
            <w:webHidden/>
          </w:rPr>
          <w:fldChar w:fldCharType="end"/>
        </w:r>
      </w:hyperlink>
    </w:p>
    <w:p w14:paraId="59DB922C" w14:textId="01D3D02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2" w:history="1">
        <w:r w:rsidR="00021FDD" w:rsidRPr="00952E2B">
          <w:rPr>
            <w:rStyle w:val="Hypertextovodkaz"/>
            <w:noProof/>
          </w:rPr>
          <w:t>Graf 112: NSS – vyřizování kasačních věcí v letech 2008–2020</w:t>
        </w:r>
        <w:r w:rsidR="00021FDD">
          <w:rPr>
            <w:noProof/>
            <w:webHidden/>
          </w:rPr>
          <w:tab/>
        </w:r>
        <w:r w:rsidR="00021FDD">
          <w:rPr>
            <w:noProof/>
            <w:webHidden/>
          </w:rPr>
          <w:fldChar w:fldCharType="begin"/>
        </w:r>
        <w:r w:rsidR="00021FDD">
          <w:rPr>
            <w:noProof/>
            <w:webHidden/>
          </w:rPr>
          <w:instrText xml:space="preserve"> PAGEREF _Toc75952292 \h </w:instrText>
        </w:r>
        <w:r w:rsidR="00021FDD">
          <w:rPr>
            <w:noProof/>
            <w:webHidden/>
          </w:rPr>
        </w:r>
        <w:r w:rsidR="00021FDD">
          <w:rPr>
            <w:noProof/>
            <w:webHidden/>
          </w:rPr>
          <w:fldChar w:fldCharType="separate"/>
        </w:r>
        <w:r w:rsidR="00021FDD">
          <w:rPr>
            <w:noProof/>
            <w:webHidden/>
          </w:rPr>
          <w:t>177</w:t>
        </w:r>
        <w:r w:rsidR="00021FDD">
          <w:rPr>
            <w:noProof/>
            <w:webHidden/>
          </w:rPr>
          <w:fldChar w:fldCharType="end"/>
        </w:r>
      </w:hyperlink>
    </w:p>
    <w:p w14:paraId="57837EE5" w14:textId="4DE89D7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3" w:history="1">
        <w:r w:rsidR="00021FDD" w:rsidRPr="00952E2B">
          <w:rPr>
            <w:rStyle w:val="Hypertextovodkaz"/>
            <w:noProof/>
          </w:rPr>
          <w:t>Graf 113: NSS – vyřizování řízení ve věcech soudců v letech 2008–2020</w:t>
        </w:r>
        <w:r w:rsidR="00021FDD">
          <w:rPr>
            <w:noProof/>
            <w:webHidden/>
          </w:rPr>
          <w:tab/>
        </w:r>
        <w:r w:rsidR="00021FDD">
          <w:rPr>
            <w:noProof/>
            <w:webHidden/>
          </w:rPr>
          <w:fldChar w:fldCharType="begin"/>
        </w:r>
        <w:r w:rsidR="00021FDD">
          <w:rPr>
            <w:noProof/>
            <w:webHidden/>
          </w:rPr>
          <w:instrText xml:space="preserve"> PAGEREF _Toc75952293 \h </w:instrText>
        </w:r>
        <w:r w:rsidR="00021FDD">
          <w:rPr>
            <w:noProof/>
            <w:webHidden/>
          </w:rPr>
        </w:r>
        <w:r w:rsidR="00021FDD">
          <w:rPr>
            <w:noProof/>
            <w:webHidden/>
          </w:rPr>
          <w:fldChar w:fldCharType="separate"/>
        </w:r>
        <w:r w:rsidR="00021FDD">
          <w:rPr>
            <w:noProof/>
            <w:webHidden/>
          </w:rPr>
          <w:t>178</w:t>
        </w:r>
        <w:r w:rsidR="00021FDD">
          <w:rPr>
            <w:noProof/>
            <w:webHidden/>
          </w:rPr>
          <w:fldChar w:fldCharType="end"/>
        </w:r>
      </w:hyperlink>
    </w:p>
    <w:p w14:paraId="6AA7FA05" w14:textId="10AF16E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4" w:history="1">
        <w:r w:rsidR="00021FDD" w:rsidRPr="00952E2B">
          <w:rPr>
            <w:rStyle w:val="Hypertextovodkaz"/>
            <w:noProof/>
          </w:rPr>
          <w:t>Graf 114: Počet soudců na 100 000 obyvatel</w:t>
        </w:r>
        <w:r w:rsidR="00021FDD">
          <w:rPr>
            <w:noProof/>
            <w:webHidden/>
          </w:rPr>
          <w:tab/>
        </w:r>
        <w:r w:rsidR="00021FDD">
          <w:rPr>
            <w:noProof/>
            <w:webHidden/>
          </w:rPr>
          <w:fldChar w:fldCharType="begin"/>
        </w:r>
        <w:r w:rsidR="00021FDD">
          <w:rPr>
            <w:noProof/>
            <w:webHidden/>
          </w:rPr>
          <w:instrText xml:space="preserve"> PAGEREF _Toc75952294 \h </w:instrText>
        </w:r>
        <w:r w:rsidR="00021FDD">
          <w:rPr>
            <w:noProof/>
            <w:webHidden/>
          </w:rPr>
        </w:r>
        <w:r w:rsidR="00021FDD">
          <w:rPr>
            <w:noProof/>
            <w:webHidden/>
          </w:rPr>
          <w:fldChar w:fldCharType="separate"/>
        </w:r>
        <w:r w:rsidR="00021FDD">
          <w:rPr>
            <w:noProof/>
            <w:webHidden/>
          </w:rPr>
          <w:t>182</w:t>
        </w:r>
        <w:r w:rsidR="00021FDD">
          <w:rPr>
            <w:noProof/>
            <w:webHidden/>
          </w:rPr>
          <w:fldChar w:fldCharType="end"/>
        </w:r>
      </w:hyperlink>
    </w:p>
    <w:p w14:paraId="492F820F" w14:textId="382278E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5" w:history="1">
        <w:r w:rsidR="00021FDD" w:rsidRPr="00952E2B">
          <w:rPr>
            <w:rStyle w:val="Hypertextovodkaz"/>
            <w:noProof/>
          </w:rPr>
          <w:t>Graf 115: Podíl žen mezi soudci nejvyšších soudů</w:t>
        </w:r>
        <w:r w:rsidR="00021FDD">
          <w:rPr>
            <w:noProof/>
            <w:webHidden/>
          </w:rPr>
          <w:tab/>
        </w:r>
        <w:r w:rsidR="00021FDD">
          <w:rPr>
            <w:noProof/>
            <w:webHidden/>
          </w:rPr>
          <w:fldChar w:fldCharType="begin"/>
        </w:r>
        <w:r w:rsidR="00021FDD">
          <w:rPr>
            <w:noProof/>
            <w:webHidden/>
          </w:rPr>
          <w:instrText xml:space="preserve"> PAGEREF _Toc75952295 \h </w:instrText>
        </w:r>
        <w:r w:rsidR="00021FDD">
          <w:rPr>
            <w:noProof/>
            <w:webHidden/>
          </w:rPr>
        </w:r>
        <w:r w:rsidR="00021FDD">
          <w:rPr>
            <w:noProof/>
            <w:webHidden/>
          </w:rPr>
          <w:fldChar w:fldCharType="separate"/>
        </w:r>
        <w:r w:rsidR="00021FDD">
          <w:rPr>
            <w:noProof/>
            <w:webHidden/>
          </w:rPr>
          <w:t>183</w:t>
        </w:r>
        <w:r w:rsidR="00021FDD">
          <w:rPr>
            <w:noProof/>
            <w:webHidden/>
          </w:rPr>
          <w:fldChar w:fldCharType="end"/>
        </w:r>
      </w:hyperlink>
    </w:p>
    <w:p w14:paraId="3E9D5709" w14:textId="5710082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6" w:history="1">
        <w:r w:rsidR="00021FDD" w:rsidRPr="00952E2B">
          <w:rPr>
            <w:rStyle w:val="Hypertextovodkaz"/>
            <w:noProof/>
          </w:rPr>
          <w:t>Graf 116: EU – Soudní poplatek za zahájení řízení v konkrétní spotřebitelské věci, 2019</w:t>
        </w:r>
        <w:r w:rsidR="00021FDD">
          <w:rPr>
            <w:noProof/>
            <w:webHidden/>
          </w:rPr>
          <w:tab/>
        </w:r>
        <w:r w:rsidR="00021FDD">
          <w:rPr>
            <w:noProof/>
            <w:webHidden/>
          </w:rPr>
          <w:fldChar w:fldCharType="begin"/>
        </w:r>
        <w:r w:rsidR="00021FDD">
          <w:rPr>
            <w:noProof/>
            <w:webHidden/>
          </w:rPr>
          <w:instrText xml:space="preserve"> PAGEREF _Toc75952296 \h </w:instrText>
        </w:r>
        <w:r w:rsidR="00021FDD">
          <w:rPr>
            <w:noProof/>
            <w:webHidden/>
          </w:rPr>
        </w:r>
        <w:r w:rsidR="00021FDD">
          <w:rPr>
            <w:noProof/>
            <w:webHidden/>
          </w:rPr>
          <w:fldChar w:fldCharType="separate"/>
        </w:r>
        <w:r w:rsidR="00021FDD">
          <w:rPr>
            <w:noProof/>
            <w:webHidden/>
          </w:rPr>
          <w:t>184</w:t>
        </w:r>
        <w:r w:rsidR="00021FDD">
          <w:rPr>
            <w:noProof/>
            <w:webHidden/>
          </w:rPr>
          <w:fldChar w:fldCharType="end"/>
        </w:r>
      </w:hyperlink>
    </w:p>
    <w:p w14:paraId="3520C917" w14:textId="61141BA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7" w:history="1">
        <w:r w:rsidR="00021FDD" w:rsidRPr="00952E2B">
          <w:rPr>
            <w:rStyle w:val="Hypertextovodkaz"/>
            <w:noProof/>
          </w:rPr>
          <w:t>Graf 117: EU – Vnímaná nezávislost soudů a soudců ze strany veřejnosti, 2016–2020</w:t>
        </w:r>
        <w:r w:rsidR="00021FDD">
          <w:rPr>
            <w:noProof/>
            <w:webHidden/>
          </w:rPr>
          <w:tab/>
        </w:r>
        <w:r w:rsidR="00021FDD">
          <w:rPr>
            <w:noProof/>
            <w:webHidden/>
          </w:rPr>
          <w:fldChar w:fldCharType="begin"/>
        </w:r>
        <w:r w:rsidR="00021FDD">
          <w:rPr>
            <w:noProof/>
            <w:webHidden/>
          </w:rPr>
          <w:instrText xml:space="preserve"> PAGEREF _Toc75952297 \h </w:instrText>
        </w:r>
        <w:r w:rsidR="00021FDD">
          <w:rPr>
            <w:noProof/>
            <w:webHidden/>
          </w:rPr>
        </w:r>
        <w:r w:rsidR="00021FDD">
          <w:rPr>
            <w:noProof/>
            <w:webHidden/>
          </w:rPr>
          <w:fldChar w:fldCharType="separate"/>
        </w:r>
        <w:r w:rsidR="00021FDD">
          <w:rPr>
            <w:noProof/>
            <w:webHidden/>
          </w:rPr>
          <w:t>184</w:t>
        </w:r>
        <w:r w:rsidR="00021FDD">
          <w:rPr>
            <w:noProof/>
            <w:webHidden/>
          </w:rPr>
          <w:fldChar w:fldCharType="end"/>
        </w:r>
      </w:hyperlink>
    </w:p>
    <w:p w14:paraId="45CF4282" w14:textId="6230163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8" w:history="1">
        <w:r w:rsidR="00021FDD" w:rsidRPr="00952E2B">
          <w:rPr>
            <w:rStyle w:val="Hypertextovodkaz"/>
            <w:noProof/>
          </w:rPr>
          <w:t>Graf 118: EU – počet přicházejících sporných občanských a obchodních věcí na 100 obyvatel, 2012 – 2018</w:t>
        </w:r>
        <w:r w:rsidR="00021FDD">
          <w:rPr>
            <w:noProof/>
            <w:webHidden/>
          </w:rPr>
          <w:tab/>
        </w:r>
        <w:r w:rsidR="00021FDD">
          <w:rPr>
            <w:noProof/>
            <w:webHidden/>
          </w:rPr>
          <w:fldChar w:fldCharType="begin"/>
        </w:r>
        <w:r w:rsidR="00021FDD">
          <w:rPr>
            <w:noProof/>
            <w:webHidden/>
          </w:rPr>
          <w:instrText xml:space="preserve"> PAGEREF _Toc75952298 \h </w:instrText>
        </w:r>
        <w:r w:rsidR="00021FDD">
          <w:rPr>
            <w:noProof/>
            <w:webHidden/>
          </w:rPr>
        </w:r>
        <w:r w:rsidR="00021FDD">
          <w:rPr>
            <w:noProof/>
            <w:webHidden/>
          </w:rPr>
          <w:fldChar w:fldCharType="separate"/>
        </w:r>
        <w:r w:rsidR="00021FDD">
          <w:rPr>
            <w:noProof/>
            <w:webHidden/>
          </w:rPr>
          <w:t>185</w:t>
        </w:r>
        <w:r w:rsidR="00021FDD">
          <w:rPr>
            <w:noProof/>
            <w:webHidden/>
          </w:rPr>
          <w:fldChar w:fldCharType="end"/>
        </w:r>
      </w:hyperlink>
    </w:p>
    <w:p w14:paraId="3B37562F" w14:textId="048EA55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299" w:history="1">
        <w:r w:rsidR="00021FDD" w:rsidRPr="00952E2B">
          <w:rPr>
            <w:rStyle w:val="Hypertextovodkaz"/>
            <w:noProof/>
          </w:rPr>
          <w:t>Graf 119: EU – disposition time sporných obč. a obchodních věcí, 2012–2018</w:t>
        </w:r>
        <w:r w:rsidR="00021FDD">
          <w:rPr>
            <w:noProof/>
            <w:webHidden/>
          </w:rPr>
          <w:tab/>
        </w:r>
        <w:r w:rsidR="00021FDD">
          <w:rPr>
            <w:noProof/>
            <w:webHidden/>
          </w:rPr>
          <w:fldChar w:fldCharType="begin"/>
        </w:r>
        <w:r w:rsidR="00021FDD">
          <w:rPr>
            <w:noProof/>
            <w:webHidden/>
          </w:rPr>
          <w:instrText xml:space="preserve"> PAGEREF _Toc75952299 \h </w:instrText>
        </w:r>
        <w:r w:rsidR="00021FDD">
          <w:rPr>
            <w:noProof/>
            <w:webHidden/>
          </w:rPr>
        </w:r>
        <w:r w:rsidR="00021FDD">
          <w:rPr>
            <w:noProof/>
            <w:webHidden/>
          </w:rPr>
          <w:fldChar w:fldCharType="separate"/>
        </w:r>
        <w:r w:rsidR="00021FDD">
          <w:rPr>
            <w:noProof/>
            <w:webHidden/>
          </w:rPr>
          <w:t>185</w:t>
        </w:r>
        <w:r w:rsidR="00021FDD">
          <w:rPr>
            <w:noProof/>
            <w:webHidden/>
          </w:rPr>
          <w:fldChar w:fldCharType="end"/>
        </w:r>
      </w:hyperlink>
    </w:p>
    <w:p w14:paraId="54F22490" w14:textId="55C4779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0" w:history="1">
        <w:r w:rsidR="00021FDD" w:rsidRPr="00952E2B">
          <w:rPr>
            <w:rStyle w:val="Hypertextovodkaz"/>
            <w:noProof/>
          </w:rPr>
          <w:t>Graf 120: EU – míra vyřizování sporných obč. a obchodních věcí, 2012–2018</w:t>
        </w:r>
        <w:r w:rsidR="00021FDD">
          <w:rPr>
            <w:noProof/>
            <w:webHidden/>
          </w:rPr>
          <w:tab/>
        </w:r>
        <w:r w:rsidR="00021FDD">
          <w:rPr>
            <w:noProof/>
            <w:webHidden/>
          </w:rPr>
          <w:fldChar w:fldCharType="begin"/>
        </w:r>
        <w:r w:rsidR="00021FDD">
          <w:rPr>
            <w:noProof/>
            <w:webHidden/>
          </w:rPr>
          <w:instrText xml:space="preserve"> PAGEREF _Toc75952300 \h </w:instrText>
        </w:r>
        <w:r w:rsidR="00021FDD">
          <w:rPr>
            <w:noProof/>
            <w:webHidden/>
          </w:rPr>
        </w:r>
        <w:r w:rsidR="00021FDD">
          <w:rPr>
            <w:noProof/>
            <w:webHidden/>
          </w:rPr>
          <w:fldChar w:fldCharType="separate"/>
        </w:r>
        <w:r w:rsidR="00021FDD">
          <w:rPr>
            <w:noProof/>
            <w:webHidden/>
          </w:rPr>
          <w:t>186</w:t>
        </w:r>
        <w:r w:rsidR="00021FDD">
          <w:rPr>
            <w:noProof/>
            <w:webHidden/>
          </w:rPr>
          <w:fldChar w:fldCharType="end"/>
        </w:r>
      </w:hyperlink>
    </w:p>
    <w:p w14:paraId="687179D5" w14:textId="623AC8F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1" w:history="1">
        <w:r w:rsidR="00021FDD" w:rsidRPr="00952E2B">
          <w:rPr>
            <w:rStyle w:val="Hypertextovodkaz"/>
            <w:noProof/>
          </w:rPr>
          <w:t>Graf 121: Počet videokonferencí měsíčně, roky 2017 až 2020</w:t>
        </w:r>
        <w:r w:rsidR="00021FDD">
          <w:rPr>
            <w:noProof/>
            <w:webHidden/>
          </w:rPr>
          <w:tab/>
        </w:r>
        <w:r w:rsidR="00021FDD">
          <w:rPr>
            <w:noProof/>
            <w:webHidden/>
          </w:rPr>
          <w:fldChar w:fldCharType="begin"/>
        </w:r>
        <w:r w:rsidR="00021FDD">
          <w:rPr>
            <w:noProof/>
            <w:webHidden/>
          </w:rPr>
          <w:instrText xml:space="preserve"> PAGEREF _Toc75952301 \h </w:instrText>
        </w:r>
        <w:r w:rsidR="00021FDD">
          <w:rPr>
            <w:noProof/>
            <w:webHidden/>
          </w:rPr>
        </w:r>
        <w:r w:rsidR="00021FDD">
          <w:rPr>
            <w:noProof/>
            <w:webHidden/>
          </w:rPr>
          <w:fldChar w:fldCharType="separate"/>
        </w:r>
        <w:r w:rsidR="00021FDD">
          <w:rPr>
            <w:noProof/>
            <w:webHidden/>
          </w:rPr>
          <w:t>188</w:t>
        </w:r>
        <w:r w:rsidR="00021FDD">
          <w:rPr>
            <w:noProof/>
            <w:webHidden/>
          </w:rPr>
          <w:fldChar w:fldCharType="end"/>
        </w:r>
      </w:hyperlink>
    </w:p>
    <w:p w14:paraId="645BD231" w14:textId="4C4064F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2" w:history="1">
        <w:r w:rsidR="00021FDD" w:rsidRPr="00952E2B">
          <w:rPr>
            <w:rStyle w:val="Hypertextovodkaz"/>
            <w:noProof/>
          </w:rPr>
          <w:t>Graf 122: Koncept technické efektivnosti</w:t>
        </w:r>
        <w:r w:rsidR="00021FDD">
          <w:rPr>
            <w:noProof/>
            <w:webHidden/>
          </w:rPr>
          <w:tab/>
        </w:r>
        <w:r w:rsidR="00021FDD">
          <w:rPr>
            <w:noProof/>
            <w:webHidden/>
          </w:rPr>
          <w:fldChar w:fldCharType="begin"/>
        </w:r>
        <w:r w:rsidR="00021FDD">
          <w:rPr>
            <w:noProof/>
            <w:webHidden/>
          </w:rPr>
          <w:instrText xml:space="preserve"> PAGEREF _Toc75952302 \h </w:instrText>
        </w:r>
        <w:r w:rsidR="00021FDD">
          <w:rPr>
            <w:noProof/>
            <w:webHidden/>
          </w:rPr>
        </w:r>
        <w:r w:rsidR="00021FDD">
          <w:rPr>
            <w:noProof/>
            <w:webHidden/>
          </w:rPr>
          <w:fldChar w:fldCharType="separate"/>
        </w:r>
        <w:r w:rsidR="00021FDD">
          <w:rPr>
            <w:noProof/>
            <w:webHidden/>
          </w:rPr>
          <w:t>209</w:t>
        </w:r>
        <w:r w:rsidR="00021FDD">
          <w:rPr>
            <w:noProof/>
            <w:webHidden/>
          </w:rPr>
          <w:fldChar w:fldCharType="end"/>
        </w:r>
      </w:hyperlink>
    </w:p>
    <w:p w14:paraId="319B9EA2" w14:textId="0321CAE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3" w:history="1">
        <w:r w:rsidR="00021FDD" w:rsidRPr="00952E2B">
          <w:rPr>
            <w:rStyle w:val="Hypertextovodkaz"/>
            <w:noProof/>
          </w:rPr>
          <w:t>Graf 123: Koncept technické efektivnosti a přídatné proměnné</w:t>
        </w:r>
        <w:r w:rsidR="00021FDD">
          <w:rPr>
            <w:noProof/>
            <w:webHidden/>
          </w:rPr>
          <w:tab/>
        </w:r>
        <w:r w:rsidR="00021FDD">
          <w:rPr>
            <w:noProof/>
            <w:webHidden/>
          </w:rPr>
          <w:fldChar w:fldCharType="begin"/>
        </w:r>
        <w:r w:rsidR="00021FDD">
          <w:rPr>
            <w:noProof/>
            <w:webHidden/>
          </w:rPr>
          <w:instrText xml:space="preserve"> PAGEREF _Toc75952303 \h </w:instrText>
        </w:r>
        <w:r w:rsidR="00021FDD">
          <w:rPr>
            <w:noProof/>
            <w:webHidden/>
          </w:rPr>
        </w:r>
        <w:r w:rsidR="00021FDD">
          <w:rPr>
            <w:noProof/>
            <w:webHidden/>
          </w:rPr>
          <w:fldChar w:fldCharType="separate"/>
        </w:r>
        <w:r w:rsidR="00021FDD">
          <w:rPr>
            <w:noProof/>
            <w:webHidden/>
          </w:rPr>
          <w:t>210</w:t>
        </w:r>
        <w:r w:rsidR="00021FDD">
          <w:rPr>
            <w:noProof/>
            <w:webHidden/>
          </w:rPr>
          <w:fldChar w:fldCharType="end"/>
        </w:r>
      </w:hyperlink>
    </w:p>
    <w:p w14:paraId="6B012A64" w14:textId="3A2177DB" w:rsidR="008430BD" w:rsidRPr="001C3EC8" w:rsidRDefault="008430BD" w:rsidP="008430BD">
      <w:pPr>
        <w:spacing w:line="240" w:lineRule="auto"/>
        <w:jc w:val="left"/>
        <w:rPr>
          <w:color w:val="000000" w:themeColor="text1"/>
          <w:highlight w:val="yellow"/>
        </w:rPr>
      </w:pPr>
      <w:r w:rsidRPr="001C3EC8">
        <w:rPr>
          <w:color w:val="000000" w:themeColor="text1"/>
          <w:highlight w:val="yellow"/>
        </w:rPr>
        <w:fldChar w:fldCharType="end"/>
      </w:r>
      <w:r w:rsidRPr="001C3EC8">
        <w:rPr>
          <w:color w:val="000000" w:themeColor="text1"/>
          <w:highlight w:val="yellow"/>
        </w:rPr>
        <w:br w:type="page"/>
      </w:r>
    </w:p>
    <w:p w14:paraId="26C437B7" w14:textId="77777777" w:rsidR="008430BD" w:rsidRPr="001C3EC8" w:rsidRDefault="008430BD" w:rsidP="008430BD">
      <w:pPr>
        <w:pStyle w:val="Nadpis1"/>
        <w:ind w:left="432" w:hanging="432"/>
        <w:rPr>
          <w:color w:val="000000" w:themeColor="text1"/>
        </w:rPr>
      </w:pPr>
      <w:bookmarkStart w:id="929" w:name="_Toc487791315"/>
      <w:bookmarkStart w:id="930" w:name="_Toc75952169"/>
      <w:r w:rsidRPr="001C3EC8">
        <w:rPr>
          <w:color w:val="000000" w:themeColor="text1"/>
        </w:rPr>
        <w:lastRenderedPageBreak/>
        <w:t>Seznam tabulek</w:t>
      </w:r>
      <w:bookmarkEnd w:id="929"/>
      <w:bookmarkEnd w:id="930"/>
    </w:p>
    <w:p w14:paraId="453C23D9" w14:textId="6CE0B225" w:rsidR="00021FDD" w:rsidRDefault="008430BD">
      <w:pPr>
        <w:pStyle w:val="Seznamobrzk"/>
        <w:tabs>
          <w:tab w:val="right" w:leader="dot" w:pos="9060"/>
        </w:tabs>
        <w:rPr>
          <w:rFonts w:asciiTheme="minorHAnsi" w:eastAsiaTheme="minorEastAsia" w:hAnsiTheme="minorHAnsi" w:cstheme="minorBidi"/>
          <w:noProof/>
          <w:sz w:val="22"/>
          <w:lang w:eastAsia="cs-CZ"/>
        </w:rPr>
      </w:pPr>
      <w:r w:rsidRPr="001C3EC8">
        <w:rPr>
          <w:b/>
          <w:bCs/>
          <w:noProof/>
          <w:color w:val="000000" w:themeColor="text1"/>
          <w:highlight w:val="yellow"/>
        </w:rPr>
        <w:fldChar w:fldCharType="begin"/>
      </w:r>
      <w:r w:rsidRPr="001C3EC8">
        <w:rPr>
          <w:b/>
          <w:bCs/>
          <w:noProof/>
          <w:color w:val="000000" w:themeColor="text1"/>
          <w:highlight w:val="yellow"/>
        </w:rPr>
        <w:instrText xml:space="preserve"> TOC \h \z \c "Tabulka" </w:instrText>
      </w:r>
      <w:r w:rsidRPr="001C3EC8">
        <w:rPr>
          <w:b/>
          <w:bCs/>
          <w:noProof/>
          <w:color w:val="000000" w:themeColor="text1"/>
          <w:highlight w:val="yellow"/>
        </w:rPr>
        <w:fldChar w:fldCharType="separate"/>
      </w:r>
      <w:hyperlink w:anchor="_Toc75952304" w:history="1">
        <w:r w:rsidR="00021FDD" w:rsidRPr="001E67FF">
          <w:rPr>
            <w:rStyle w:val="Hypertextovodkaz"/>
            <w:noProof/>
          </w:rPr>
          <w:t>Tabulka 1: OS – počet soudců dle krajů</w:t>
        </w:r>
        <w:r w:rsidR="00021FDD">
          <w:rPr>
            <w:noProof/>
            <w:webHidden/>
          </w:rPr>
          <w:tab/>
        </w:r>
        <w:r w:rsidR="00021FDD">
          <w:rPr>
            <w:noProof/>
            <w:webHidden/>
          </w:rPr>
          <w:fldChar w:fldCharType="begin"/>
        </w:r>
        <w:r w:rsidR="00021FDD">
          <w:rPr>
            <w:noProof/>
            <w:webHidden/>
          </w:rPr>
          <w:instrText xml:space="preserve"> PAGEREF _Toc75952304 \h </w:instrText>
        </w:r>
        <w:r w:rsidR="00021FDD">
          <w:rPr>
            <w:noProof/>
            <w:webHidden/>
          </w:rPr>
        </w:r>
        <w:r w:rsidR="00021FDD">
          <w:rPr>
            <w:noProof/>
            <w:webHidden/>
          </w:rPr>
          <w:fldChar w:fldCharType="separate"/>
        </w:r>
        <w:r w:rsidR="00021FDD">
          <w:rPr>
            <w:noProof/>
            <w:webHidden/>
          </w:rPr>
          <w:t>14</w:t>
        </w:r>
        <w:r w:rsidR="00021FDD">
          <w:rPr>
            <w:noProof/>
            <w:webHidden/>
          </w:rPr>
          <w:fldChar w:fldCharType="end"/>
        </w:r>
      </w:hyperlink>
    </w:p>
    <w:p w14:paraId="2F3813E0" w14:textId="672F0E8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5" w:history="1">
        <w:r w:rsidR="00021FDD" w:rsidRPr="001E67FF">
          <w:rPr>
            <w:rStyle w:val="Hypertextovodkaz"/>
            <w:noProof/>
          </w:rPr>
          <w:t>Tabulka 2: OS – evidenční počet soudců dle pohlaví a krajů</w:t>
        </w:r>
        <w:r w:rsidR="00021FDD">
          <w:rPr>
            <w:noProof/>
            <w:webHidden/>
          </w:rPr>
          <w:tab/>
        </w:r>
        <w:r w:rsidR="00021FDD">
          <w:rPr>
            <w:noProof/>
            <w:webHidden/>
          </w:rPr>
          <w:fldChar w:fldCharType="begin"/>
        </w:r>
        <w:r w:rsidR="00021FDD">
          <w:rPr>
            <w:noProof/>
            <w:webHidden/>
          </w:rPr>
          <w:instrText xml:space="preserve"> PAGEREF _Toc75952305 \h </w:instrText>
        </w:r>
        <w:r w:rsidR="00021FDD">
          <w:rPr>
            <w:noProof/>
            <w:webHidden/>
          </w:rPr>
        </w:r>
        <w:r w:rsidR="00021FDD">
          <w:rPr>
            <w:noProof/>
            <w:webHidden/>
          </w:rPr>
          <w:fldChar w:fldCharType="separate"/>
        </w:r>
        <w:r w:rsidR="00021FDD">
          <w:rPr>
            <w:noProof/>
            <w:webHidden/>
          </w:rPr>
          <w:t>16</w:t>
        </w:r>
        <w:r w:rsidR="00021FDD">
          <w:rPr>
            <w:noProof/>
            <w:webHidden/>
          </w:rPr>
          <w:fldChar w:fldCharType="end"/>
        </w:r>
      </w:hyperlink>
    </w:p>
    <w:p w14:paraId="155F3C43" w14:textId="6F89681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6" w:history="1">
        <w:r w:rsidR="00021FDD" w:rsidRPr="001E67FF">
          <w:rPr>
            <w:rStyle w:val="Hypertextovodkaz"/>
            <w:noProof/>
          </w:rPr>
          <w:t>Tabulka 3: OS – předsedové a místopředsedové soudů</w:t>
        </w:r>
        <w:r w:rsidR="00021FDD">
          <w:rPr>
            <w:noProof/>
            <w:webHidden/>
          </w:rPr>
          <w:tab/>
        </w:r>
        <w:r w:rsidR="00021FDD">
          <w:rPr>
            <w:noProof/>
            <w:webHidden/>
          </w:rPr>
          <w:fldChar w:fldCharType="begin"/>
        </w:r>
        <w:r w:rsidR="00021FDD">
          <w:rPr>
            <w:noProof/>
            <w:webHidden/>
          </w:rPr>
          <w:instrText xml:space="preserve"> PAGEREF _Toc75952306 \h </w:instrText>
        </w:r>
        <w:r w:rsidR="00021FDD">
          <w:rPr>
            <w:noProof/>
            <w:webHidden/>
          </w:rPr>
        </w:r>
        <w:r w:rsidR="00021FDD">
          <w:rPr>
            <w:noProof/>
            <w:webHidden/>
          </w:rPr>
          <w:fldChar w:fldCharType="separate"/>
        </w:r>
        <w:r w:rsidR="00021FDD">
          <w:rPr>
            <w:noProof/>
            <w:webHidden/>
          </w:rPr>
          <w:t>16</w:t>
        </w:r>
        <w:r w:rsidR="00021FDD">
          <w:rPr>
            <w:noProof/>
            <w:webHidden/>
          </w:rPr>
          <w:fldChar w:fldCharType="end"/>
        </w:r>
      </w:hyperlink>
    </w:p>
    <w:p w14:paraId="01979F8D" w14:textId="0872DC9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7" w:history="1">
        <w:r w:rsidR="00021FDD" w:rsidRPr="001E67FF">
          <w:rPr>
            <w:rStyle w:val="Hypertextovodkaz"/>
            <w:noProof/>
          </w:rPr>
          <w:t>Tabulka 4: OS – věková struktura soudců dle krajů</w:t>
        </w:r>
        <w:r w:rsidR="00021FDD">
          <w:rPr>
            <w:noProof/>
            <w:webHidden/>
          </w:rPr>
          <w:tab/>
        </w:r>
        <w:r w:rsidR="00021FDD">
          <w:rPr>
            <w:noProof/>
            <w:webHidden/>
          </w:rPr>
          <w:fldChar w:fldCharType="begin"/>
        </w:r>
        <w:r w:rsidR="00021FDD">
          <w:rPr>
            <w:noProof/>
            <w:webHidden/>
          </w:rPr>
          <w:instrText xml:space="preserve"> PAGEREF _Toc75952307 \h </w:instrText>
        </w:r>
        <w:r w:rsidR="00021FDD">
          <w:rPr>
            <w:noProof/>
            <w:webHidden/>
          </w:rPr>
        </w:r>
        <w:r w:rsidR="00021FDD">
          <w:rPr>
            <w:noProof/>
            <w:webHidden/>
          </w:rPr>
          <w:fldChar w:fldCharType="separate"/>
        </w:r>
        <w:r w:rsidR="00021FDD">
          <w:rPr>
            <w:noProof/>
            <w:webHidden/>
          </w:rPr>
          <w:t>18</w:t>
        </w:r>
        <w:r w:rsidR="00021FDD">
          <w:rPr>
            <w:noProof/>
            <w:webHidden/>
          </w:rPr>
          <w:fldChar w:fldCharType="end"/>
        </w:r>
      </w:hyperlink>
    </w:p>
    <w:p w14:paraId="30D08318" w14:textId="5CE68242"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8" w:history="1">
        <w:r w:rsidR="00021FDD" w:rsidRPr="001E67FF">
          <w:rPr>
            <w:rStyle w:val="Hypertextovodkaz"/>
            <w:noProof/>
          </w:rPr>
          <w:t>Tabulka 5: OS – srovnání evidenčního a plánovaného počtu soudců za 6 let</w:t>
        </w:r>
        <w:r w:rsidR="00021FDD">
          <w:rPr>
            <w:noProof/>
            <w:webHidden/>
          </w:rPr>
          <w:tab/>
        </w:r>
        <w:r w:rsidR="00021FDD">
          <w:rPr>
            <w:noProof/>
            <w:webHidden/>
          </w:rPr>
          <w:fldChar w:fldCharType="begin"/>
        </w:r>
        <w:r w:rsidR="00021FDD">
          <w:rPr>
            <w:noProof/>
            <w:webHidden/>
          </w:rPr>
          <w:instrText xml:space="preserve"> PAGEREF _Toc75952308 \h </w:instrText>
        </w:r>
        <w:r w:rsidR="00021FDD">
          <w:rPr>
            <w:noProof/>
            <w:webHidden/>
          </w:rPr>
        </w:r>
        <w:r w:rsidR="00021FDD">
          <w:rPr>
            <w:noProof/>
            <w:webHidden/>
          </w:rPr>
          <w:fldChar w:fldCharType="separate"/>
        </w:r>
        <w:r w:rsidR="00021FDD">
          <w:rPr>
            <w:noProof/>
            <w:webHidden/>
          </w:rPr>
          <w:t>19</w:t>
        </w:r>
        <w:r w:rsidR="00021FDD">
          <w:rPr>
            <w:noProof/>
            <w:webHidden/>
          </w:rPr>
          <w:fldChar w:fldCharType="end"/>
        </w:r>
      </w:hyperlink>
    </w:p>
    <w:p w14:paraId="4A420344" w14:textId="2BE6FE22"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09" w:history="1">
        <w:r w:rsidR="00021FDD" w:rsidRPr="001E67FF">
          <w:rPr>
            <w:rStyle w:val="Hypertextovodkaz"/>
            <w:noProof/>
          </w:rPr>
          <w:t>Tabulka 6: OS – evidenční počet zaměstnanců ve výkonu dle krajů</w:t>
        </w:r>
        <w:r w:rsidR="00021FDD">
          <w:rPr>
            <w:noProof/>
            <w:webHidden/>
          </w:rPr>
          <w:tab/>
        </w:r>
        <w:r w:rsidR="00021FDD">
          <w:rPr>
            <w:noProof/>
            <w:webHidden/>
          </w:rPr>
          <w:fldChar w:fldCharType="begin"/>
        </w:r>
        <w:r w:rsidR="00021FDD">
          <w:rPr>
            <w:noProof/>
            <w:webHidden/>
          </w:rPr>
          <w:instrText xml:space="preserve"> PAGEREF _Toc75952309 \h </w:instrText>
        </w:r>
        <w:r w:rsidR="00021FDD">
          <w:rPr>
            <w:noProof/>
            <w:webHidden/>
          </w:rPr>
        </w:r>
        <w:r w:rsidR="00021FDD">
          <w:rPr>
            <w:noProof/>
            <w:webHidden/>
          </w:rPr>
          <w:fldChar w:fldCharType="separate"/>
        </w:r>
        <w:r w:rsidR="00021FDD">
          <w:rPr>
            <w:noProof/>
            <w:webHidden/>
          </w:rPr>
          <w:t>19</w:t>
        </w:r>
        <w:r w:rsidR="00021FDD">
          <w:rPr>
            <w:noProof/>
            <w:webHidden/>
          </w:rPr>
          <w:fldChar w:fldCharType="end"/>
        </w:r>
      </w:hyperlink>
    </w:p>
    <w:p w14:paraId="61841AFC" w14:textId="3908F16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0" w:history="1">
        <w:r w:rsidR="00021FDD" w:rsidRPr="001E67FF">
          <w:rPr>
            <w:rStyle w:val="Hypertextovodkaz"/>
            <w:noProof/>
          </w:rPr>
          <w:t>Tabulka 7: OS – počet přísedících dle krajů a pohlaví</w:t>
        </w:r>
        <w:r w:rsidR="00021FDD">
          <w:rPr>
            <w:noProof/>
            <w:webHidden/>
          </w:rPr>
          <w:tab/>
        </w:r>
        <w:r w:rsidR="00021FDD">
          <w:rPr>
            <w:noProof/>
            <w:webHidden/>
          </w:rPr>
          <w:fldChar w:fldCharType="begin"/>
        </w:r>
        <w:r w:rsidR="00021FDD">
          <w:rPr>
            <w:noProof/>
            <w:webHidden/>
          </w:rPr>
          <w:instrText xml:space="preserve"> PAGEREF _Toc75952310 \h </w:instrText>
        </w:r>
        <w:r w:rsidR="00021FDD">
          <w:rPr>
            <w:noProof/>
            <w:webHidden/>
          </w:rPr>
        </w:r>
        <w:r w:rsidR="00021FDD">
          <w:rPr>
            <w:noProof/>
            <w:webHidden/>
          </w:rPr>
          <w:fldChar w:fldCharType="separate"/>
        </w:r>
        <w:r w:rsidR="00021FDD">
          <w:rPr>
            <w:noProof/>
            <w:webHidden/>
          </w:rPr>
          <w:t>21</w:t>
        </w:r>
        <w:r w:rsidR="00021FDD">
          <w:rPr>
            <w:noProof/>
            <w:webHidden/>
          </w:rPr>
          <w:fldChar w:fldCharType="end"/>
        </w:r>
      </w:hyperlink>
    </w:p>
    <w:p w14:paraId="240C1E73" w14:textId="495A038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1" w:history="1">
        <w:r w:rsidR="00021FDD" w:rsidRPr="001E67FF">
          <w:rPr>
            <w:rStyle w:val="Hypertextovodkaz"/>
            <w:noProof/>
          </w:rPr>
          <w:t>Tabulka 8: OS – počet přísedících dle krajů a věku</w:t>
        </w:r>
        <w:r w:rsidR="00021FDD">
          <w:rPr>
            <w:noProof/>
            <w:webHidden/>
          </w:rPr>
          <w:tab/>
        </w:r>
        <w:r w:rsidR="00021FDD">
          <w:rPr>
            <w:noProof/>
            <w:webHidden/>
          </w:rPr>
          <w:fldChar w:fldCharType="begin"/>
        </w:r>
        <w:r w:rsidR="00021FDD">
          <w:rPr>
            <w:noProof/>
            <w:webHidden/>
          </w:rPr>
          <w:instrText xml:space="preserve"> PAGEREF _Toc75952311 \h </w:instrText>
        </w:r>
        <w:r w:rsidR="00021FDD">
          <w:rPr>
            <w:noProof/>
            <w:webHidden/>
          </w:rPr>
        </w:r>
        <w:r w:rsidR="00021FDD">
          <w:rPr>
            <w:noProof/>
            <w:webHidden/>
          </w:rPr>
          <w:fldChar w:fldCharType="separate"/>
        </w:r>
        <w:r w:rsidR="00021FDD">
          <w:rPr>
            <w:noProof/>
            <w:webHidden/>
          </w:rPr>
          <w:t>22</w:t>
        </w:r>
        <w:r w:rsidR="00021FDD">
          <w:rPr>
            <w:noProof/>
            <w:webHidden/>
          </w:rPr>
          <w:fldChar w:fldCharType="end"/>
        </w:r>
      </w:hyperlink>
    </w:p>
    <w:p w14:paraId="7FF8E0A3" w14:textId="24886E4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2" w:history="1">
        <w:r w:rsidR="00021FDD" w:rsidRPr="001E67FF">
          <w:rPr>
            <w:rStyle w:val="Hypertextovodkaz"/>
            <w:noProof/>
          </w:rPr>
          <w:t>Tabulka 9: OS – délky civilního řízení dle krajů</w:t>
        </w:r>
        <w:r w:rsidR="00021FDD">
          <w:rPr>
            <w:noProof/>
            <w:webHidden/>
          </w:rPr>
          <w:tab/>
        </w:r>
        <w:r w:rsidR="00021FDD">
          <w:rPr>
            <w:noProof/>
            <w:webHidden/>
          </w:rPr>
          <w:fldChar w:fldCharType="begin"/>
        </w:r>
        <w:r w:rsidR="00021FDD">
          <w:rPr>
            <w:noProof/>
            <w:webHidden/>
          </w:rPr>
          <w:instrText xml:space="preserve"> PAGEREF _Toc75952312 \h </w:instrText>
        </w:r>
        <w:r w:rsidR="00021FDD">
          <w:rPr>
            <w:noProof/>
            <w:webHidden/>
          </w:rPr>
        </w:r>
        <w:r w:rsidR="00021FDD">
          <w:rPr>
            <w:noProof/>
            <w:webHidden/>
          </w:rPr>
          <w:fldChar w:fldCharType="separate"/>
        </w:r>
        <w:r w:rsidR="00021FDD">
          <w:rPr>
            <w:noProof/>
            <w:webHidden/>
          </w:rPr>
          <w:t>24</w:t>
        </w:r>
        <w:r w:rsidR="00021FDD">
          <w:rPr>
            <w:noProof/>
            <w:webHidden/>
          </w:rPr>
          <w:fldChar w:fldCharType="end"/>
        </w:r>
      </w:hyperlink>
    </w:p>
    <w:p w14:paraId="09CEDCA2" w14:textId="5AAAFE8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3" w:history="1">
        <w:r w:rsidR="00021FDD" w:rsidRPr="001E67FF">
          <w:rPr>
            <w:rStyle w:val="Hypertextovodkaz"/>
            <w:noProof/>
          </w:rPr>
          <w:t>Tabulka 10: OS – vyřizování civilních věcí dle krajů</w:t>
        </w:r>
        <w:r w:rsidR="00021FDD">
          <w:rPr>
            <w:noProof/>
            <w:webHidden/>
          </w:rPr>
          <w:tab/>
        </w:r>
        <w:r w:rsidR="00021FDD">
          <w:rPr>
            <w:noProof/>
            <w:webHidden/>
          </w:rPr>
          <w:fldChar w:fldCharType="begin"/>
        </w:r>
        <w:r w:rsidR="00021FDD">
          <w:rPr>
            <w:noProof/>
            <w:webHidden/>
          </w:rPr>
          <w:instrText xml:space="preserve"> PAGEREF _Toc75952313 \h </w:instrText>
        </w:r>
        <w:r w:rsidR="00021FDD">
          <w:rPr>
            <w:noProof/>
            <w:webHidden/>
          </w:rPr>
        </w:r>
        <w:r w:rsidR="00021FDD">
          <w:rPr>
            <w:noProof/>
            <w:webHidden/>
          </w:rPr>
          <w:fldChar w:fldCharType="separate"/>
        </w:r>
        <w:r w:rsidR="00021FDD">
          <w:rPr>
            <w:noProof/>
            <w:webHidden/>
          </w:rPr>
          <w:t>28</w:t>
        </w:r>
        <w:r w:rsidR="00021FDD">
          <w:rPr>
            <w:noProof/>
            <w:webHidden/>
          </w:rPr>
          <w:fldChar w:fldCharType="end"/>
        </w:r>
      </w:hyperlink>
    </w:p>
    <w:p w14:paraId="5FF2D970" w14:textId="09D6BAB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4" w:history="1">
        <w:r w:rsidR="00021FDD" w:rsidRPr="001E67FF">
          <w:rPr>
            <w:rStyle w:val="Hypertextovodkaz"/>
            <w:noProof/>
          </w:rPr>
          <w:t>Tabulka 11: OS – vyřizování civilních věcí na úvazek dle krajů</w:t>
        </w:r>
        <w:r w:rsidR="00021FDD">
          <w:rPr>
            <w:noProof/>
            <w:webHidden/>
          </w:rPr>
          <w:tab/>
        </w:r>
        <w:r w:rsidR="00021FDD">
          <w:rPr>
            <w:noProof/>
            <w:webHidden/>
          </w:rPr>
          <w:fldChar w:fldCharType="begin"/>
        </w:r>
        <w:r w:rsidR="00021FDD">
          <w:rPr>
            <w:noProof/>
            <w:webHidden/>
          </w:rPr>
          <w:instrText xml:space="preserve"> PAGEREF _Toc75952314 \h </w:instrText>
        </w:r>
        <w:r w:rsidR="00021FDD">
          <w:rPr>
            <w:noProof/>
            <w:webHidden/>
          </w:rPr>
        </w:r>
        <w:r w:rsidR="00021FDD">
          <w:rPr>
            <w:noProof/>
            <w:webHidden/>
          </w:rPr>
          <w:fldChar w:fldCharType="separate"/>
        </w:r>
        <w:r w:rsidR="00021FDD">
          <w:rPr>
            <w:noProof/>
            <w:webHidden/>
          </w:rPr>
          <w:t>30</w:t>
        </w:r>
        <w:r w:rsidR="00021FDD">
          <w:rPr>
            <w:noProof/>
            <w:webHidden/>
          </w:rPr>
          <w:fldChar w:fldCharType="end"/>
        </w:r>
      </w:hyperlink>
    </w:p>
    <w:p w14:paraId="028C8C70" w14:textId="6F7599A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5" w:history="1">
        <w:r w:rsidR="00021FDD" w:rsidRPr="001E67FF">
          <w:rPr>
            <w:rStyle w:val="Hypertextovodkaz"/>
            <w:noProof/>
          </w:rPr>
          <w:t>Tabulka 12: OS – srovnání evidenčního a skutečného počtu soudců</w:t>
        </w:r>
        <w:r w:rsidR="00021FDD">
          <w:rPr>
            <w:noProof/>
            <w:webHidden/>
          </w:rPr>
          <w:tab/>
        </w:r>
        <w:r w:rsidR="00021FDD">
          <w:rPr>
            <w:noProof/>
            <w:webHidden/>
          </w:rPr>
          <w:fldChar w:fldCharType="begin"/>
        </w:r>
        <w:r w:rsidR="00021FDD">
          <w:rPr>
            <w:noProof/>
            <w:webHidden/>
          </w:rPr>
          <w:instrText xml:space="preserve"> PAGEREF _Toc75952315 \h </w:instrText>
        </w:r>
        <w:r w:rsidR="00021FDD">
          <w:rPr>
            <w:noProof/>
            <w:webHidden/>
          </w:rPr>
        </w:r>
        <w:r w:rsidR="00021FDD">
          <w:rPr>
            <w:noProof/>
            <w:webHidden/>
          </w:rPr>
          <w:fldChar w:fldCharType="separate"/>
        </w:r>
        <w:r w:rsidR="00021FDD">
          <w:rPr>
            <w:noProof/>
            <w:webHidden/>
          </w:rPr>
          <w:t>32</w:t>
        </w:r>
        <w:r w:rsidR="00021FDD">
          <w:rPr>
            <w:noProof/>
            <w:webHidden/>
          </w:rPr>
          <w:fldChar w:fldCharType="end"/>
        </w:r>
      </w:hyperlink>
    </w:p>
    <w:p w14:paraId="64F443A2" w14:textId="0619CD7A"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6" w:history="1">
        <w:r w:rsidR="00021FDD" w:rsidRPr="001E67FF">
          <w:rPr>
            <w:rStyle w:val="Hypertextovodkaz"/>
            <w:noProof/>
          </w:rPr>
          <w:t>Tabulka 13: OS – disposition time v civilním řízení dle krajů</w:t>
        </w:r>
        <w:r w:rsidR="00021FDD">
          <w:rPr>
            <w:noProof/>
            <w:webHidden/>
          </w:rPr>
          <w:tab/>
        </w:r>
        <w:r w:rsidR="00021FDD">
          <w:rPr>
            <w:noProof/>
            <w:webHidden/>
          </w:rPr>
          <w:fldChar w:fldCharType="begin"/>
        </w:r>
        <w:r w:rsidR="00021FDD">
          <w:rPr>
            <w:noProof/>
            <w:webHidden/>
          </w:rPr>
          <w:instrText xml:space="preserve"> PAGEREF _Toc75952316 \h </w:instrText>
        </w:r>
        <w:r w:rsidR="00021FDD">
          <w:rPr>
            <w:noProof/>
            <w:webHidden/>
          </w:rPr>
        </w:r>
        <w:r w:rsidR="00021FDD">
          <w:rPr>
            <w:noProof/>
            <w:webHidden/>
          </w:rPr>
          <w:fldChar w:fldCharType="separate"/>
        </w:r>
        <w:r w:rsidR="00021FDD">
          <w:rPr>
            <w:noProof/>
            <w:webHidden/>
          </w:rPr>
          <w:t>34</w:t>
        </w:r>
        <w:r w:rsidR="00021FDD">
          <w:rPr>
            <w:noProof/>
            <w:webHidden/>
          </w:rPr>
          <w:fldChar w:fldCharType="end"/>
        </w:r>
      </w:hyperlink>
    </w:p>
    <w:p w14:paraId="09D3785F" w14:textId="7B2B034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7" w:history="1">
        <w:r w:rsidR="00021FDD" w:rsidRPr="001E67FF">
          <w:rPr>
            <w:rStyle w:val="Hypertextovodkaz"/>
            <w:noProof/>
          </w:rPr>
          <w:t>Tabulka 14: OS – míra odvolání dle krajů v civilním řízení</w:t>
        </w:r>
        <w:r w:rsidR="00021FDD">
          <w:rPr>
            <w:noProof/>
            <w:webHidden/>
          </w:rPr>
          <w:tab/>
        </w:r>
        <w:r w:rsidR="00021FDD">
          <w:rPr>
            <w:noProof/>
            <w:webHidden/>
          </w:rPr>
          <w:fldChar w:fldCharType="begin"/>
        </w:r>
        <w:r w:rsidR="00021FDD">
          <w:rPr>
            <w:noProof/>
            <w:webHidden/>
          </w:rPr>
          <w:instrText xml:space="preserve"> PAGEREF _Toc75952317 \h </w:instrText>
        </w:r>
        <w:r w:rsidR="00021FDD">
          <w:rPr>
            <w:noProof/>
            <w:webHidden/>
          </w:rPr>
        </w:r>
        <w:r w:rsidR="00021FDD">
          <w:rPr>
            <w:noProof/>
            <w:webHidden/>
          </w:rPr>
          <w:fldChar w:fldCharType="separate"/>
        </w:r>
        <w:r w:rsidR="00021FDD">
          <w:rPr>
            <w:noProof/>
            <w:webHidden/>
          </w:rPr>
          <w:t>36</w:t>
        </w:r>
        <w:r w:rsidR="00021FDD">
          <w:rPr>
            <w:noProof/>
            <w:webHidden/>
          </w:rPr>
          <w:fldChar w:fldCharType="end"/>
        </w:r>
      </w:hyperlink>
    </w:p>
    <w:p w14:paraId="10BD88D1" w14:textId="52C800B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8" w:history="1">
        <w:r w:rsidR="00021FDD" w:rsidRPr="001E67FF">
          <w:rPr>
            <w:rStyle w:val="Hypertextovodkaz"/>
            <w:noProof/>
          </w:rPr>
          <w:t>Tabulka 15: OS – míra změny rozsudku dle krajů v civilním řízení</w:t>
        </w:r>
        <w:r w:rsidR="00021FDD">
          <w:rPr>
            <w:noProof/>
            <w:webHidden/>
          </w:rPr>
          <w:tab/>
        </w:r>
        <w:r w:rsidR="00021FDD">
          <w:rPr>
            <w:noProof/>
            <w:webHidden/>
          </w:rPr>
          <w:fldChar w:fldCharType="begin"/>
        </w:r>
        <w:r w:rsidR="00021FDD">
          <w:rPr>
            <w:noProof/>
            <w:webHidden/>
          </w:rPr>
          <w:instrText xml:space="preserve"> PAGEREF _Toc75952318 \h </w:instrText>
        </w:r>
        <w:r w:rsidR="00021FDD">
          <w:rPr>
            <w:noProof/>
            <w:webHidden/>
          </w:rPr>
        </w:r>
        <w:r w:rsidR="00021FDD">
          <w:rPr>
            <w:noProof/>
            <w:webHidden/>
          </w:rPr>
          <w:fldChar w:fldCharType="separate"/>
        </w:r>
        <w:r w:rsidR="00021FDD">
          <w:rPr>
            <w:noProof/>
            <w:webHidden/>
          </w:rPr>
          <w:t>37</w:t>
        </w:r>
        <w:r w:rsidR="00021FDD">
          <w:rPr>
            <w:noProof/>
            <w:webHidden/>
          </w:rPr>
          <w:fldChar w:fldCharType="end"/>
        </w:r>
      </w:hyperlink>
    </w:p>
    <w:p w14:paraId="52366529" w14:textId="3F96956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19" w:history="1">
        <w:r w:rsidR="00021FDD" w:rsidRPr="001E67FF">
          <w:rPr>
            <w:rStyle w:val="Hypertextovodkaz"/>
            <w:noProof/>
          </w:rPr>
          <w:t>Tabulka 16: OS – nápad civilních věcí na 1 000 obyvatel</w:t>
        </w:r>
        <w:r w:rsidR="00021FDD">
          <w:rPr>
            <w:noProof/>
            <w:webHidden/>
          </w:rPr>
          <w:tab/>
        </w:r>
        <w:r w:rsidR="00021FDD">
          <w:rPr>
            <w:noProof/>
            <w:webHidden/>
          </w:rPr>
          <w:fldChar w:fldCharType="begin"/>
        </w:r>
        <w:r w:rsidR="00021FDD">
          <w:rPr>
            <w:noProof/>
            <w:webHidden/>
          </w:rPr>
          <w:instrText xml:space="preserve"> PAGEREF _Toc75952319 \h </w:instrText>
        </w:r>
        <w:r w:rsidR="00021FDD">
          <w:rPr>
            <w:noProof/>
            <w:webHidden/>
          </w:rPr>
        </w:r>
        <w:r w:rsidR="00021FDD">
          <w:rPr>
            <w:noProof/>
            <w:webHidden/>
          </w:rPr>
          <w:fldChar w:fldCharType="separate"/>
        </w:r>
        <w:r w:rsidR="00021FDD">
          <w:rPr>
            <w:noProof/>
            <w:webHidden/>
          </w:rPr>
          <w:t>38</w:t>
        </w:r>
        <w:r w:rsidR="00021FDD">
          <w:rPr>
            <w:noProof/>
            <w:webHidden/>
          </w:rPr>
          <w:fldChar w:fldCharType="end"/>
        </w:r>
      </w:hyperlink>
    </w:p>
    <w:p w14:paraId="0BD3A852" w14:textId="36272A7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0" w:history="1">
        <w:r w:rsidR="00021FDD" w:rsidRPr="001E67FF">
          <w:rPr>
            <w:rStyle w:val="Hypertextovodkaz"/>
            <w:noProof/>
          </w:rPr>
          <w:t>Tabulka 17: OS – délky el. rozkazního civilního řízení dle krajů</w:t>
        </w:r>
        <w:r w:rsidR="00021FDD">
          <w:rPr>
            <w:noProof/>
            <w:webHidden/>
          </w:rPr>
          <w:tab/>
        </w:r>
        <w:r w:rsidR="00021FDD">
          <w:rPr>
            <w:noProof/>
            <w:webHidden/>
          </w:rPr>
          <w:fldChar w:fldCharType="begin"/>
        </w:r>
        <w:r w:rsidR="00021FDD">
          <w:rPr>
            <w:noProof/>
            <w:webHidden/>
          </w:rPr>
          <w:instrText xml:space="preserve"> PAGEREF _Toc75952320 \h </w:instrText>
        </w:r>
        <w:r w:rsidR="00021FDD">
          <w:rPr>
            <w:noProof/>
            <w:webHidden/>
          </w:rPr>
        </w:r>
        <w:r w:rsidR="00021FDD">
          <w:rPr>
            <w:noProof/>
            <w:webHidden/>
          </w:rPr>
          <w:fldChar w:fldCharType="separate"/>
        </w:r>
        <w:r w:rsidR="00021FDD">
          <w:rPr>
            <w:noProof/>
            <w:webHidden/>
          </w:rPr>
          <w:t>40</w:t>
        </w:r>
        <w:r w:rsidR="00021FDD">
          <w:rPr>
            <w:noProof/>
            <w:webHidden/>
          </w:rPr>
          <w:fldChar w:fldCharType="end"/>
        </w:r>
      </w:hyperlink>
    </w:p>
    <w:p w14:paraId="51ECFDC5" w14:textId="670BD43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1" w:history="1">
        <w:r w:rsidR="00021FDD" w:rsidRPr="001E67FF">
          <w:rPr>
            <w:rStyle w:val="Hypertextovodkaz"/>
            <w:noProof/>
          </w:rPr>
          <w:t>Tabulka 18: OS – vyřizování věcí v rejstříku EPR dle krajů</w:t>
        </w:r>
        <w:r w:rsidR="00021FDD">
          <w:rPr>
            <w:noProof/>
            <w:webHidden/>
          </w:rPr>
          <w:tab/>
        </w:r>
        <w:r w:rsidR="00021FDD">
          <w:rPr>
            <w:noProof/>
            <w:webHidden/>
          </w:rPr>
          <w:fldChar w:fldCharType="begin"/>
        </w:r>
        <w:r w:rsidR="00021FDD">
          <w:rPr>
            <w:noProof/>
            <w:webHidden/>
          </w:rPr>
          <w:instrText xml:space="preserve"> PAGEREF _Toc75952321 \h </w:instrText>
        </w:r>
        <w:r w:rsidR="00021FDD">
          <w:rPr>
            <w:noProof/>
            <w:webHidden/>
          </w:rPr>
        </w:r>
        <w:r w:rsidR="00021FDD">
          <w:rPr>
            <w:noProof/>
            <w:webHidden/>
          </w:rPr>
          <w:fldChar w:fldCharType="separate"/>
        </w:r>
        <w:r w:rsidR="00021FDD">
          <w:rPr>
            <w:noProof/>
            <w:webHidden/>
          </w:rPr>
          <w:t>42</w:t>
        </w:r>
        <w:r w:rsidR="00021FDD">
          <w:rPr>
            <w:noProof/>
            <w:webHidden/>
          </w:rPr>
          <w:fldChar w:fldCharType="end"/>
        </w:r>
      </w:hyperlink>
    </w:p>
    <w:p w14:paraId="0BD06050" w14:textId="05A7F94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2" w:history="1">
        <w:r w:rsidR="00021FDD" w:rsidRPr="001E67FF">
          <w:rPr>
            <w:rStyle w:val="Hypertextovodkaz"/>
            <w:noProof/>
          </w:rPr>
          <w:t>Tabulka 19: OS – převedeno z rejstříku EPR dle krajů</w:t>
        </w:r>
        <w:r w:rsidR="00021FDD">
          <w:rPr>
            <w:noProof/>
            <w:webHidden/>
          </w:rPr>
          <w:tab/>
        </w:r>
        <w:r w:rsidR="00021FDD">
          <w:rPr>
            <w:noProof/>
            <w:webHidden/>
          </w:rPr>
          <w:fldChar w:fldCharType="begin"/>
        </w:r>
        <w:r w:rsidR="00021FDD">
          <w:rPr>
            <w:noProof/>
            <w:webHidden/>
          </w:rPr>
          <w:instrText xml:space="preserve"> PAGEREF _Toc75952322 \h </w:instrText>
        </w:r>
        <w:r w:rsidR="00021FDD">
          <w:rPr>
            <w:noProof/>
            <w:webHidden/>
          </w:rPr>
        </w:r>
        <w:r w:rsidR="00021FDD">
          <w:rPr>
            <w:noProof/>
            <w:webHidden/>
          </w:rPr>
          <w:fldChar w:fldCharType="separate"/>
        </w:r>
        <w:r w:rsidR="00021FDD">
          <w:rPr>
            <w:noProof/>
            <w:webHidden/>
          </w:rPr>
          <w:t>43</w:t>
        </w:r>
        <w:r w:rsidR="00021FDD">
          <w:rPr>
            <w:noProof/>
            <w:webHidden/>
          </w:rPr>
          <w:fldChar w:fldCharType="end"/>
        </w:r>
      </w:hyperlink>
    </w:p>
    <w:p w14:paraId="540B8632" w14:textId="01FFB3C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3" w:history="1">
        <w:r w:rsidR="00021FDD" w:rsidRPr="001E67FF">
          <w:rPr>
            <w:rStyle w:val="Hypertextovodkaz"/>
            <w:noProof/>
          </w:rPr>
          <w:t>Tabulka 20: OS – délky trestního řízení dle krajů</w:t>
        </w:r>
        <w:r w:rsidR="00021FDD">
          <w:rPr>
            <w:noProof/>
            <w:webHidden/>
          </w:rPr>
          <w:tab/>
        </w:r>
        <w:r w:rsidR="00021FDD">
          <w:rPr>
            <w:noProof/>
            <w:webHidden/>
          </w:rPr>
          <w:fldChar w:fldCharType="begin"/>
        </w:r>
        <w:r w:rsidR="00021FDD">
          <w:rPr>
            <w:noProof/>
            <w:webHidden/>
          </w:rPr>
          <w:instrText xml:space="preserve"> PAGEREF _Toc75952323 \h </w:instrText>
        </w:r>
        <w:r w:rsidR="00021FDD">
          <w:rPr>
            <w:noProof/>
            <w:webHidden/>
          </w:rPr>
        </w:r>
        <w:r w:rsidR="00021FDD">
          <w:rPr>
            <w:noProof/>
            <w:webHidden/>
          </w:rPr>
          <w:fldChar w:fldCharType="separate"/>
        </w:r>
        <w:r w:rsidR="00021FDD">
          <w:rPr>
            <w:noProof/>
            <w:webHidden/>
          </w:rPr>
          <w:t>46</w:t>
        </w:r>
        <w:r w:rsidR="00021FDD">
          <w:rPr>
            <w:noProof/>
            <w:webHidden/>
          </w:rPr>
          <w:fldChar w:fldCharType="end"/>
        </w:r>
      </w:hyperlink>
    </w:p>
    <w:p w14:paraId="592821A7" w14:textId="245D49B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4" w:history="1">
        <w:r w:rsidR="00021FDD" w:rsidRPr="001E67FF">
          <w:rPr>
            <w:rStyle w:val="Hypertextovodkaz"/>
            <w:noProof/>
          </w:rPr>
          <w:t>Tabulka 21: OS – vyřizování trestních věcí dle krajů</w:t>
        </w:r>
        <w:r w:rsidR="00021FDD">
          <w:rPr>
            <w:noProof/>
            <w:webHidden/>
          </w:rPr>
          <w:tab/>
        </w:r>
        <w:r w:rsidR="00021FDD">
          <w:rPr>
            <w:noProof/>
            <w:webHidden/>
          </w:rPr>
          <w:fldChar w:fldCharType="begin"/>
        </w:r>
        <w:r w:rsidR="00021FDD">
          <w:rPr>
            <w:noProof/>
            <w:webHidden/>
          </w:rPr>
          <w:instrText xml:space="preserve"> PAGEREF _Toc75952324 \h </w:instrText>
        </w:r>
        <w:r w:rsidR="00021FDD">
          <w:rPr>
            <w:noProof/>
            <w:webHidden/>
          </w:rPr>
        </w:r>
        <w:r w:rsidR="00021FDD">
          <w:rPr>
            <w:noProof/>
            <w:webHidden/>
          </w:rPr>
          <w:fldChar w:fldCharType="separate"/>
        </w:r>
        <w:r w:rsidR="00021FDD">
          <w:rPr>
            <w:noProof/>
            <w:webHidden/>
          </w:rPr>
          <w:t>50</w:t>
        </w:r>
        <w:r w:rsidR="00021FDD">
          <w:rPr>
            <w:noProof/>
            <w:webHidden/>
          </w:rPr>
          <w:fldChar w:fldCharType="end"/>
        </w:r>
      </w:hyperlink>
    </w:p>
    <w:p w14:paraId="739FD650" w14:textId="3BB7DBD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5" w:history="1">
        <w:r w:rsidR="00021FDD" w:rsidRPr="001E67FF">
          <w:rPr>
            <w:rStyle w:val="Hypertextovodkaz"/>
            <w:noProof/>
          </w:rPr>
          <w:t>Tabulka 22: OS – vyřizování trestních věcí na skutečný úvazek dle krajů</w:t>
        </w:r>
        <w:r w:rsidR="00021FDD">
          <w:rPr>
            <w:noProof/>
            <w:webHidden/>
          </w:rPr>
          <w:tab/>
        </w:r>
        <w:r w:rsidR="00021FDD">
          <w:rPr>
            <w:noProof/>
            <w:webHidden/>
          </w:rPr>
          <w:fldChar w:fldCharType="begin"/>
        </w:r>
        <w:r w:rsidR="00021FDD">
          <w:rPr>
            <w:noProof/>
            <w:webHidden/>
          </w:rPr>
          <w:instrText xml:space="preserve"> PAGEREF _Toc75952325 \h </w:instrText>
        </w:r>
        <w:r w:rsidR="00021FDD">
          <w:rPr>
            <w:noProof/>
            <w:webHidden/>
          </w:rPr>
        </w:r>
        <w:r w:rsidR="00021FDD">
          <w:rPr>
            <w:noProof/>
            <w:webHidden/>
          </w:rPr>
          <w:fldChar w:fldCharType="separate"/>
        </w:r>
        <w:r w:rsidR="00021FDD">
          <w:rPr>
            <w:noProof/>
            <w:webHidden/>
          </w:rPr>
          <w:t>51</w:t>
        </w:r>
        <w:r w:rsidR="00021FDD">
          <w:rPr>
            <w:noProof/>
            <w:webHidden/>
          </w:rPr>
          <w:fldChar w:fldCharType="end"/>
        </w:r>
      </w:hyperlink>
    </w:p>
    <w:p w14:paraId="55EDA250" w14:textId="4112FD8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6" w:history="1">
        <w:r w:rsidR="00021FDD" w:rsidRPr="001E67FF">
          <w:rPr>
            <w:rStyle w:val="Hypertextovodkaz"/>
            <w:noProof/>
          </w:rPr>
          <w:t>Tabulka 23: OS – disposition time trestního řízení dle krajů</w:t>
        </w:r>
        <w:r w:rsidR="00021FDD">
          <w:rPr>
            <w:noProof/>
            <w:webHidden/>
          </w:rPr>
          <w:tab/>
        </w:r>
        <w:r w:rsidR="00021FDD">
          <w:rPr>
            <w:noProof/>
            <w:webHidden/>
          </w:rPr>
          <w:fldChar w:fldCharType="begin"/>
        </w:r>
        <w:r w:rsidR="00021FDD">
          <w:rPr>
            <w:noProof/>
            <w:webHidden/>
          </w:rPr>
          <w:instrText xml:space="preserve"> PAGEREF _Toc75952326 \h </w:instrText>
        </w:r>
        <w:r w:rsidR="00021FDD">
          <w:rPr>
            <w:noProof/>
            <w:webHidden/>
          </w:rPr>
        </w:r>
        <w:r w:rsidR="00021FDD">
          <w:rPr>
            <w:noProof/>
            <w:webHidden/>
          </w:rPr>
          <w:fldChar w:fldCharType="separate"/>
        </w:r>
        <w:r w:rsidR="00021FDD">
          <w:rPr>
            <w:noProof/>
            <w:webHidden/>
          </w:rPr>
          <w:t>53</w:t>
        </w:r>
        <w:r w:rsidR="00021FDD">
          <w:rPr>
            <w:noProof/>
            <w:webHidden/>
          </w:rPr>
          <w:fldChar w:fldCharType="end"/>
        </w:r>
      </w:hyperlink>
    </w:p>
    <w:p w14:paraId="1878BC98" w14:textId="68CD1EA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7" w:history="1">
        <w:r w:rsidR="00021FDD" w:rsidRPr="001E67FF">
          <w:rPr>
            <w:rStyle w:val="Hypertextovodkaz"/>
            <w:noProof/>
          </w:rPr>
          <w:t>Tabulka 24: OS – míra odvolání dle krajů v trestním řízení</w:t>
        </w:r>
        <w:r w:rsidR="00021FDD">
          <w:rPr>
            <w:noProof/>
            <w:webHidden/>
          </w:rPr>
          <w:tab/>
        </w:r>
        <w:r w:rsidR="00021FDD">
          <w:rPr>
            <w:noProof/>
            <w:webHidden/>
          </w:rPr>
          <w:fldChar w:fldCharType="begin"/>
        </w:r>
        <w:r w:rsidR="00021FDD">
          <w:rPr>
            <w:noProof/>
            <w:webHidden/>
          </w:rPr>
          <w:instrText xml:space="preserve"> PAGEREF _Toc75952327 \h </w:instrText>
        </w:r>
        <w:r w:rsidR="00021FDD">
          <w:rPr>
            <w:noProof/>
            <w:webHidden/>
          </w:rPr>
        </w:r>
        <w:r w:rsidR="00021FDD">
          <w:rPr>
            <w:noProof/>
            <w:webHidden/>
          </w:rPr>
          <w:fldChar w:fldCharType="separate"/>
        </w:r>
        <w:r w:rsidR="00021FDD">
          <w:rPr>
            <w:noProof/>
            <w:webHidden/>
          </w:rPr>
          <w:t>55</w:t>
        </w:r>
        <w:r w:rsidR="00021FDD">
          <w:rPr>
            <w:noProof/>
            <w:webHidden/>
          </w:rPr>
          <w:fldChar w:fldCharType="end"/>
        </w:r>
      </w:hyperlink>
    </w:p>
    <w:p w14:paraId="6AE7CB6A" w14:textId="7F91B0D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8" w:history="1">
        <w:r w:rsidR="00021FDD" w:rsidRPr="001E67FF">
          <w:rPr>
            <w:rStyle w:val="Hypertextovodkaz"/>
            <w:noProof/>
          </w:rPr>
          <w:t>Tabulka 25: OS – míra změny rozsudku dle krajů v trestním řízení</w:t>
        </w:r>
        <w:r w:rsidR="00021FDD">
          <w:rPr>
            <w:noProof/>
            <w:webHidden/>
          </w:rPr>
          <w:tab/>
        </w:r>
        <w:r w:rsidR="00021FDD">
          <w:rPr>
            <w:noProof/>
            <w:webHidden/>
          </w:rPr>
          <w:fldChar w:fldCharType="begin"/>
        </w:r>
        <w:r w:rsidR="00021FDD">
          <w:rPr>
            <w:noProof/>
            <w:webHidden/>
          </w:rPr>
          <w:instrText xml:space="preserve"> PAGEREF _Toc75952328 \h </w:instrText>
        </w:r>
        <w:r w:rsidR="00021FDD">
          <w:rPr>
            <w:noProof/>
            <w:webHidden/>
          </w:rPr>
        </w:r>
        <w:r w:rsidR="00021FDD">
          <w:rPr>
            <w:noProof/>
            <w:webHidden/>
          </w:rPr>
          <w:fldChar w:fldCharType="separate"/>
        </w:r>
        <w:r w:rsidR="00021FDD">
          <w:rPr>
            <w:noProof/>
            <w:webHidden/>
          </w:rPr>
          <w:t>57</w:t>
        </w:r>
        <w:r w:rsidR="00021FDD">
          <w:rPr>
            <w:noProof/>
            <w:webHidden/>
          </w:rPr>
          <w:fldChar w:fldCharType="end"/>
        </w:r>
      </w:hyperlink>
    </w:p>
    <w:p w14:paraId="59738430" w14:textId="6B73208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29" w:history="1">
        <w:r w:rsidR="00021FDD" w:rsidRPr="001E67FF">
          <w:rPr>
            <w:rStyle w:val="Hypertextovodkaz"/>
            <w:noProof/>
          </w:rPr>
          <w:t>Tabulka 26: OS – počet odsouzených na 1 000 obyvatel dle krajů</w:t>
        </w:r>
        <w:r w:rsidR="00021FDD">
          <w:rPr>
            <w:noProof/>
            <w:webHidden/>
          </w:rPr>
          <w:tab/>
        </w:r>
        <w:r w:rsidR="00021FDD">
          <w:rPr>
            <w:noProof/>
            <w:webHidden/>
          </w:rPr>
          <w:fldChar w:fldCharType="begin"/>
        </w:r>
        <w:r w:rsidR="00021FDD">
          <w:rPr>
            <w:noProof/>
            <w:webHidden/>
          </w:rPr>
          <w:instrText xml:space="preserve"> PAGEREF _Toc75952329 \h </w:instrText>
        </w:r>
        <w:r w:rsidR="00021FDD">
          <w:rPr>
            <w:noProof/>
            <w:webHidden/>
          </w:rPr>
        </w:r>
        <w:r w:rsidR="00021FDD">
          <w:rPr>
            <w:noProof/>
            <w:webHidden/>
          </w:rPr>
          <w:fldChar w:fldCharType="separate"/>
        </w:r>
        <w:r w:rsidR="00021FDD">
          <w:rPr>
            <w:noProof/>
            <w:webHidden/>
          </w:rPr>
          <w:t>59</w:t>
        </w:r>
        <w:r w:rsidR="00021FDD">
          <w:rPr>
            <w:noProof/>
            <w:webHidden/>
          </w:rPr>
          <w:fldChar w:fldCharType="end"/>
        </w:r>
      </w:hyperlink>
    </w:p>
    <w:p w14:paraId="3FA307D2" w14:textId="33C0693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0" w:history="1">
        <w:r w:rsidR="00021FDD" w:rsidRPr="001E67FF">
          <w:rPr>
            <w:rStyle w:val="Hypertextovodkaz"/>
            <w:noProof/>
          </w:rPr>
          <w:t>Tabulka 27: OS – počet odsouzených na 1 000 obyvatel dle národnosti</w:t>
        </w:r>
        <w:r w:rsidR="00021FDD">
          <w:rPr>
            <w:noProof/>
            <w:webHidden/>
          </w:rPr>
          <w:tab/>
        </w:r>
        <w:r w:rsidR="00021FDD">
          <w:rPr>
            <w:noProof/>
            <w:webHidden/>
          </w:rPr>
          <w:fldChar w:fldCharType="begin"/>
        </w:r>
        <w:r w:rsidR="00021FDD">
          <w:rPr>
            <w:noProof/>
            <w:webHidden/>
          </w:rPr>
          <w:instrText xml:space="preserve"> PAGEREF _Toc75952330 \h </w:instrText>
        </w:r>
        <w:r w:rsidR="00021FDD">
          <w:rPr>
            <w:noProof/>
            <w:webHidden/>
          </w:rPr>
        </w:r>
        <w:r w:rsidR="00021FDD">
          <w:rPr>
            <w:noProof/>
            <w:webHidden/>
          </w:rPr>
          <w:fldChar w:fldCharType="separate"/>
        </w:r>
        <w:r w:rsidR="00021FDD">
          <w:rPr>
            <w:noProof/>
            <w:webHidden/>
          </w:rPr>
          <w:t>60</w:t>
        </w:r>
        <w:r w:rsidR="00021FDD">
          <w:rPr>
            <w:noProof/>
            <w:webHidden/>
          </w:rPr>
          <w:fldChar w:fldCharType="end"/>
        </w:r>
      </w:hyperlink>
    </w:p>
    <w:p w14:paraId="6C6FC9B8" w14:textId="234DEE8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1" w:history="1">
        <w:r w:rsidR="00021FDD" w:rsidRPr="001E67FF">
          <w:rPr>
            <w:rStyle w:val="Hypertextovodkaz"/>
            <w:noProof/>
          </w:rPr>
          <w:t>Tabulka 28: OS – pravomocné přeměny peněžitého trestu v jiný trest</w:t>
        </w:r>
        <w:r w:rsidR="00021FDD">
          <w:rPr>
            <w:noProof/>
            <w:webHidden/>
          </w:rPr>
          <w:tab/>
        </w:r>
        <w:r w:rsidR="00021FDD">
          <w:rPr>
            <w:noProof/>
            <w:webHidden/>
          </w:rPr>
          <w:fldChar w:fldCharType="begin"/>
        </w:r>
        <w:r w:rsidR="00021FDD">
          <w:rPr>
            <w:noProof/>
            <w:webHidden/>
          </w:rPr>
          <w:instrText xml:space="preserve"> PAGEREF _Toc75952331 \h </w:instrText>
        </w:r>
        <w:r w:rsidR="00021FDD">
          <w:rPr>
            <w:noProof/>
            <w:webHidden/>
          </w:rPr>
        </w:r>
        <w:r w:rsidR="00021FDD">
          <w:rPr>
            <w:noProof/>
            <w:webHidden/>
          </w:rPr>
          <w:fldChar w:fldCharType="separate"/>
        </w:r>
        <w:r w:rsidR="00021FDD">
          <w:rPr>
            <w:noProof/>
            <w:webHidden/>
          </w:rPr>
          <w:t>63</w:t>
        </w:r>
        <w:r w:rsidR="00021FDD">
          <w:rPr>
            <w:noProof/>
            <w:webHidden/>
          </w:rPr>
          <w:fldChar w:fldCharType="end"/>
        </w:r>
      </w:hyperlink>
    </w:p>
    <w:p w14:paraId="179A8E29" w14:textId="527E9EF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2" w:history="1">
        <w:r w:rsidR="00021FDD" w:rsidRPr="001E67FF">
          <w:rPr>
            <w:rStyle w:val="Hypertextovodkaz"/>
            <w:noProof/>
          </w:rPr>
          <w:t>Tabulka 29: OS – míra odsouzení dle krajů</w:t>
        </w:r>
        <w:r w:rsidR="00021FDD">
          <w:rPr>
            <w:noProof/>
            <w:webHidden/>
          </w:rPr>
          <w:tab/>
        </w:r>
        <w:r w:rsidR="00021FDD">
          <w:rPr>
            <w:noProof/>
            <w:webHidden/>
          </w:rPr>
          <w:fldChar w:fldCharType="begin"/>
        </w:r>
        <w:r w:rsidR="00021FDD">
          <w:rPr>
            <w:noProof/>
            <w:webHidden/>
          </w:rPr>
          <w:instrText xml:space="preserve"> PAGEREF _Toc75952332 \h </w:instrText>
        </w:r>
        <w:r w:rsidR="00021FDD">
          <w:rPr>
            <w:noProof/>
            <w:webHidden/>
          </w:rPr>
        </w:r>
        <w:r w:rsidR="00021FDD">
          <w:rPr>
            <w:noProof/>
            <w:webHidden/>
          </w:rPr>
          <w:fldChar w:fldCharType="separate"/>
        </w:r>
        <w:r w:rsidR="00021FDD">
          <w:rPr>
            <w:noProof/>
            <w:webHidden/>
          </w:rPr>
          <w:t>65</w:t>
        </w:r>
        <w:r w:rsidR="00021FDD">
          <w:rPr>
            <w:noProof/>
            <w:webHidden/>
          </w:rPr>
          <w:fldChar w:fldCharType="end"/>
        </w:r>
      </w:hyperlink>
    </w:p>
    <w:p w14:paraId="1F4C672E" w14:textId="20EBCC4A"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3" w:history="1">
        <w:r w:rsidR="00021FDD" w:rsidRPr="001E67FF">
          <w:rPr>
            <w:rStyle w:val="Hypertextovodkaz"/>
            <w:noProof/>
          </w:rPr>
          <w:t>Tabulka 30: OS – délky řízení v opatrovnické agendě dle krajů</w:t>
        </w:r>
        <w:r w:rsidR="00021FDD">
          <w:rPr>
            <w:noProof/>
            <w:webHidden/>
          </w:rPr>
          <w:tab/>
        </w:r>
        <w:r w:rsidR="00021FDD">
          <w:rPr>
            <w:noProof/>
            <w:webHidden/>
          </w:rPr>
          <w:fldChar w:fldCharType="begin"/>
        </w:r>
        <w:r w:rsidR="00021FDD">
          <w:rPr>
            <w:noProof/>
            <w:webHidden/>
          </w:rPr>
          <w:instrText xml:space="preserve"> PAGEREF _Toc75952333 \h </w:instrText>
        </w:r>
        <w:r w:rsidR="00021FDD">
          <w:rPr>
            <w:noProof/>
            <w:webHidden/>
          </w:rPr>
        </w:r>
        <w:r w:rsidR="00021FDD">
          <w:rPr>
            <w:noProof/>
            <w:webHidden/>
          </w:rPr>
          <w:fldChar w:fldCharType="separate"/>
        </w:r>
        <w:r w:rsidR="00021FDD">
          <w:rPr>
            <w:noProof/>
            <w:webHidden/>
          </w:rPr>
          <w:t>67</w:t>
        </w:r>
        <w:r w:rsidR="00021FDD">
          <w:rPr>
            <w:noProof/>
            <w:webHidden/>
          </w:rPr>
          <w:fldChar w:fldCharType="end"/>
        </w:r>
      </w:hyperlink>
    </w:p>
    <w:p w14:paraId="511F1099" w14:textId="11A71C02"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4" w:history="1">
        <w:r w:rsidR="00021FDD" w:rsidRPr="001E67FF">
          <w:rPr>
            <w:rStyle w:val="Hypertextovodkaz"/>
            <w:noProof/>
          </w:rPr>
          <w:t>Tabulka 31: OS – vyřizování opatrovnických věcí dle krajů</w:t>
        </w:r>
        <w:r w:rsidR="00021FDD">
          <w:rPr>
            <w:noProof/>
            <w:webHidden/>
          </w:rPr>
          <w:tab/>
        </w:r>
        <w:r w:rsidR="00021FDD">
          <w:rPr>
            <w:noProof/>
            <w:webHidden/>
          </w:rPr>
          <w:fldChar w:fldCharType="begin"/>
        </w:r>
        <w:r w:rsidR="00021FDD">
          <w:rPr>
            <w:noProof/>
            <w:webHidden/>
          </w:rPr>
          <w:instrText xml:space="preserve"> PAGEREF _Toc75952334 \h </w:instrText>
        </w:r>
        <w:r w:rsidR="00021FDD">
          <w:rPr>
            <w:noProof/>
            <w:webHidden/>
          </w:rPr>
        </w:r>
        <w:r w:rsidR="00021FDD">
          <w:rPr>
            <w:noProof/>
            <w:webHidden/>
          </w:rPr>
          <w:fldChar w:fldCharType="separate"/>
        </w:r>
        <w:r w:rsidR="00021FDD">
          <w:rPr>
            <w:noProof/>
            <w:webHidden/>
          </w:rPr>
          <w:t>70</w:t>
        </w:r>
        <w:r w:rsidR="00021FDD">
          <w:rPr>
            <w:noProof/>
            <w:webHidden/>
          </w:rPr>
          <w:fldChar w:fldCharType="end"/>
        </w:r>
      </w:hyperlink>
    </w:p>
    <w:p w14:paraId="2FCCA2F6" w14:textId="56DA59E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5" w:history="1">
        <w:r w:rsidR="00021FDD" w:rsidRPr="001E67FF">
          <w:rPr>
            <w:rStyle w:val="Hypertextovodkaz"/>
            <w:noProof/>
          </w:rPr>
          <w:t>Tabulka 32: OS – vyřizování opatrovnických věcí na skutečný úvazek dle krajů</w:t>
        </w:r>
        <w:r w:rsidR="00021FDD">
          <w:rPr>
            <w:noProof/>
            <w:webHidden/>
          </w:rPr>
          <w:tab/>
        </w:r>
        <w:r w:rsidR="00021FDD">
          <w:rPr>
            <w:noProof/>
            <w:webHidden/>
          </w:rPr>
          <w:fldChar w:fldCharType="begin"/>
        </w:r>
        <w:r w:rsidR="00021FDD">
          <w:rPr>
            <w:noProof/>
            <w:webHidden/>
          </w:rPr>
          <w:instrText xml:space="preserve"> PAGEREF _Toc75952335 \h </w:instrText>
        </w:r>
        <w:r w:rsidR="00021FDD">
          <w:rPr>
            <w:noProof/>
            <w:webHidden/>
          </w:rPr>
        </w:r>
        <w:r w:rsidR="00021FDD">
          <w:rPr>
            <w:noProof/>
            <w:webHidden/>
          </w:rPr>
          <w:fldChar w:fldCharType="separate"/>
        </w:r>
        <w:r w:rsidR="00021FDD">
          <w:rPr>
            <w:noProof/>
            <w:webHidden/>
          </w:rPr>
          <w:t>72</w:t>
        </w:r>
        <w:r w:rsidR="00021FDD">
          <w:rPr>
            <w:noProof/>
            <w:webHidden/>
          </w:rPr>
          <w:fldChar w:fldCharType="end"/>
        </w:r>
      </w:hyperlink>
    </w:p>
    <w:p w14:paraId="589487FD" w14:textId="1130482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6" w:history="1">
        <w:r w:rsidR="00021FDD" w:rsidRPr="001E67FF">
          <w:rPr>
            <w:rStyle w:val="Hypertextovodkaz"/>
            <w:noProof/>
          </w:rPr>
          <w:t>Tabulka 33: OS – disposition time v opatrovnické agendě dle krajů</w:t>
        </w:r>
        <w:r w:rsidR="00021FDD">
          <w:rPr>
            <w:noProof/>
            <w:webHidden/>
          </w:rPr>
          <w:tab/>
        </w:r>
        <w:r w:rsidR="00021FDD">
          <w:rPr>
            <w:noProof/>
            <w:webHidden/>
          </w:rPr>
          <w:fldChar w:fldCharType="begin"/>
        </w:r>
        <w:r w:rsidR="00021FDD">
          <w:rPr>
            <w:noProof/>
            <w:webHidden/>
          </w:rPr>
          <w:instrText xml:space="preserve"> PAGEREF _Toc75952336 \h </w:instrText>
        </w:r>
        <w:r w:rsidR="00021FDD">
          <w:rPr>
            <w:noProof/>
            <w:webHidden/>
          </w:rPr>
        </w:r>
        <w:r w:rsidR="00021FDD">
          <w:rPr>
            <w:noProof/>
            <w:webHidden/>
          </w:rPr>
          <w:fldChar w:fldCharType="separate"/>
        </w:r>
        <w:r w:rsidR="00021FDD">
          <w:rPr>
            <w:noProof/>
            <w:webHidden/>
          </w:rPr>
          <w:t>74</w:t>
        </w:r>
        <w:r w:rsidR="00021FDD">
          <w:rPr>
            <w:noProof/>
            <w:webHidden/>
          </w:rPr>
          <w:fldChar w:fldCharType="end"/>
        </w:r>
      </w:hyperlink>
    </w:p>
    <w:p w14:paraId="5531DFD5" w14:textId="7BA1264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7" w:history="1">
        <w:r w:rsidR="00021FDD" w:rsidRPr="001E67FF">
          <w:rPr>
            <w:rStyle w:val="Hypertextovodkaz"/>
            <w:noProof/>
          </w:rPr>
          <w:t>Tabulka 34: OS – nápad opatrovnických věcí na 1 000 obyvatel</w:t>
        </w:r>
        <w:r w:rsidR="00021FDD">
          <w:rPr>
            <w:noProof/>
            <w:webHidden/>
          </w:rPr>
          <w:tab/>
        </w:r>
        <w:r w:rsidR="00021FDD">
          <w:rPr>
            <w:noProof/>
            <w:webHidden/>
          </w:rPr>
          <w:fldChar w:fldCharType="begin"/>
        </w:r>
        <w:r w:rsidR="00021FDD">
          <w:rPr>
            <w:noProof/>
            <w:webHidden/>
          </w:rPr>
          <w:instrText xml:space="preserve"> PAGEREF _Toc75952337 \h </w:instrText>
        </w:r>
        <w:r w:rsidR="00021FDD">
          <w:rPr>
            <w:noProof/>
            <w:webHidden/>
          </w:rPr>
        </w:r>
        <w:r w:rsidR="00021FDD">
          <w:rPr>
            <w:noProof/>
            <w:webHidden/>
          </w:rPr>
          <w:fldChar w:fldCharType="separate"/>
        </w:r>
        <w:r w:rsidR="00021FDD">
          <w:rPr>
            <w:noProof/>
            <w:webHidden/>
          </w:rPr>
          <w:t>79</w:t>
        </w:r>
        <w:r w:rsidR="00021FDD">
          <w:rPr>
            <w:noProof/>
            <w:webHidden/>
          </w:rPr>
          <w:fldChar w:fldCharType="end"/>
        </w:r>
      </w:hyperlink>
    </w:p>
    <w:p w14:paraId="7564CFEF" w14:textId="718FBE3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8" w:history="1">
        <w:r w:rsidR="00021FDD" w:rsidRPr="001E67FF">
          <w:rPr>
            <w:rStyle w:val="Hypertextovodkaz"/>
            <w:noProof/>
          </w:rPr>
          <w:t>Tabulka 35: OS, DEA – výsledky</w:t>
        </w:r>
        <w:r w:rsidR="00021FDD">
          <w:rPr>
            <w:noProof/>
            <w:webHidden/>
          </w:rPr>
          <w:tab/>
        </w:r>
        <w:r w:rsidR="00021FDD">
          <w:rPr>
            <w:noProof/>
            <w:webHidden/>
          </w:rPr>
          <w:fldChar w:fldCharType="begin"/>
        </w:r>
        <w:r w:rsidR="00021FDD">
          <w:rPr>
            <w:noProof/>
            <w:webHidden/>
          </w:rPr>
          <w:instrText xml:space="preserve"> PAGEREF _Toc75952338 \h </w:instrText>
        </w:r>
        <w:r w:rsidR="00021FDD">
          <w:rPr>
            <w:noProof/>
            <w:webHidden/>
          </w:rPr>
        </w:r>
        <w:r w:rsidR="00021FDD">
          <w:rPr>
            <w:noProof/>
            <w:webHidden/>
          </w:rPr>
          <w:fldChar w:fldCharType="separate"/>
        </w:r>
        <w:r w:rsidR="00021FDD">
          <w:rPr>
            <w:noProof/>
            <w:webHidden/>
          </w:rPr>
          <w:t>82</w:t>
        </w:r>
        <w:r w:rsidR="00021FDD">
          <w:rPr>
            <w:noProof/>
            <w:webHidden/>
          </w:rPr>
          <w:fldChar w:fldCharType="end"/>
        </w:r>
      </w:hyperlink>
    </w:p>
    <w:p w14:paraId="3789F0B2" w14:textId="593CC572"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39" w:history="1">
        <w:r w:rsidR="00021FDD" w:rsidRPr="001E67FF">
          <w:rPr>
            <w:rStyle w:val="Hypertextovodkaz"/>
            <w:noProof/>
          </w:rPr>
          <w:t>Tabulka 36: KS – počet soudců dle soudů</w:t>
        </w:r>
        <w:r w:rsidR="00021FDD">
          <w:rPr>
            <w:noProof/>
            <w:webHidden/>
          </w:rPr>
          <w:tab/>
        </w:r>
        <w:r w:rsidR="00021FDD">
          <w:rPr>
            <w:noProof/>
            <w:webHidden/>
          </w:rPr>
          <w:fldChar w:fldCharType="begin"/>
        </w:r>
        <w:r w:rsidR="00021FDD">
          <w:rPr>
            <w:noProof/>
            <w:webHidden/>
          </w:rPr>
          <w:instrText xml:space="preserve"> PAGEREF _Toc75952339 \h </w:instrText>
        </w:r>
        <w:r w:rsidR="00021FDD">
          <w:rPr>
            <w:noProof/>
            <w:webHidden/>
          </w:rPr>
        </w:r>
        <w:r w:rsidR="00021FDD">
          <w:rPr>
            <w:noProof/>
            <w:webHidden/>
          </w:rPr>
          <w:fldChar w:fldCharType="separate"/>
        </w:r>
        <w:r w:rsidR="00021FDD">
          <w:rPr>
            <w:noProof/>
            <w:webHidden/>
          </w:rPr>
          <w:t>86</w:t>
        </w:r>
        <w:r w:rsidR="00021FDD">
          <w:rPr>
            <w:noProof/>
            <w:webHidden/>
          </w:rPr>
          <w:fldChar w:fldCharType="end"/>
        </w:r>
      </w:hyperlink>
    </w:p>
    <w:p w14:paraId="41E3B3A8" w14:textId="6D2380C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0" w:history="1">
        <w:r w:rsidR="00021FDD" w:rsidRPr="001E67FF">
          <w:rPr>
            <w:rStyle w:val="Hypertextovodkaz"/>
            <w:noProof/>
          </w:rPr>
          <w:t>Tabulka 37: KS – evidenční počet soudců dle pohlaví a soudů</w:t>
        </w:r>
        <w:r w:rsidR="00021FDD">
          <w:rPr>
            <w:noProof/>
            <w:webHidden/>
          </w:rPr>
          <w:tab/>
        </w:r>
        <w:r w:rsidR="00021FDD">
          <w:rPr>
            <w:noProof/>
            <w:webHidden/>
          </w:rPr>
          <w:fldChar w:fldCharType="begin"/>
        </w:r>
        <w:r w:rsidR="00021FDD">
          <w:rPr>
            <w:noProof/>
            <w:webHidden/>
          </w:rPr>
          <w:instrText xml:space="preserve"> PAGEREF _Toc75952340 \h </w:instrText>
        </w:r>
        <w:r w:rsidR="00021FDD">
          <w:rPr>
            <w:noProof/>
            <w:webHidden/>
          </w:rPr>
        </w:r>
        <w:r w:rsidR="00021FDD">
          <w:rPr>
            <w:noProof/>
            <w:webHidden/>
          </w:rPr>
          <w:fldChar w:fldCharType="separate"/>
        </w:r>
        <w:r w:rsidR="00021FDD">
          <w:rPr>
            <w:noProof/>
            <w:webHidden/>
          </w:rPr>
          <w:t>87</w:t>
        </w:r>
        <w:r w:rsidR="00021FDD">
          <w:rPr>
            <w:noProof/>
            <w:webHidden/>
          </w:rPr>
          <w:fldChar w:fldCharType="end"/>
        </w:r>
      </w:hyperlink>
    </w:p>
    <w:p w14:paraId="57700973" w14:textId="33185CC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1" w:history="1">
        <w:r w:rsidR="00021FDD" w:rsidRPr="001E67FF">
          <w:rPr>
            <w:rStyle w:val="Hypertextovodkaz"/>
            <w:noProof/>
          </w:rPr>
          <w:t>Tabulka 38: KS – věková struktura soudců dle krajů</w:t>
        </w:r>
        <w:r w:rsidR="00021FDD">
          <w:rPr>
            <w:noProof/>
            <w:webHidden/>
          </w:rPr>
          <w:tab/>
        </w:r>
        <w:r w:rsidR="00021FDD">
          <w:rPr>
            <w:noProof/>
            <w:webHidden/>
          </w:rPr>
          <w:fldChar w:fldCharType="begin"/>
        </w:r>
        <w:r w:rsidR="00021FDD">
          <w:rPr>
            <w:noProof/>
            <w:webHidden/>
          </w:rPr>
          <w:instrText xml:space="preserve"> PAGEREF _Toc75952341 \h </w:instrText>
        </w:r>
        <w:r w:rsidR="00021FDD">
          <w:rPr>
            <w:noProof/>
            <w:webHidden/>
          </w:rPr>
        </w:r>
        <w:r w:rsidR="00021FDD">
          <w:rPr>
            <w:noProof/>
            <w:webHidden/>
          </w:rPr>
          <w:fldChar w:fldCharType="separate"/>
        </w:r>
        <w:r w:rsidR="00021FDD">
          <w:rPr>
            <w:noProof/>
            <w:webHidden/>
          </w:rPr>
          <w:t>89</w:t>
        </w:r>
        <w:r w:rsidR="00021FDD">
          <w:rPr>
            <w:noProof/>
            <w:webHidden/>
          </w:rPr>
          <w:fldChar w:fldCharType="end"/>
        </w:r>
      </w:hyperlink>
    </w:p>
    <w:p w14:paraId="00275D51" w14:textId="6DF9CFD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2" w:history="1">
        <w:r w:rsidR="00021FDD" w:rsidRPr="001E67FF">
          <w:rPr>
            <w:rStyle w:val="Hypertextovodkaz"/>
            <w:noProof/>
          </w:rPr>
          <w:t>Tabulka 39: KS – srovnání evidenčního a plánovaného počtu soudců za 6 let</w:t>
        </w:r>
        <w:r w:rsidR="00021FDD">
          <w:rPr>
            <w:noProof/>
            <w:webHidden/>
          </w:rPr>
          <w:tab/>
        </w:r>
        <w:r w:rsidR="00021FDD">
          <w:rPr>
            <w:noProof/>
            <w:webHidden/>
          </w:rPr>
          <w:fldChar w:fldCharType="begin"/>
        </w:r>
        <w:r w:rsidR="00021FDD">
          <w:rPr>
            <w:noProof/>
            <w:webHidden/>
          </w:rPr>
          <w:instrText xml:space="preserve"> PAGEREF _Toc75952342 \h </w:instrText>
        </w:r>
        <w:r w:rsidR="00021FDD">
          <w:rPr>
            <w:noProof/>
            <w:webHidden/>
          </w:rPr>
        </w:r>
        <w:r w:rsidR="00021FDD">
          <w:rPr>
            <w:noProof/>
            <w:webHidden/>
          </w:rPr>
          <w:fldChar w:fldCharType="separate"/>
        </w:r>
        <w:r w:rsidR="00021FDD">
          <w:rPr>
            <w:noProof/>
            <w:webHidden/>
          </w:rPr>
          <w:t>90</w:t>
        </w:r>
        <w:r w:rsidR="00021FDD">
          <w:rPr>
            <w:noProof/>
            <w:webHidden/>
          </w:rPr>
          <w:fldChar w:fldCharType="end"/>
        </w:r>
      </w:hyperlink>
    </w:p>
    <w:p w14:paraId="0133AC6B" w14:textId="07E7FE7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3" w:history="1">
        <w:r w:rsidR="00021FDD" w:rsidRPr="001E67FF">
          <w:rPr>
            <w:rStyle w:val="Hypertextovodkaz"/>
            <w:noProof/>
          </w:rPr>
          <w:t>Tabulka 40: KS – evidenční počet zaměstnanců ve výkonu dle soudů</w:t>
        </w:r>
        <w:r w:rsidR="00021FDD">
          <w:rPr>
            <w:noProof/>
            <w:webHidden/>
          </w:rPr>
          <w:tab/>
        </w:r>
        <w:r w:rsidR="00021FDD">
          <w:rPr>
            <w:noProof/>
            <w:webHidden/>
          </w:rPr>
          <w:fldChar w:fldCharType="begin"/>
        </w:r>
        <w:r w:rsidR="00021FDD">
          <w:rPr>
            <w:noProof/>
            <w:webHidden/>
          </w:rPr>
          <w:instrText xml:space="preserve"> PAGEREF _Toc75952343 \h </w:instrText>
        </w:r>
        <w:r w:rsidR="00021FDD">
          <w:rPr>
            <w:noProof/>
            <w:webHidden/>
          </w:rPr>
        </w:r>
        <w:r w:rsidR="00021FDD">
          <w:rPr>
            <w:noProof/>
            <w:webHidden/>
          </w:rPr>
          <w:fldChar w:fldCharType="separate"/>
        </w:r>
        <w:r w:rsidR="00021FDD">
          <w:rPr>
            <w:noProof/>
            <w:webHidden/>
          </w:rPr>
          <w:t>90</w:t>
        </w:r>
        <w:r w:rsidR="00021FDD">
          <w:rPr>
            <w:noProof/>
            <w:webHidden/>
          </w:rPr>
          <w:fldChar w:fldCharType="end"/>
        </w:r>
      </w:hyperlink>
    </w:p>
    <w:p w14:paraId="366A3CFF" w14:textId="04A40D3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4" w:history="1">
        <w:r w:rsidR="00021FDD" w:rsidRPr="001E67FF">
          <w:rPr>
            <w:rStyle w:val="Hypertextovodkaz"/>
            <w:noProof/>
          </w:rPr>
          <w:t>Tabulka 41: KS – počet přísedících dle soudů a pohlaví</w:t>
        </w:r>
        <w:r w:rsidR="00021FDD">
          <w:rPr>
            <w:noProof/>
            <w:webHidden/>
          </w:rPr>
          <w:tab/>
        </w:r>
        <w:r w:rsidR="00021FDD">
          <w:rPr>
            <w:noProof/>
            <w:webHidden/>
          </w:rPr>
          <w:fldChar w:fldCharType="begin"/>
        </w:r>
        <w:r w:rsidR="00021FDD">
          <w:rPr>
            <w:noProof/>
            <w:webHidden/>
          </w:rPr>
          <w:instrText xml:space="preserve"> PAGEREF _Toc75952344 \h </w:instrText>
        </w:r>
        <w:r w:rsidR="00021FDD">
          <w:rPr>
            <w:noProof/>
            <w:webHidden/>
          </w:rPr>
        </w:r>
        <w:r w:rsidR="00021FDD">
          <w:rPr>
            <w:noProof/>
            <w:webHidden/>
          </w:rPr>
          <w:fldChar w:fldCharType="separate"/>
        </w:r>
        <w:r w:rsidR="00021FDD">
          <w:rPr>
            <w:noProof/>
            <w:webHidden/>
          </w:rPr>
          <w:t>91</w:t>
        </w:r>
        <w:r w:rsidR="00021FDD">
          <w:rPr>
            <w:noProof/>
            <w:webHidden/>
          </w:rPr>
          <w:fldChar w:fldCharType="end"/>
        </w:r>
      </w:hyperlink>
    </w:p>
    <w:p w14:paraId="24B2C65C" w14:textId="24CD348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5" w:history="1">
        <w:r w:rsidR="00021FDD" w:rsidRPr="001E67FF">
          <w:rPr>
            <w:rStyle w:val="Hypertextovodkaz"/>
            <w:noProof/>
          </w:rPr>
          <w:t>Tabulka 42: KS – počet přísedících dle soudů a věků</w:t>
        </w:r>
        <w:r w:rsidR="00021FDD">
          <w:rPr>
            <w:noProof/>
            <w:webHidden/>
          </w:rPr>
          <w:tab/>
        </w:r>
        <w:r w:rsidR="00021FDD">
          <w:rPr>
            <w:noProof/>
            <w:webHidden/>
          </w:rPr>
          <w:fldChar w:fldCharType="begin"/>
        </w:r>
        <w:r w:rsidR="00021FDD">
          <w:rPr>
            <w:noProof/>
            <w:webHidden/>
          </w:rPr>
          <w:instrText xml:space="preserve"> PAGEREF _Toc75952345 \h </w:instrText>
        </w:r>
        <w:r w:rsidR="00021FDD">
          <w:rPr>
            <w:noProof/>
            <w:webHidden/>
          </w:rPr>
        </w:r>
        <w:r w:rsidR="00021FDD">
          <w:rPr>
            <w:noProof/>
            <w:webHidden/>
          </w:rPr>
          <w:fldChar w:fldCharType="separate"/>
        </w:r>
        <w:r w:rsidR="00021FDD">
          <w:rPr>
            <w:noProof/>
            <w:webHidden/>
          </w:rPr>
          <w:t>92</w:t>
        </w:r>
        <w:r w:rsidR="00021FDD">
          <w:rPr>
            <w:noProof/>
            <w:webHidden/>
          </w:rPr>
          <w:fldChar w:fldCharType="end"/>
        </w:r>
      </w:hyperlink>
    </w:p>
    <w:p w14:paraId="79708DA9" w14:textId="4D7A307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6" w:history="1">
        <w:r w:rsidR="00021FDD" w:rsidRPr="001E67FF">
          <w:rPr>
            <w:rStyle w:val="Hypertextovodkaz"/>
            <w:noProof/>
          </w:rPr>
          <w:t>Tabulka 43: KS – délky prvostupňového civilního řízení dle soudů</w:t>
        </w:r>
        <w:r w:rsidR="00021FDD">
          <w:rPr>
            <w:noProof/>
            <w:webHidden/>
          </w:rPr>
          <w:tab/>
        </w:r>
        <w:r w:rsidR="00021FDD">
          <w:rPr>
            <w:noProof/>
            <w:webHidden/>
          </w:rPr>
          <w:fldChar w:fldCharType="begin"/>
        </w:r>
        <w:r w:rsidR="00021FDD">
          <w:rPr>
            <w:noProof/>
            <w:webHidden/>
          </w:rPr>
          <w:instrText xml:space="preserve"> PAGEREF _Toc75952346 \h </w:instrText>
        </w:r>
        <w:r w:rsidR="00021FDD">
          <w:rPr>
            <w:noProof/>
            <w:webHidden/>
          </w:rPr>
        </w:r>
        <w:r w:rsidR="00021FDD">
          <w:rPr>
            <w:noProof/>
            <w:webHidden/>
          </w:rPr>
          <w:fldChar w:fldCharType="separate"/>
        </w:r>
        <w:r w:rsidR="00021FDD">
          <w:rPr>
            <w:noProof/>
            <w:webHidden/>
          </w:rPr>
          <w:t>94</w:t>
        </w:r>
        <w:r w:rsidR="00021FDD">
          <w:rPr>
            <w:noProof/>
            <w:webHidden/>
          </w:rPr>
          <w:fldChar w:fldCharType="end"/>
        </w:r>
      </w:hyperlink>
    </w:p>
    <w:p w14:paraId="6DF78F38" w14:textId="2E1F26C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7" w:history="1">
        <w:r w:rsidR="00021FDD" w:rsidRPr="001E67FF">
          <w:rPr>
            <w:rStyle w:val="Hypertextovodkaz"/>
            <w:noProof/>
          </w:rPr>
          <w:t>Tabulka 44: KS – vyřizování prvostupňových civilních věcí dle soudů</w:t>
        </w:r>
        <w:r w:rsidR="00021FDD">
          <w:rPr>
            <w:noProof/>
            <w:webHidden/>
          </w:rPr>
          <w:tab/>
        </w:r>
        <w:r w:rsidR="00021FDD">
          <w:rPr>
            <w:noProof/>
            <w:webHidden/>
          </w:rPr>
          <w:fldChar w:fldCharType="begin"/>
        </w:r>
        <w:r w:rsidR="00021FDD">
          <w:rPr>
            <w:noProof/>
            <w:webHidden/>
          </w:rPr>
          <w:instrText xml:space="preserve"> PAGEREF _Toc75952347 \h </w:instrText>
        </w:r>
        <w:r w:rsidR="00021FDD">
          <w:rPr>
            <w:noProof/>
            <w:webHidden/>
          </w:rPr>
        </w:r>
        <w:r w:rsidR="00021FDD">
          <w:rPr>
            <w:noProof/>
            <w:webHidden/>
          </w:rPr>
          <w:fldChar w:fldCharType="separate"/>
        </w:r>
        <w:r w:rsidR="00021FDD">
          <w:rPr>
            <w:noProof/>
            <w:webHidden/>
          </w:rPr>
          <w:t>97</w:t>
        </w:r>
        <w:r w:rsidR="00021FDD">
          <w:rPr>
            <w:noProof/>
            <w:webHidden/>
          </w:rPr>
          <w:fldChar w:fldCharType="end"/>
        </w:r>
      </w:hyperlink>
    </w:p>
    <w:p w14:paraId="4D3E36E0" w14:textId="538375F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8" w:history="1">
        <w:r w:rsidR="00021FDD" w:rsidRPr="001E67FF">
          <w:rPr>
            <w:rStyle w:val="Hypertextovodkaz"/>
            <w:noProof/>
          </w:rPr>
          <w:t>Tabulka 45: KS – vyřizování prvostupňových civil. věcí na skutečný úvazek dle soudů</w:t>
        </w:r>
        <w:r w:rsidR="00021FDD">
          <w:rPr>
            <w:noProof/>
            <w:webHidden/>
          </w:rPr>
          <w:tab/>
        </w:r>
        <w:r w:rsidR="00021FDD">
          <w:rPr>
            <w:noProof/>
            <w:webHidden/>
          </w:rPr>
          <w:fldChar w:fldCharType="begin"/>
        </w:r>
        <w:r w:rsidR="00021FDD">
          <w:rPr>
            <w:noProof/>
            <w:webHidden/>
          </w:rPr>
          <w:instrText xml:space="preserve"> PAGEREF _Toc75952348 \h </w:instrText>
        </w:r>
        <w:r w:rsidR="00021FDD">
          <w:rPr>
            <w:noProof/>
            <w:webHidden/>
          </w:rPr>
        </w:r>
        <w:r w:rsidR="00021FDD">
          <w:rPr>
            <w:noProof/>
            <w:webHidden/>
          </w:rPr>
          <w:fldChar w:fldCharType="separate"/>
        </w:r>
        <w:r w:rsidR="00021FDD">
          <w:rPr>
            <w:noProof/>
            <w:webHidden/>
          </w:rPr>
          <w:t>98</w:t>
        </w:r>
        <w:r w:rsidR="00021FDD">
          <w:rPr>
            <w:noProof/>
            <w:webHidden/>
          </w:rPr>
          <w:fldChar w:fldCharType="end"/>
        </w:r>
      </w:hyperlink>
    </w:p>
    <w:p w14:paraId="66CC1FFD" w14:textId="57C885C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49" w:history="1">
        <w:r w:rsidR="00021FDD" w:rsidRPr="001E67FF">
          <w:rPr>
            <w:rStyle w:val="Hypertextovodkaz"/>
            <w:noProof/>
          </w:rPr>
          <w:t>Tabulka 46: KS – DT prvostupňového civilního řízení dle soudů</w:t>
        </w:r>
        <w:r w:rsidR="00021FDD">
          <w:rPr>
            <w:noProof/>
            <w:webHidden/>
          </w:rPr>
          <w:tab/>
        </w:r>
        <w:r w:rsidR="00021FDD">
          <w:rPr>
            <w:noProof/>
            <w:webHidden/>
          </w:rPr>
          <w:fldChar w:fldCharType="begin"/>
        </w:r>
        <w:r w:rsidR="00021FDD">
          <w:rPr>
            <w:noProof/>
            <w:webHidden/>
          </w:rPr>
          <w:instrText xml:space="preserve"> PAGEREF _Toc75952349 \h </w:instrText>
        </w:r>
        <w:r w:rsidR="00021FDD">
          <w:rPr>
            <w:noProof/>
            <w:webHidden/>
          </w:rPr>
        </w:r>
        <w:r w:rsidR="00021FDD">
          <w:rPr>
            <w:noProof/>
            <w:webHidden/>
          </w:rPr>
          <w:fldChar w:fldCharType="separate"/>
        </w:r>
        <w:r w:rsidR="00021FDD">
          <w:rPr>
            <w:noProof/>
            <w:webHidden/>
          </w:rPr>
          <w:t>99</w:t>
        </w:r>
        <w:r w:rsidR="00021FDD">
          <w:rPr>
            <w:noProof/>
            <w:webHidden/>
          </w:rPr>
          <w:fldChar w:fldCharType="end"/>
        </w:r>
      </w:hyperlink>
    </w:p>
    <w:p w14:paraId="3FF42D56" w14:textId="0985ADE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0" w:history="1">
        <w:r w:rsidR="00021FDD" w:rsidRPr="001E67FF">
          <w:rPr>
            <w:rStyle w:val="Hypertextovodkaz"/>
            <w:noProof/>
          </w:rPr>
          <w:t>Tabulka 47: KS – míra odvolání dle soudů v civilním řízení</w:t>
        </w:r>
        <w:r w:rsidR="00021FDD">
          <w:rPr>
            <w:noProof/>
            <w:webHidden/>
          </w:rPr>
          <w:tab/>
        </w:r>
        <w:r w:rsidR="00021FDD">
          <w:rPr>
            <w:noProof/>
            <w:webHidden/>
          </w:rPr>
          <w:fldChar w:fldCharType="begin"/>
        </w:r>
        <w:r w:rsidR="00021FDD">
          <w:rPr>
            <w:noProof/>
            <w:webHidden/>
          </w:rPr>
          <w:instrText xml:space="preserve"> PAGEREF _Toc75952350 \h </w:instrText>
        </w:r>
        <w:r w:rsidR="00021FDD">
          <w:rPr>
            <w:noProof/>
            <w:webHidden/>
          </w:rPr>
        </w:r>
        <w:r w:rsidR="00021FDD">
          <w:rPr>
            <w:noProof/>
            <w:webHidden/>
          </w:rPr>
          <w:fldChar w:fldCharType="separate"/>
        </w:r>
        <w:r w:rsidR="00021FDD">
          <w:rPr>
            <w:noProof/>
            <w:webHidden/>
          </w:rPr>
          <w:t>100</w:t>
        </w:r>
        <w:r w:rsidR="00021FDD">
          <w:rPr>
            <w:noProof/>
            <w:webHidden/>
          </w:rPr>
          <w:fldChar w:fldCharType="end"/>
        </w:r>
      </w:hyperlink>
    </w:p>
    <w:p w14:paraId="157C22D2" w14:textId="51AFF0E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1" w:history="1">
        <w:r w:rsidR="00021FDD" w:rsidRPr="001E67FF">
          <w:rPr>
            <w:rStyle w:val="Hypertextovodkaz"/>
            <w:noProof/>
          </w:rPr>
          <w:t>Tabulka 48: KS – míra změny rozsudku dle soudů v civilním řízení</w:t>
        </w:r>
        <w:r w:rsidR="00021FDD">
          <w:rPr>
            <w:noProof/>
            <w:webHidden/>
          </w:rPr>
          <w:tab/>
        </w:r>
        <w:r w:rsidR="00021FDD">
          <w:rPr>
            <w:noProof/>
            <w:webHidden/>
          </w:rPr>
          <w:fldChar w:fldCharType="begin"/>
        </w:r>
        <w:r w:rsidR="00021FDD">
          <w:rPr>
            <w:noProof/>
            <w:webHidden/>
          </w:rPr>
          <w:instrText xml:space="preserve"> PAGEREF _Toc75952351 \h </w:instrText>
        </w:r>
        <w:r w:rsidR="00021FDD">
          <w:rPr>
            <w:noProof/>
            <w:webHidden/>
          </w:rPr>
        </w:r>
        <w:r w:rsidR="00021FDD">
          <w:rPr>
            <w:noProof/>
            <w:webHidden/>
          </w:rPr>
          <w:fldChar w:fldCharType="separate"/>
        </w:r>
        <w:r w:rsidR="00021FDD">
          <w:rPr>
            <w:noProof/>
            <w:webHidden/>
          </w:rPr>
          <w:t>101</w:t>
        </w:r>
        <w:r w:rsidR="00021FDD">
          <w:rPr>
            <w:noProof/>
            <w:webHidden/>
          </w:rPr>
          <w:fldChar w:fldCharType="end"/>
        </w:r>
      </w:hyperlink>
    </w:p>
    <w:p w14:paraId="56509F50" w14:textId="025DAA0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2" w:history="1">
        <w:r w:rsidR="00021FDD" w:rsidRPr="001E67FF">
          <w:rPr>
            <w:rStyle w:val="Hypertextovodkaz"/>
            <w:noProof/>
          </w:rPr>
          <w:t>Tabulka 49: KS – výše přiznaných nároků</w:t>
        </w:r>
        <w:r w:rsidR="00021FDD">
          <w:rPr>
            <w:noProof/>
            <w:webHidden/>
          </w:rPr>
          <w:tab/>
        </w:r>
        <w:r w:rsidR="00021FDD">
          <w:rPr>
            <w:noProof/>
            <w:webHidden/>
          </w:rPr>
          <w:fldChar w:fldCharType="begin"/>
        </w:r>
        <w:r w:rsidR="00021FDD">
          <w:rPr>
            <w:noProof/>
            <w:webHidden/>
          </w:rPr>
          <w:instrText xml:space="preserve"> PAGEREF _Toc75952352 \h </w:instrText>
        </w:r>
        <w:r w:rsidR="00021FDD">
          <w:rPr>
            <w:noProof/>
            <w:webHidden/>
          </w:rPr>
        </w:r>
        <w:r w:rsidR="00021FDD">
          <w:rPr>
            <w:noProof/>
            <w:webHidden/>
          </w:rPr>
          <w:fldChar w:fldCharType="separate"/>
        </w:r>
        <w:r w:rsidR="00021FDD">
          <w:rPr>
            <w:noProof/>
            <w:webHidden/>
          </w:rPr>
          <w:t>102</w:t>
        </w:r>
        <w:r w:rsidR="00021FDD">
          <w:rPr>
            <w:noProof/>
            <w:webHidden/>
          </w:rPr>
          <w:fldChar w:fldCharType="end"/>
        </w:r>
      </w:hyperlink>
    </w:p>
    <w:p w14:paraId="6DFCB5C6" w14:textId="67A1A47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3" w:history="1">
        <w:r w:rsidR="00021FDD" w:rsidRPr="001E67FF">
          <w:rPr>
            <w:rStyle w:val="Hypertextovodkaz"/>
            <w:noProof/>
          </w:rPr>
          <w:t>Tabulka 50: KS – výše přiznaných nároků v letech 2016–2019</w:t>
        </w:r>
        <w:r w:rsidR="00021FDD">
          <w:rPr>
            <w:noProof/>
            <w:webHidden/>
          </w:rPr>
          <w:tab/>
        </w:r>
        <w:r w:rsidR="00021FDD">
          <w:rPr>
            <w:noProof/>
            <w:webHidden/>
          </w:rPr>
          <w:fldChar w:fldCharType="begin"/>
        </w:r>
        <w:r w:rsidR="00021FDD">
          <w:rPr>
            <w:noProof/>
            <w:webHidden/>
          </w:rPr>
          <w:instrText xml:space="preserve"> PAGEREF _Toc75952353 \h </w:instrText>
        </w:r>
        <w:r w:rsidR="00021FDD">
          <w:rPr>
            <w:noProof/>
            <w:webHidden/>
          </w:rPr>
        </w:r>
        <w:r w:rsidR="00021FDD">
          <w:rPr>
            <w:noProof/>
            <w:webHidden/>
          </w:rPr>
          <w:fldChar w:fldCharType="separate"/>
        </w:r>
        <w:r w:rsidR="00021FDD">
          <w:rPr>
            <w:noProof/>
            <w:webHidden/>
          </w:rPr>
          <w:t>102</w:t>
        </w:r>
        <w:r w:rsidR="00021FDD">
          <w:rPr>
            <w:noProof/>
            <w:webHidden/>
          </w:rPr>
          <w:fldChar w:fldCharType="end"/>
        </w:r>
      </w:hyperlink>
    </w:p>
    <w:p w14:paraId="12D6547C" w14:textId="076FA74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4" w:history="1">
        <w:r w:rsidR="00021FDD" w:rsidRPr="001E67FF">
          <w:rPr>
            <w:rStyle w:val="Hypertextovodkaz"/>
            <w:noProof/>
          </w:rPr>
          <w:t>Tabulka 51: KS – délky odvolacího civilního řízení dle soudů</w:t>
        </w:r>
        <w:r w:rsidR="00021FDD">
          <w:rPr>
            <w:noProof/>
            <w:webHidden/>
          </w:rPr>
          <w:tab/>
        </w:r>
        <w:r w:rsidR="00021FDD">
          <w:rPr>
            <w:noProof/>
            <w:webHidden/>
          </w:rPr>
          <w:fldChar w:fldCharType="begin"/>
        </w:r>
        <w:r w:rsidR="00021FDD">
          <w:rPr>
            <w:noProof/>
            <w:webHidden/>
          </w:rPr>
          <w:instrText xml:space="preserve"> PAGEREF _Toc75952354 \h </w:instrText>
        </w:r>
        <w:r w:rsidR="00021FDD">
          <w:rPr>
            <w:noProof/>
            <w:webHidden/>
          </w:rPr>
        </w:r>
        <w:r w:rsidR="00021FDD">
          <w:rPr>
            <w:noProof/>
            <w:webHidden/>
          </w:rPr>
          <w:fldChar w:fldCharType="separate"/>
        </w:r>
        <w:r w:rsidR="00021FDD">
          <w:rPr>
            <w:noProof/>
            <w:webHidden/>
          </w:rPr>
          <w:t>104</w:t>
        </w:r>
        <w:r w:rsidR="00021FDD">
          <w:rPr>
            <w:noProof/>
            <w:webHidden/>
          </w:rPr>
          <w:fldChar w:fldCharType="end"/>
        </w:r>
      </w:hyperlink>
    </w:p>
    <w:p w14:paraId="4373CDB9" w14:textId="0F56F36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5" w:history="1">
        <w:r w:rsidR="00021FDD" w:rsidRPr="001E67FF">
          <w:rPr>
            <w:rStyle w:val="Hypertextovodkaz"/>
            <w:noProof/>
          </w:rPr>
          <w:t>Tabulka 52: KS – vyřizování odvolacích civilních věcí dle soudů</w:t>
        </w:r>
        <w:r w:rsidR="00021FDD">
          <w:rPr>
            <w:noProof/>
            <w:webHidden/>
          </w:rPr>
          <w:tab/>
        </w:r>
        <w:r w:rsidR="00021FDD">
          <w:rPr>
            <w:noProof/>
            <w:webHidden/>
          </w:rPr>
          <w:fldChar w:fldCharType="begin"/>
        </w:r>
        <w:r w:rsidR="00021FDD">
          <w:rPr>
            <w:noProof/>
            <w:webHidden/>
          </w:rPr>
          <w:instrText xml:space="preserve"> PAGEREF _Toc75952355 \h </w:instrText>
        </w:r>
        <w:r w:rsidR="00021FDD">
          <w:rPr>
            <w:noProof/>
            <w:webHidden/>
          </w:rPr>
        </w:r>
        <w:r w:rsidR="00021FDD">
          <w:rPr>
            <w:noProof/>
            <w:webHidden/>
          </w:rPr>
          <w:fldChar w:fldCharType="separate"/>
        </w:r>
        <w:r w:rsidR="00021FDD">
          <w:rPr>
            <w:noProof/>
            <w:webHidden/>
          </w:rPr>
          <w:t>106</w:t>
        </w:r>
        <w:r w:rsidR="00021FDD">
          <w:rPr>
            <w:noProof/>
            <w:webHidden/>
          </w:rPr>
          <w:fldChar w:fldCharType="end"/>
        </w:r>
      </w:hyperlink>
    </w:p>
    <w:p w14:paraId="4CA80048" w14:textId="1CDD4F2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6" w:history="1">
        <w:r w:rsidR="00021FDD" w:rsidRPr="001E67FF">
          <w:rPr>
            <w:rStyle w:val="Hypertextovodkaz"/>
            <w:noProof/>
          </w:rPr>
          <w:t>Tabulka 53: KS – vyřizování odvolacích civil. věcí na skutečný úvazek dle soudů</w:t>
        </w:r>
        <w:r w:rsidR="00021FDD">
          <w:rPr>
            <w:noProof/>
            <w:webHidden/>
          </w:rPr>
          <w:tab/>
        </w:r>
        <w:r w:rsidR="00021FDD">
          <w:rPr>
            <w:noProof/>
            <w:webHidden/>
          </w:rPr>
          <w:fldChar w:fldCharType="begin"/>
        </w:r>
        <w:r w:rsidR="00021FDD">
          <w:rPr>
            <w:noProof/>
            <w:webHidden/>
          </w:rPr>
          <w:instrText xml:space="preserve"> PAGEREF _Toc75952356 \h </w:instrText>
        </w:r>
        <w:r w:rsidR="00021FDD">
          <w:rPr>
            <w:noProof/>
            <w:webHidden/>
          </w:rPr>
        </w:r>
        <w:r w:rsidR="00021FDD">
          <w:rPr>
            <w:noProof/>
            <w:webHidden/>
          </w:rPr>
          <w:fldChar w:fldCharType="separate"/>
        </w:r>
        <w:r w:rsidR="00021FDD">
          <w:rPr>
            <w:noProof/>
            <w:webHidden/>
          </w:rPr>
          <w:t>107</w:t>
        </w:r>
        <w:r w:rsidR="00021FDD">
          <w:rPr>
            <w:noProof/>
            <w:webHidden/>
          </w:rPr>
          <w:fldChar w:fldCharType="end"/>
        </w:r>
      </w:hyperlink>
    </w:p>
    <w:p w14:paraId="641FAE55" w14:textId="0A7CC9F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7" w:history="1">
        <w:r w:rsidR="00021FDD" w:rsidRPr="001E67FF">
          <w:rPr>
            <w:rStyle w:val="Hypertextovodkaz"/>
            <w:noProof/>
          </w:rPr>
          <w:t>Tabulka 54: KS – DT v civilním odvolacím řízení dle soudů</w:t>
        </w:r>
        <w:r w:rsidR="00021FDD">
          <w:rPr>
            <w:noProof/>
            <w:webHidden/>
          </w:rPr>
          <w:tab/>
        </w:r>
        <w:r w:rsidR="00021FDD">
          <w:rPr>
            <w:noProof/>
            <w:webHidden/>
          </w:rPr>
          <w:fldChar w:fldCharType="begin"/>
        </w:r>
        <w:r w:rsidR="00021FDD">
          <w:rPr>
            <w:noProof/>
            <w:webHidden/>
          </w:rPr>
          <w:instrText xml:space="preserve"> PAGEREF _Toc75952357 \h </w:instrText>
        </w:r>
        <w:r w:rsidR="00021FDD">
          <w:rPr>
            <w:noProof/>
            <w:webHidden/>
          </w:rPr>
        </w:r>
        <w:r w:rsidR="00021FDD">
          <w:rPr>
            <w:noProof/>
            <w:webHidden/>
          </w:rPr>
          <w:fldChar w:fldCharType="separate"/>
        </w:r>
        <w:r w:rsidR="00021FDD">
          <w:rPr>
            <w:noProof/>
            <w:webHidden/>
          </w:rPr>
          <w:t>108</w:t>
        </w:r>
        <w:r w:rsidR="00021FDD">
          <w:rPr>
            <w:noProof/>
            <w:webHidden/>
          </w:rPr>
          <w:fldChar w:fldCharType="end"/>
        </w:r>
      </w:hyperlink>
    </w:p>
    <w:p w14:paraId="2E6FED77" w14:textId="2D55424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8" w:history="1">
        <w:r w:rsidR="00021FDD" w:rsidRPr="001E67FF">
          <w:rPr>
            <w:rStyle w:val="Hypertextovodkaz"/>
            <w:noProof/>
          </w:rPr>
          <w:t>Tabulka 55: KS – délky prvostupňového trestního řízení dle soudů</w:t>
        </w:r>
        <w:r w:rsidR="00021FDD">
          <w:rPr>
            <w:noProof/>
            <w:webHidden/>
          </w:rPr>
          <w:tab/>
        </w:r>
        <w:r w:rsidR="00021FDD">
          <w:rPr>
            <w:noProof/>
            <w:webHidden/>
          </w:rPr>
          <w:fldChar w:fldCharType="begin"/>
        </w:r>
        <w:r w:rsidR="00021FDD">
          <w:rPr>
            <w:noProof/>
            <w:webHidden/>
          </w:rPr>
          <w:instrText xml:space="preserve"> PAGEREF _Toc75952358 \h </w:instrText>
        </w:r>
        <w:r w:rsidR="00021FDD">
          <w:rPr>
            <w:noProof/>
            <w:webHidden/>
          </w:rPr>
        </w:r>
        <w:r w:rsidR="00021FDD">
          <w:rPr>
            <w:noProof/>
            <w:webHidden/>
          </w:rPr>
          <w:fldChar w:fldCharType="separate"/>
        </w:r>
        <w:r w:rsidR="00021FDD">
          <w:rPr>
            <w:noProof/>
            <w:webHidden/>
          </w:rPr>
          <w:t>110</w:t>
        </w:r>
        <w:r w:rsidR="00021FDD">
          <w:rPr>
            <w:noProof/>
            <w:webHidden/>
          </w:rPr>
          <w:fldChar w:fldCharType="end"/>
        </w:r>
      </w:hyperlink>
    </w:p>
    <w:p w14:paraId="16F5A801" w14:textId="0AB96BE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59" w:history="1">
        <w:r w:rsidR="00021FDD" w:rsidRPr="001E67FF">
          <w:rPr>
            <w:rStyle w:val="Hypertextovodkaz"/>
            <w:noProof/>
          </w:rPr>
          <w:t>Tabulka 56: KS – vyřizování prvostupňových trestních věcí dle soudů</w:t>
        </w:r>
        <w:r w:rsidR="00021FDD">
          <w:rPr>
            <w:noProof/>
            <w:webHidden/>
          </w:rPr>
          <w:tab/>
        </w:r>
        <w:r w:rsidR="00021FDD">
          <w:rPr>
            <w:noProof/>
            <w:webHidden/>
          </w:rPr>
          <w:fldChar w:fldCharType="begin"/>
        </w:r>
        <w:r w:rsidR="00021FDD">
          <w:rPr>
            <w:noProof/>
            <w:webHidden/>
          </w:rPr>
          <w:instrText xml:space="preserve"> PAGEREF _Toc75952359 \h </w:instrText>
        </w:r>
        <w:r w:rsidR="00021FDD">
          <w:rPr>
            <w:noProof/>
            <w:webHidden/>
          </w:rPr>
        </w:r>
        <w:r w:rsidR="00021FDD">
          <w:rPr>
            <w:noProof/>
            <w:webHidden/>
          </w:rPr>
          <w:fldChar w:fldCharType="separate"/>
        </w:r>
        <w:r w:rsidR="00021FDD">
          <w:rPr>
            <w:noProof/>
            <w:webHidden/>
          </w:rPr>
          <w:t>111</w:t>
        </w:r>
        <w:r w:rsidR="00021FDD">
          <w:rPr>
            <w:noProof/>
            <w:webHidden/>
          </w:rPr>
          <w:fldChar w:fldCharType="end"/>
        </w:r>
      </w:hyperlink>
    </w:p>
    <w:p w14:paraId="693AE38F" w14:textId="266ECE2A"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0" w:history="1">
        <w:r w:rsidR="00021FDD" w:rsidRPr="001E67FF">
          <w:rPr>
            <w:rStyle w:val="Hypertextovodkaz"/>
            <w:noProof/>
          </w:rPr>
          <w:t>Tabulka 57: KS – vyřiz. prvostupňových trestních věcí na skutečný úvazek dle soudů</w:t>
        </w:r>
        <w:r w:rsidR="00021FDD">
          <w:rPr>
            <w:noProof/>
            <w:webHidden/>
          </w:rPr>
          <w:tab/>
        </w:r>
        <w:r w:rsidR="00021FDD">
          <w:rPr>
            <w:noProof/>
            <w:webHidden/>
          </w:rPr>
          <w:fldChar w:fldCharType="begin"/>
        </w:r>
        <w:r w:rsidR="00021FDD">
          <w:rPr>
            <w:noProof/>
            <w:webHidden/>
          </w:rPr>
          <w:instrText xml:space="preserve"> PAGEREF _Toc75952360 \h </w:instrText>
        </w:r>
        <w:r w:rsidR="00021FDD">
          <w:rPr>
            <w:noProof/>
            <w:webHidden/>
          </w:rPr>
        </w:r>
        <w:r w:rsidR="00021FDD">
          <w:rPr>
            <w:noProof/>
            <w:webHidden/>
          </w:rPr>
          <w:fldChar w:fldCharType="separate"/>
        </w:r>
        <w:r w:rsidR="00021FDD">
          <w:rPr>
            <w:noProof/>
            <w:webHidden/>
          </w:rPr>
          <w:t>112</w:t>
        </w:r>
        <w:r w:rsidR="00021FDD">
          <w:rPr>
            <w:noProof/>
            <w:webHidden/>
          </w:rPr>
          <w:fldChar w:fldCharType="end"/>
        </w:r>
      </w:hyperlink>
    </w:p>
    <w:p w14:paraId="1338E3CE" w14:textId="7C88824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1" w:history="1">
        <w:r w:rsidR="00021FDD" w:rsidRPr="001E67FF">
          <w:rPr>
            <w:rStyle w:val="Hypertextovodkaz"/>
            <w:noProof/>
          </w:rPr>
          <w:t>Tabulka 58: KS – DT v prvostupňovém trestním řízení dle soudů</w:t>
        </w:r>
        <w:r w:rsidR="00021FDD">
          <w:rPr>
            <w:noProof/>
            <w:webHidden/>
          </w:rPr>
          <w:tab/>
        </w:r>
        <w:r w:rsidR="00021FDD">
          <w:rPr>
            <w:noProof/>
            <w:webHidden/>
          </w:rPr>
          <w:fldChar w:fldCharType="begin"/>
        </w:r>
        <w:r w:rsidR="00021FDD">
          <w:rPr>
            <w:noProof/>
            <w:webHidden/>
          </w:rPr>
          <w:instrText xml:space="preserve"> PAGEREF _Toc75952361 \h </w:instrText>
        </w:r>
        <w:r w:rsidR="00021FDD">
          <w:rPr>
            <w:noProof/>
            <w:webHidden/>
          </w:rPr>
        </w:r>
        <w:r w:rsidR="00021FDD">
          <w:rPr>
            <w:noProof/>
            <w:webHidden/>
          </w:rPr>
          <w:fldChar w:fldCharType="separate"/>
        </w:r>
        <w:r w:rsidR="00021FDD">
          <w:rPr>
            <w:noProof/>
            <w:webHidden/>
          </w:rPr>
          <w:t>113</w:t>
        </w:r>
        <w:r w:rsidR="00021FDD">
          <w:rPr>
            <w:noProof/>
            <w:webHidden/>
          </w:rPr>
          <w:fldChar w:fldCharType="end"/>
        </w:r>
      </w:hyperlink>
    </w:p>
    <w:p w14:paraId="08881D2C" w14:textId="04A3339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2" w:history="1">
        <w:r w:rsidR="00021FDD" w:rsidRPr="001E67FF">
          <w:rPr>
            <w:rStyle w:val="Hypertextovodkaz"/>
            <w:noProof/>
          </w:rPr>
          <w:t>Tabulka 59: KS – míra odvolání dle soudů v trestním řízení</w:t>
        </w:r>
        <w:r w:rsidR="00021FDD">
          <w:rPr>
            <w:noProof/>
            <w:webHidden/>
          </w:rPr>
          <w:tab/>
        </w:r>
        <w:r w:rsidR="00021FDD">
          <w:rPr>
            <w:noProof/>
            <w:webHidden/>
          </w:rPr>
          <w:fldChar w:fldCharType="begin"/>
        </w:r>
        <w:r w:rsidR="00021FDD">
          <w:rPr>
            <w:noProof/>
            <w:webHidden/>
          </w:rPr>
          <w:instrText xml:space="preserve"> PAGEREF _Toc75952362 \h </w:instrText>
        </w:r>
        <w:r w:rsidR="00021FDD">
          <w:rPr>
            <w:noProof/>
            <w:webHidden/>
          </w:rPr>
        </w:r>
        <w:r w:rsidR="00021FDD">
          <w:rPr>
            <w:noProof/>
            <w:webHidden/>
          </w:rPr>
          <w:fldChar w:fldCharType="separate"/>
        </w:r>
        <w:r w:rsidR="00021FDD">
          <w:rPr>
            <w:noProof/>
            <w:webHidden/>
          </w:rPr>
          <w:t>114</w:t>
        </w:r>
        <w:r w:rsidR="00021FDD">
          <w:rPr>
            <w:noProof/>
            <w:webHidden/>
          </w:rPr>
          <w:fldChar w:fldCharType="end"/>
        </w:r>
      </w:hyperlink>
    </w:p>
    <w:p w14:paraId="68D3D176" w14:textId="418A1DCB"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3" w:history="1">
        <w:r w:rsidR="00021FDD" w:rsidRPr="001E67FF">
          <w:rPr>
            <w:rStyle w:val="Hypertextovodkaz"/>
            <w:noProof/>
          </w:rPr>
          <w:t>Tabulka 60: KS – míra změny rozsudku dle soudů v trestním řízení</w:t>
        </w:r>
        <w:r w:rsidR="00021FDD">
          <w:rPr>
            <w:noProof/>
            <w:webHidden/>
          </w:rPr>
          <w:tab/>
        </w:r>
        <w:r w:rsidR="00021FDD">
          <w:rPr>
            <w:noProof/>
            <w:webHidden/>
          </w:rPr>
          <w:fldChar w:fldCharType="begin"/>
        </w:r>
        <w:r w:rsidR="00021FDD">
          <w:rPr>
            <w:noProof/>
            <w:webHidden/>
          </w:rPr>
          <w:instrText xml:space="preserve"> PAGEREF _Toc75952363 \h </w:instrText>
        </w:r>
        <w:r w:rsidR="00021FDD">
          <w:rPr>
            <w:noProof/>
            <w:webHidden/>
          </w:rPr>
        </w:r>
        <w:r w:rsidR="00021FDD">
          <w:rPr>
            <w:noProof/>
            <w:webHidden/>
          </w:rPr>
          <w:fldChar w:fldCharType="separate"/>
        </w:r>
        <w:r w:rsidR="00021FDD">
          <w:rPr>
            <w:noProof/>
            <w:webHidden/>
          </w:rPr>
          <w:t>114</w:t>
        </w:r>
        <w:r w:rsidR="00021FDD">
          <w:rPr>
            <w:noProof/>
            <w:webHidden/>
          </w:rPr>
          <w:fldChar w:fldCharType="end"/>
        </w:r>
      </w:hyperlink>
    </w:p>
    <w:p w14:paraId="211789B7" w14:textId="6C0AF735"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4" w:history="1">
        <w:r w:rsidR="00021FDD" w:rsidRPr="001E67FF">
          <w:rPr>
            <w:rStyle w:val="Hypertextovodkaz"/>
            <w:noProof/>
          </w:rPr>
          <w:t>Tabulka 61: KS – počet odsouzených na 100 000 obyvatel dle soudů</w:t>
        </w:r>
        <w:r w:rsidR="00021FDD">
          <w:rPr>
            <w:noProof/>
            <w:webHidden/>
          </w:rPr>
          <w:tab/>
        </w:r>
        <w:r w:rsidR="00021FDD">
          <w:rPr>
            <w:noProof/>
            <w:webHidden/>
          </w:rPr>
          <w:fldChar w:fldCharType="begin"/>
        </w:r>
        <w:r w:rsidR="00021FDD">
          <w:rPr>
            <w:noProof/>
            <w:webHidden/>
          </w:rPr>
          <w:instrText xml:space="preserve"> PAGEREF _Toc75952364 \h </w:instrText>
        </w:r>
        <w:r w:rsidR="00021FDD">
          <w:rPr>
            <w:noProof/>
            <w:webHidden/>
          </w:rPr>
        </w:r>
        <w:r w:rsidR="00021FDD">
          <w:rPr>
            <w:noProof/>
            <w:webHidden/>
          </w:rPr>
          <w:fldChar w:fldCharType="separate"/>
        </w:r>
        <w:r w:rsidR="00021FDD">
          <w:rPr>
            <w:noProof/>
            <w:webHidden/>
          </w:rPr>
          <w:t>115</w:t>
        </w:r>
        <w:r w:rsidR="00021FDD">
          <w:rPr>
            <w:noProof/>
            <w:webHidden/>
          </w:rPr>
          <w:fldChar w:fldCharType="end"/>
        </w:r>
      </w:hyperlink>
    </w:p>
    <w:p w14:paraId="1F0AEFE6" w14:textId="00FEA506"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5" w:history="1">
        <w:r w:rsidR="00021FDD" w:rsidRPr="001E67FF">
          <w:rPr>
            <w:rStyle w:val="Hypertextovodkaz"/>
            <w:noProof/>
          </w:rPr>
          <w:t>Tabulka 62: KS – délky odvolacího trestního řízení dle soudů</w:t>
        </w:r>
        <w:r w:rsidR="00021FDD">
          <w:rPr>
            <w:noProof/>
            <w:webHidden/>
          </w:rPr>
          <w:tab/>
        </w:r>
        <w:r w:rsidR="00021FDD">
          <w:rPr>
            <w:noProof/>
            <w:webHidden/>
          </w:rPr>
          <w:fldChar w:fldCharType="begin"/>
        </w:r>
        <w:r w:rsidR="00021FDD">
          <w:rPr>
            <w:noProof/>
            <w:webHidden/>
          </w:rPr>
          <w:instrText xml:space="preserve"> PAGEREF _Toc75952365 \h </w:instrText>
        </w:r>
        <w:r w:rsidR="00021FDD">
          <w:rPr>
            <w:noProof/>
            <w:webHidden/>
          </w:rPr>
        </w:r>
        <w:r w:rsidR="00021FDD">
          <w:rPr>
            <w:noProof/>
            <w:webHidden/>
          </w:rPr>
          <w:fldChar w:fldCharType="separate"/>
        </w:r>
        <w:r w:rsidR="00021FDD">
          <w:rPr>
            <w:noProof/>
            <w:webHidden/>
          </w:rPr>
          <w:t>117</w:t>
        </w:r>
        <w:r w:rsidR="00021FDD">
          <w:rPr>
            <w:noProof/>
            <w:webHidden/>
          </w:rPr>
          <w:fldChar w:fldCharType="end"/>
        </w:r>
      </w:hyperlink>
    </w:p>
    <w:p w14:paraId="01A209CC" w14:textId="64AD522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6" w:history="1">
        <w:r w:rsidR="00021FDD" w:rsidRPr="001E67FF">
          <w:rPr>
            <w:rStyle w:val="Hypertextovodkaz"/>
            <w:noProof/>
          </w:rPr>
          <w:t>Tabulka 63: KS – vyřizování odvolacích trestních věcí dle soudů</w:t>
        </w:r>
        <w:r w:rsidR="00021FDD">
          <w:rPr>
            <w:noProof/>
            <w:webHidden/>
          </w:rPr>
          <w:tab/>
        </w:r>
        <w:r w:rsidR="00021FDD">
          <w:rPr>
            <w:noProof/>
            <w:webHidden/>
          </w:rPr>
          <w:fldChar w:fldCharType="begin"/>
        </w:r>
        <w:r w:rsidR="00021FDD">
          <w:rPr>
            <w:noProof/>
            <w:webHidden/>
          </w:rPr>
          <w:instrText xml:space="preserve"> PAGEREF _Toc75952366 \h </w:instrText>
        </w:r>
        <w:r w:rsidR="00021FDD">
          <w:rPr>
            <w:noProof/>
            <w:webHidden/>
          </w:rPr>
        </w:r>
        <w:r w:rsidR="00021FDD">
          <w:rPr>
            <w:noProof/>
            <w:webHidden/>
          </w:rPr>
          <w:fldChar w:fldCharType="separate"/>
        </w:r>
        <w:r w:rsidR="00021FDD">
          <w:rPr>
            <w:noProof/>
            <w:webHidden/>
          </w:rPr>
          <w:t>119</w:t>
        </w:r>
        <w:r w:rsidR="00021FDD">
          <w:rPr>
            <w:noProof/>
            <w:webHidden/>
          </w:rPr>
          <w:fldChar w:fldCharType="end"/>
        </w:r>
      </w:hyperlink>
    </w:p>
    <w:p w14:paraId="405E9646" w14:textId="03888E4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7" w:history="1">
        <w:r w:rsidR="00021FDD" w:rsidRPr="001E67FF">
          <w:rPr>
            <w:rStyle w:val="Hypertextovodkaz"/>
            <w:noProof/>
          </w:rPr>
          <w:t>Tabulka 64: KS – vyřiz. odvolacích tr. věcí na skutečný úvazek dle soudů</w:t>
        </w:r>
        <w:r w:rsidR="00021FDD">
          <w:rPr>
            <w:noProof/>
            <w:webHidden/>
          </w:rPr>
          <w:tab/>
        </w:r>
        <w:r w:rsidR="00021FDD">
          <w:rPr>
            <w:noProof/>
            <w:webHidden/>
          </w:rPr>
          <w:fldChar w:fldCharType="begin"/>
        </w:r>
        <w:r w:rsidR="00021FDD">
          <w:rPr>
            <w:noProof/>
            <w:webHidden/>
          </w:rPr>
          <w:instrText xml:space="preserve"> PAGEREF _Toc75952367 \h </w:instrText>
        </w:r>
        <w:r w:rsidR="00021FDD">
          <w:rPr>
            <w:noProof/>
            <w:webHidden/>
          </w:rPr>
        </w:r>
        <w:r w:rsidR="00021FDD">
          <w:rPr>
            <w:noProof/>
            <w:webHidden/>
          </w:rPr>
          <w:fldChar w:fldCharType="separate"/>
        </w:r>
        <w:r w:rsidR="00021FDD">
          <w:rPr>
            <w:noProof/>
            <w:webHidden/>
          </w:rPr>
          <w:t>119</w:t>
        </w:r>
        <w:r w:rsidR="00021FDD">
          <w:rPr>
            <w:noProof/>
            <w:webHidden/>
          </w:rPr>
          <w:fldChar w:fldCharType="end"/>
        </w:r>
      </w:hyperlink>
    </w:p>
    <w:p w14:paraId="07B7D9FE" w14:textId="5E6A039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8" w:history="1">
        <w:r w:rsidR="00021FDD" w:rsidRPr="001E67FF">
          <w:rPr>
            <w:rStyle w:val="Hypertextovodkaz"/>
            <w:noProof/>
          </w:rPr>
          <w:t>Tabulka 65: KS – DT odvolacího trestního řízení dle soudů</w:t>
        </w:r>
        <w:r w:rsidR="00021FDD">
          <w:rPr>
            <w:noProof/>
            <w:webHidden/>
          </w:rPr>
          <w:tab/>
        </w:r>
        <w:r w:rsidR="00021FDD">
          <w:rPr>
            <w:noProof/>
            <w:webHidden/>
          </w:rPr>
          <w:fldChar w:fldCharType="begin"/>
        </w:r>
        <w:r w:rsidR="00021FDD">
          <w:rPr>
            <w:noProof/>
            <w:webHidden/>
          </w:rPr>
          <w:instrText xml:space="preserve"> PAGEREF _Toc75952368 \h </w:instrText>
        </w:r>
        <w:r w:rsidR="00021FDD">
          <w:rPr>
            <w:noProof/>
            <w:webHidden/>
          </w:rPr>
        </w:r>
        <w:r w:rsidR="00021FDD">
          <w:rPr>
            <w:noProof/>
            <w:webHidden/>
          </w:rPr>
          <w:fldChar w:fldCharType="separate"/>
        </w:r>
        <w:r w:rsidR="00021FDD">
          <w:rPr>
            <w:noProof/>
            <w:webHidden/>
          </w:rPr>
          <w:t>120</w:t>
        </w:r>
        <w:r w:rsidR="00021FDD">
          <w:rPr>
            <w:noProof/>
            <w:webHidden/>
          </w:rPr>
          <w:fldChar w:fldCharType="end"/>
        </w:r>
      </w:hyperlink>
    </w:p>
    <w:p w14:paraId="3332AD0E" w14:textId="4DBD726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69" w:history="1">
        <w:r w:rsidR="00021FDD" w:rsidRPr="001E67FF">
          <w:rPr>
            <w:rStyle w:val="Hypertextovodkaz"/>
            <w:noProof/>
          </w:rPr>
          <w:t>Tabulka 66: KS – délky správního řízení dle soudů</w:t>
        </w:r>
        <w:r w:rsidR="00021FDD">
          <w:rPr>
            <w:noProof/>
            <w:webHidden/>
          </w:rPr>
          <w:tab/>
        </w:r>
        <w:r w:rsidR="00021FDD">
          <w:rPr>
            <w:noProof/>
            <w:webHidden/>
          </w:rPr>
          <w:fldChar w:fldCharType="begin"/>
        </w:r>
        <w:r w:rsidR="00021FDD">
          <w:rPr>
            <w:noProof/>
            <w:webHidden/>
          </w:rPr>
          <w:instrText xml:space="preserve"> PAGEREF _Toc75952369 \h </w:instrText>
        </w:r>
        <w:r w:rsidR="00021FDD">
          <w:rPr>
            <w:noProof/>
            <w:webHidden/>
          </w:rPr>
        </w:r>
        <w:r w:rsidR="00021FDD">
          <w:rPr>
            <w:noProof/>
            <w:webHidden/>
          </w:rPr>
          <w:fldChar w:fldCharType="separate"/>
        </w:r>
        <w:r w:rsidR="00021FDD">
          <w:rPr>
            <w:noProof/>
            <w:webHidden/>
          </w:rPr>
          <w:t>123</w:t>
        </w:r>
        <w:r w:rsidR="00021FDD">
          <w:rPr>
            <w:noProof/>
            <w:webHidden/>
          </w:rPr>
          <w:fldChar w:fldCharType="end"/>
        </w:r>
      </w:hyperlink>
    </w:p>
    <w:p w14:paraId="3A25CC60" w14:textId="6852082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0" w:history="1">
        <w:r w:rsidR="00021FDD" w:rsidRPr="001E67FF">
          <w:rPr>
            <w:rStyle w:val="Hypertextovodkaz"/>
            <w:noProof/>
          </w:rPr>
          <w:t>Tabulka 67: KS – vyřizování správních věcí dle soudů</w:t>
        </w:r>
        <w:r w:rsidR="00021FDD">
          <w:rPr>
            <w:noProof/>
            <w:webHidden/>
          </w:rPr>
          <w:tab/>
        </w:r>
        <w:r w:rsidR="00021FDD">
          <w:rPr>
            <w:noProof/>
            <w:webHidden/>
          </w:rPr>
          <w:fldChar w:fldCharType="begin"/>
        </w:r>
        <w:r w:rsidR="00021FDD">
          <w:rPr>
            <w:noProof/>
            <w:webHidden/>
          </w:rPr>
          <w:instrText xml:space="preserve"> PAGEREF _Toc75952370 \h </w:instrText>
        </w:r>
        <w:r w:rsidR="00021FDD">
          <w:rPr>
            <w:noProof/>
            <w:webHidden/>
          </w:rPr>
        </w:r>
        <w:r w:rsidR="00021FDD">
          <w:rPr>
            <w:noProof/>
            <w:webHidden/>
          </w:rPr>
          <w:fldChar w:fldCharType="separate"/>
        </w:r>
        <w:r w:rsidR="00021FDD">
          <w:rPr>
            <w:noProof/>
            <w:webHidden/>
          </w:rPr>
          <w:t>126</w:t>
        </w:r>
        <w:r w:rsidR="00021FDD">
          <w:rPr>
            <w:noProof/>
            <w:webHidden/>
          </w:rPr>
          <w:fldChar w:fldCharType="end"/>
        </w:r>
      </w:hyperlink>
    </w:p>
    <w:p w14:paraId="571E53FE" w14:textId="1AF9332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1" w:history="1">
        <w:r w:rsidR="00021FDD" w:rsidRPr="001E67FF">
          <w:rPr>
            <w:rStyle w:val="Hypertextovodkaz"/>
            <w:noProof/>
          </w:rPr>
          <w:t>Tabulka 68: KS – podíl nevyřízených věcí druhů agendy správního soudnictví</w:t>
        </w:r>
        <w:r w:rsidR="00021FDD">
          <w:rPr>
            <w:noProof/>
            <w:webHidden/>
          </w:rPr>
          <w:tab/>
        </w:r>
        <w:r w:rsidR="00021FDD">
          <w:rPr>
            <w:noProof/>
            <w:webHidden/>
          </w:rPr>
          <w:fldChar w:fldCharType="begin"/>
        </w:r>
        <w:r w:rsidR="00021FDD">
          <w:rPr>
            <w:noProof/>
            <w:webHidden/>
          </w:rPr>
          <w:instrText xml:space="preserve"> PAGEREF _Toc75952371 \h </w:instrText>
        </w:r>
        <w:r w:rsidR="00021FDD">
          <w:rPr>
            <w:noProof/>
            <w:webHidden/>
          </w:rPr>
        </w:r>
        <w:r w:rsidR="00021FDD">
          <w:rPr>
            <w:noProof/>
            <w:webHidden/>
          </w:rPr>
          <w:fldChar w:fldCharType="separate"/>
        </w:r>
        <w:r w:rsidR="00021FDD">
          <w:rPr>
            <w:noProof/>
            <w:webHidden/>
          </w:rPr>
          <w:t>127</w:t>
        </w:r>
        <w:r w:rsidR="00021FDD">
          <w:rPr>
            <w:noProof/>
            <w:webHidden/>
          </w:rPr>
          <w:fldChar w:fldCharType="end"/>
        </w:r>
      </w:hyperlink>
    </w:p>
    <w:p w14:paraId="41891E4D" w14:textId="3C5EE708"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2" w:history="1">
        <w:r w:rsidR="00021FDD" w:rsidRPr="001E67FF">
          <w:rPr>
            <w:rStyle w:val="Hypertextovodkaz"/>
            <w:noProof/>
          </w:rPr>
          <w:t>Tabulka 69: KS – vyřizování správních věcí na skutečný úvazek dle soudů</w:t>
        </w:r>
        <w:r w:rsidR="00021FDD">
          <w:rPr>
            <w:noProof/>
            <w:webHidden/>
          </w:rPr>
          <w:tab/>
        </w:r>
        <w:r w:rsidR="00021FDD">
          <w:rPr>
            <w:noProof/>
            <w:webHidden/>
          </w:rPr>
          <w:fldChar w:fldCharType="begin"/>
        </w:r>
        <w:r w:rsidR="00021FDD">
          <w:rPr>
            <w:noProof/>
            <w:webHidden/>
          </w:rPr>
          <w:instrText xml:space="preserve"> PAGEREF _Toc75952372 \h </w:instrText>
        </w:r>
        <w:r w:rsidR="00021FDD">
          <w:rPr>
            <w:noProof/>
            <w:webHidden/>
          </w:rPr>
        </w:r>
        <w:r w:rsidR="00021FDD">
          <w:rPr>
            <w:noProof/>
            <w:webHidden/>
          </w:rPr>
          <w:fldChar w:fldCharType="separate"/>
        </w:r>
        <w:r w:rsidR="00021FDD">
          <w:rPr>
            <w:noProof/>
            <w:webHidden/>
          </w:rPr>
          <w:t>128</w:t>
        </w:r>
        <w:r w:rsidR="00021FDD">
          <w:rPr>
            <w:noProof/>
            <w:webHidden/>
          </w:rPr>
          <w:fldChar w:fldCharType="end"/>
        </w:r>
      </w:hyperlink>
    </w:p>
    <w:p w14:paraId="445C4072" w14:textId="78726EDD"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3" w:history="1">
        <w:r w:rsidR="00021FDD" w:rsidRPr="001E67FF">
          <w:rPr>
            <w:rStyle w:val="Hypertextovodkaz"/>
            <w:noProof/>
          </w:rPr>
          <w:t>Tabulka 70: KS – DT správního řízení dle soudů</w:t>
        </w:r>
        <w:r w:rsidR="00021FDD">
          <w:rPr>
            <w:noProof/>
            <w:webHidden/>
          </w:rPr>
          <w:tab/>
        </w:r>
        <w:r w:rsidR="00021FDD">
          <w:rPr>
            <w:noProof/>
            <w:webHidden/>
          </w:rPr>
          <w:fldChar w:fldCharType="begin"/>
        </w:r>
        <w:r w:rsidR="00021FDD">
          <w:rPr>
            <w:noProof/>
            <w:webHidden/>
          </w:rPr>
          <w:instrText xml:space="preserve"> PAGEREF _Toc75952373 \h </w:instrText>
        </w:r>
        <w:r w:rsidR="00021FDD">
          <w:rPr>
            <w:noProof/>
            <w:webHidden/>
          </w:rPr>
        </w:r>
        <w:r w:rsidR="00021FDD">
          <w:rPr>
            <w:noProof/>
            <w:webHidden/>
          </w:rPr>
          <w:fldChar w:fldCharType="separate"/>
        </w:r>
        <w:r w:rsidR="00021FDD">
          <w:rPr>
            <w:noProof/>
            <w:webHidden/>
          </w:rPr>
          <w:t>129</w:t>
        </w:r>
        <w:r w:rsidR="00021FDD">
          <w:rPr>
            <w:noProof/>
            <w:webHidden/>
          </w:rPr>
          <w:fldChar w:fldCharType="end"/>
        </w:r>
      </w:hyperlink>
    </w:p>
    <w:p w14:paraId="22213267" w14:textId="0E983A0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4" w:history="1">
        <w:r w:rsidR="00021FDD" w:rsidRPr="001E67FF">
          <w:rPr>
            <w:rStyle w:val="Hypertextovodkaz"/>
            <w:noProof/>
          </w:rPr>
          <w:t>Tabulka 71: KS – délky insolvenčního řízení dle soudů</w:t>
        </w:r>
        <w:r w:rsidR="00021FDD">
          <w:rPr>
            <w:noProof/>
            <w:webHidden/>
          </w:rPr>
          <w:tab/>
        </w:r>
        <w:r w:rsidR="00021FDD">
          <w:rPr>
            <w:noProof/>
            <w:webHidden/>
          </w:rPr>
          <w:fldChar w:fldCharType="begin"/>
        </w:r>
        <w:r w:rsidR="00021FDD">
          <w:rPr>
            <w:noProof/>
            <w:webHidden/>
          </w:rPr>
          <w:instrText xml:space="preserve"> PAGEREF _Toc75952374 \h </w:instrText>
        </w:r>
        <w:r w:rsidR="00021FDD">
          <w:rPr>
            <w:noProof/>
            <w:webHidden/>
          </w:rPr>
        </w:r>
        <w:r w:rsidR="00021FDD">
          <w:rPr>
            <w:noProof/>
            <w:webHidden/>
          </w:rPr>
          <w:fldChar w:fldCharType="separate"/>
        </w:r>
        <w:r w:rsidR="00021FDD">
          <w:rPr>
            <w:noProof/>
            <w:webHidden/>
          </w:rPr>
          <w:t>132</w:t>
        </w:r>
        <w:r w:rsidR="00021FDD">
          <w:rPr>
            <w:noProof/>
            <w:webHidden/>
          </w:rPr>
          <w:fldChar w:fldCharType="end"/>
        </w:r>
      </w:hyperlink>
    </w:p>
    <w:p w14:paraId="6E975CDA" w14:textId="4169CB0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5" w:history="1">
        <w:r w:rsidR="00021FDD" w:rsidRPr="001E67FF">
          <w:rPr>
            <w:rStyle w:val="Hypertextovodkaz"/>
            <w:noProof/>
          </w:rPr>
          <w:t>Tabulka 72: KS – délka druhé fáze insolvenčního řízení u PO dle soudů</w:t>
        </w:r>
        <w:r w:rsidR="00021FDD">
          <w:rPr>
            <w:noProof/>
            <w:webHidden/>
          </w:rPr>
          <w:tab/>
        </w:r>
        <w:r w:rsidR="00021FDD">
          <w:rPr>
            <w:noProof/>
            <w:webHidden/>
          </w:rPr>
          <w:fldChar w:fldCharType="begin"/>
        </w:r>
        <w:r w:rsidR="00021FDD">
          <w:rPr>
            <w:noProof/>
            <w:webHidden/>
          </w:rPr>
          <w:instrText xml:space="preserve"> PAGEREF _Toc75952375 \h </w:instrText>
        </w:r>
        <w:r w:rsidR="00021FDD">
          <w:rPr>
            <w:noProof/>
            <w:webHidden/>
          </w:rPr>
        </w:r>
        <w:r w:rsidR="00021FDD">
          <w:rPr>
            <w:noProof/>
            <w:webHidden/>
          </w:rPr>
          <w:fldChar w:fldCharType="separate"/>
        </w:r>
        <w:r w:rsidR="00021FDD">
          <w:rPr>
            <w:noProof/>
            <w:webHidden/>
          </w:rPr>
          <w:t>134</w:t>
        </w:r>
        <w:r w:rsidR="00021FDD">
          <w:rPr>
            <w:noProof/>
            <w:webHidden/>
          </w:rPr>
          <w:fldChar w:fldCharType="end"/>
        </w:r>
      </w:hyperlink>
    </w:p>
    <w:p w14:paraId="3FD20351" w14:textId="1FA0F3F7"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6" w:history="1">
        <w:r w:rsidR="00021FDD" w:rsidRPr="001E67FF">
          <w:rPr>
            <w:rStyle w:val="Hypertextovodkaz"/>
            <w:noProof/>
          </w:rPr>
          <w:t>Tabulka 73: KS – délka druhé fáze insolvenčního řízení u FO dle soudů</w:t>
        </w:r>
        <w:r w:rsidR="00021FDD">
          <w:rPr>
            <w:noProof/>
            <w:webHidden/>
          </w:rPr>
          <w:tab/>
        </w:r>
        <w:r w:rsidR="00021FDD">
          <w:rPr>
            <w:noProof/>
            <w:webHidden/>
          </w:rPr>
          <w:fldChar w:fldCharType="begin"/>
        </w:r>
        <w:r w:rsidR="00021FDD">
          <w:rPr>
            <w:noProof/>
            <w:webHidden/>
          </w:rPr>
          <w:instrText xml:space="preserve"> PAGEREF _Toc75952376 \h </w:instrText>
        </w:r>
        <w:r w:rsidR="00021FDD">
          <w:rPr>
            <w:noProof/>
            <w:webHidden/>
          </w:rPr>
        </w:r>
        <w:r w:rsidR="00021FDD">
          <w:rPr>
            <w:noProof/>
            <w:webHidden/>
          </w:rPr>
          <w:fldChar w:fldCharType="separate"/>
        </w:r>
        <w:r w:rsidR="00021FDD">
          <w:rPr>
            <w:noProof/>
            <w:webHidden/>
          </w:rPr>
          <w:t>135</w:t>
        </w:r>
        <w:r w:rsidR="00021FDD">
          <w:rPr>
            <w:noProof/>
            <w:webHidden/>
          </w:rPr>
          <w:fldChar w:fldCharType="end"/>
        </w:r>
      </w:hyperlink>
    </w:p>
    <w:p w14:paraId="76D61875" w14:textId="69465C5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7" w:history="1">
        <w:r w:rsidR="00021FDD" w:rsidRPr="001E67FF">
          <w:rPr>
            <w:rStyle w:val="Hypertextovodkaz"/>
            <w:noProof/>
          </w:rPr>
          <w:t>Tabulka 74: KS – vyřizování insolvenčních věcí dle soudů</w:t>
        </w:r>
        <w:r w:rsidR="00021FDD">
          <w:rPr>
            <w:noProof/>
            <w:webHidden/>
          </w:rPr>
          <w:tab/>
        </w:r>
        <w:r w:rsidR="00021FDD">
          <w:rPr>
            <w:noProof/>
            <w:webHidden/>
          </w:rPr>
          <w:fldChar w:fldCharType="begin"/>
        </w:r>
        <w:r w:rsidR="00021FDD">
          <w:rPr>
            <w:noProof/>
            <w:webHidden/>
          </w:rPr>
          <w:instrText xml:space="preserve"> PAGEREF _Toc75952377 \h </w:instrText>
        </w:r>
        <w:r w:rsidR="00021FDD">
          <w:rPr>
            <w:noProof/>
            <w:webHidden/>
          </w:rPr>
        </w:r>
        <w:r w:rsidR="00021FDD">
          <w:rPr>
            <w:noProof/>
            <w:webHidden/>
          </w:rPr>
          <w:fldChar w:fldCharType="separate"/>
        </w:r>
        <w:r w:rsidR="00021FDD">
          <w:rPr>
            <w:noProof/>
            <w:webHidden/>
          </w:rPr>
          <w:t>136</w:t>
        </w:r>
        <w:r w:rsidR="00021FDD">
          <w:rPr>
            <w:noProof/>
            <w:webHidden/>
          </w:rPr>
          <w:fldChar w:fldCharType="end"/>
        </w:r>
      </w:hyperlink>
    </w:p>
    <w:p w14:paraId="0E753F23" w14:textId="4C3AFE3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8" w:history="1">
        <w:r w:rsidR="00021FDD" w:rsidRPr="001E67FF">
          <w:rPr>
            <w:rStyle w:val="Hypertextovodkaz"/>
            <w:noProof/>
          </w:rPr>
          <w:t>Tabulka 75: KS – vyřizování insolvenčních věcí na skutečný úvazek dle soudů</w:t>
        </w:r>
        <w:r w:rsidR="00021FDD">
          <w:rPr>
            <w:noProof/>
            <w:webHidden/>
          </w:rPr>
          <w:tab/>
        </w:r>
        <w:r w:rsidR="00021FDD">
          <w:rPr>
            <w:noProof/>
            <w:webHidden/>
          </w:rPr>
          <w:fldChar w:fldCharType="begin"/>
        </w:r>
        <w:r w:rsidR="00021FDD">
          <w:rPr>
            <w:noProof/>
            <w:webHidden/>
          </w:rPr>
          <w:instrText xml:space="preserve"> PAGEREF _Toc75952378 \h </w:instrText>
        </w:r>
        <w:r w:rsidR="00021FDD">
          <w:rPr>
            <w:noProof/>
            <w:webHidden/>
          </w:rPr>
        </w:r>
        <w:r w:rsidR="00021FDD">
          <w:rPr>
            <w:noProof/>
            <w:webHidden/>
          </w:rPr>
          <w:fldChar w:fldCharType="separate"/>
        </w:r>
        <w:r w:rsidR="00021FDD">
          <w:rPr>
            <w:noProof/>
            <w:webHidden/>
          </w:rPr>
          <w:t>137</w:t>
        </w:r>
        <w:r w:rsidR="00021FDD">
          <w:rPr>
            <w:noProof/>
            <w:webHidden/>
          </w:rPr>
          <w:fldChar w:fldCharType="end"/>
        </w:r>
      </w:hyperlink>
    </w:p>
    <w:p w14:paraId="4303D44B" w14:textId="3F5BB60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79" w:history="1">
        <w:r w:rsidR="00021FDD" w:rsidRPr="001E67FF">
          <w:rPr>
            <w:rStyle w:val="Hypertextovodkaz"/>
            <w:noProof/>
          </w:rPr>
          <w:t>Tabulka 76: KS – podíl jednotlivých způsobů řešení úpadku</w:t>
        </w:r>
        <w:r w:rsidR="00021FDD">
          <w:rPr>
            <w:noProof/>
            <w:webHidden/>
          </w:rPr>
          <w:tab/>
        </w:r>
        <w:r w:rsidR="00021FDD">
          <w:rPr>
            <w:noProof/>
            <w:webHidden/>
          </w:rPr>
          <w:fldChar w:fldCharType="begin"/>
        </w:r>
        <w:r w:rsidR="00021FDD">
          <w:rPr>
            <w:noProof/>
            <w:webHidden/>
          </w:rPr>
          <w:instrText xml:space="preserve"> PAGEREF _Toc75952379 \h </w:instrText>
        </w:r>
        <w:r w:rsidR="00021FDD">
          <w:rPr>
            <w:noProof/>
            <w:webHidden/>
          </w:rPr>
        </w:r>
        <w:r w:rsidR="00021FDD">
          <w:rPr>
            <w:noProof/>
            <w:webHidden/>
          </w:rPr>
          <w:fldChar w:fldCharType="separate"/>
        </w:r>
        <w:r w:rsidR="00021FDD">
          <w:rPr>
            <w:noProof/>
            <w:webHidden/>
          </w:rPr>
          <w:t>138</w:t>
        </w:r>
        <w:r w:rsidR="00021FDD">
          <w:rPr>
            <w:noProof/>
            <w:webHidden/>
          </w:rPr>
          <w:fldChar w:fldCharType="end"/>
        </w:r>
      </w:hyperlink>
    </w:p>
    <w:p w14:paraId="04F40C07" w14:textId="282BB2A0"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0" w:history="1">
        <w:r w:rsidR="00021FDD" w:rsidRPr="001E67FF">
          <w:rPr>
            <w:rStyle w:val="Hypertextovodkaz"/>
            <w:noProof/>
          </w:rPr>
          <w:t>Tabulka 77: KS – délky incidenčních sporů dle soudů</w:t>
        </w:r>
        <w:r w:rsidR="00021FDD">
          <w:rPr>
            <w:noProof/>
            <w:webHidden/>
          </w:rPr>
          <w:tab/>
        </w:r>
        <w:r w:rsidR="00021FDD">
          <w:rPr>
            <w:noProof/>
            <w:webHidden/>
          </w:rPr>
          <w:fldChar w:fldCharType="begin"/>
        </w:r>
        <w:r w:rsidR="00021FDD">
          <w:rPr>
            <w:noProof/>
            <w:webHidden/>
          </w:rPr>
          <w:instrText xml:space="preserve"> PAGEREF _Toc75952380 \h </w:instrText>
        </w:r>
        <w:r w:rsidR="00021FDD">
          <w:rPr>
            <w:noProof/>
            <w:webHidden/>
          </w:rPr>
        </w:r>
        <w:r w:rsidR="00021FDD">
          <w:rPr>
            <w:noProof/>
            <w:webHidden/>
          </w:rPr>
          <w:fldChar w:fldCharType="separate"/>
        </w:r>
        <w:r w:rsidR="00021FDD">
          <w:rPr>
            <w:noProof/>
            <w:webHidden/>
          </w:rPr>
          <w:t>140</w:t>
        </w:r>
        <w:r w:rsidR="00021FDD">
          <w:rPr>
            <w:noProof/>
            <w:webHidden/>
          </w:rPr>
          <w:fldChar w:fldCharType="end"/>
        </w:r>
      </w:hyperlink>
    </w:p>
    <w:p w14:paraId="217E26A9" w14:textId="27DA9D9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1" w:history="1">
        <w:r w:rsidR="00021FDD" w:rsidRPr="001E67FF">
          <w:rPr>
            <w:rStyle w:val="Hypertextovodkaz"/>
            <w:noProof/>
          </w:rPr>
          <w:t>Tabulka 78: KS – vyřizování incidenčních sporů dle soudů</w:t>
        </w:r>
        <w:r w:rsidR="00021FDD">
          <w:rPr>
            <w:noProof/>
            <w:webHidden/>
          </w:rPr>
          <w:tab/>
        </w:r>
        <w:r w:rsidR="00021FDD">
          <w:rPr>
            <w:noProof/>
            <w:webHidden/>
          </w:rPr>
          <w:fldChar w:fldCharType="begin"/>
        </w:r>
        <w:r w:rsidR="00021FDD">
          <w:rPr>
            <w:noProof/>
            <w:webHidden/>
          </w:rPr>
          <w:instrText xml:space="preserve"> PAGEREF _Toc75952381 \h </w:instrText>
        </w:r>
        <w:r w:rsidR="00021FDD">
          <w:rPr>
            <w:noProof/>
            <w:webHidden/>
          </w:rPr>
        </w:r>
        <w:r w:rsidR="00021FDD">
          <w:rPr>
            <w:noProof/>
            <w:webHidden/>
          </w:rPr>
          <w:fldChar w:fldCharType="separate"/>
        </w:r>
        <w:r w:rsidR="00021FDD">
          <w:rPr>
            <w:noProof/>
            <w:webHidden/>
          </w:rPr>
          <w:t>142</w:t>
        </w:r>
        <w:r w:rsidR="00021FDD">
          <w:rPr>
            <w:noProof/>
            <w:webHidden/>
          </w:rPr>
          <w:fldChar w:fldCharType="end"/>
        </w:r>
      </w:hyperlink>
    </w:p>
    <w:p w14:paraId="7F9DEB1F" w14:textId="5BF2BD23"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2" w:history="1">
        <w:r w:rsidR="00021FDD" w:rsidRPr="001E67FF">
          <w:rPr>
            <w:rStyle w:val="Hypertextovodkaz"/>
            <w:noProof/>
          </w:rPr>
          <w:t>Tabulka 79: KS – vyřizování incidenčních sporů na skutečný úvazek dle soudů</w:t>
        </w:r>
        <w:r w:rsidR="00021FDD">
          <w:rPr>
            <w:noProof/>
            <w:webHidden/>
          </w:rPr>
          <w:tab/>
        </w:r>
        <w:r w:rsidR="00021FDD">
          <w:rPr>
            <w:noProof/>
            <w:webHidden/>
          </w:rPr>
          <w:fldChar w:fldCharType="begin"/>
        </w:r>
        <w:r w:rsidR="00021FDD">
          <w:rPr>
            <w:noProof/>
            <w:webHidden/>
          </w:rPr>
          <w:instrText xml:space="preserve"> PAGEREF _Toc75952382 \h </w:instrText>
        </w:r>
        <w:r w:rsidR="00021FDD">
          <w:rPr>
            <w:noProof/>
            <w:webHidden/>
          </w:rPr>
        </w:r>
        <w:r w:rsidR="00021FDD">
          <w:rPr>
            <w:noProof/>
            <w:webHidden/>
          </w:rPr>
          <w:fldChar w:fldCharType="separate"/>
        </w:r>
        <w:r w:rsidR="00021FDD">
          <w:rPr>
            <w:noProof/>
            <w:webHidden/>
          </w:rPr>
          <w:t>142</w:t>
        </w:r>
        <w:r w:rsidR="00021FDD">
          <w:rPr>
            <w:noProof/>
            <w:webHidden/>
          </w:rPr>
          <w:fldChar w:fldCharType="end"/>
        </w:r>
      </w:hyperlink>
    </w:p>
    <w:p w14:paraId="6851FA46" w14:textId="0072CFDC"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3" w:history="1">
        <w:r w:rsidR="00021FDD" w:rsidRPr="001E67FF">
          <w:rPr>
            <w:rStyle w:val="Hypertextovodkaz"/>
            <w:noProof/>
          </w:rPr>
          <w:t>Tabulka 80: KS – DT incidenčních sporů dle soudů</w:t>
        </w:r>
        <w:r w:rsidR="00021FDD">
          <w:rPr>
            <w:noProof/>
            <w:webHidden/>
          </w:rPr>
          <w:tab/>
        </w:r>
        <w:r w:rsidR="00021FDD">
          <w:rPr>
            <w:noProof/>
            <w:webHidden/>
          </w:rPr>
          <w:fldChar w:fldCharType="begin"/>
        </w:r>
        <w:r w:rsidR="00021FDD">
          <w:rPr>
            <w:noProof/>
            <w:webHidden/>
          </w:rPr>
          <w:instrText xml:space="preserve"> PAGEREF _Toc75952383 \h </w:instrText>
        </w:r>
        <w:r w:rsidR="00021FDD">
          <w:rPr>
            <w:noProof/>
            <w:webHidden/>
          </w:rPr>
        </w:r>
        <w:r w:rsidR="00021FDD">
          <w:rPr>
            <w:noProof/>
            <w:webHidden/>
          </w:rPr>
          <w:fldChar w:fldCharType="separate"/>
        </w:r>
        <w:r w:rsidR="00021FDD">
          <w:rPr>
            <w:noProof/>
            <w:webHidden/>
          </w:rPr>
          <w:t>144</w:t>
        </w:r>
        <w:r w:rsidR="00021FDD">
          <w:rPr>
            <w:noProof/>
            <w:webHidden/>
          </w:rPr>
          <w:fldChar w:fldCharType="end"/>
        </w:r>
      </w:hyperlink>
    </w:p>
    <w:p w14:paraId="2BFB2C91" w14:textId="33D49C71"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4" w:history="1">
        <w:r w:rsidR="00021FDD" w:rsidRPr="001E67FF">
          <w:rPr>
            <w:rStyle w:val="Hypertextovodkaz"/>
            <w:noProof/>
          </w:rPr>
          <w:t>Tabulka 81: VS – počet zaměstnanců ve výkonu dle soudů</w:t>
        </w:r>
        <w:r w:rsidR="00021FDD">
          <w:rPr>
            <w:noProof/>
            <w:webHidden/>
          </w:rPr>
          <w:tab/>
        </w:r>
        <w:r w:rsidR="00021FDD">
          <w:rPr>
            <w:noProof/>
            <w:webHidden/>
          </w:rPr>
          <w:fldChar w:fldCharType="begin"/>
        </w:r>
        <w:r w:rsidR="00021FDD">
          <w:rPr>
            <w:noProof/>
            <w:webHidden/>
          </w:rPr>
          <w:instrText xml:space="preserve"> PAGEREF _Toc75952384 \h </w:instrText>
        </w:r>
        <w:r w:rsidR="00021FDD">
          <w:rPr>
            <w:noProof/>
            <w:webHidden/>
          </w:rPr>
        </w:r>
        <w:r w:rsidR="00021FDD">
          <w:rPr>
            <w:noProof/>
            <w:webHidden/>
          </w:rPr>
          <w:fldChar w:fldCharType="separate"/>
        </w:r>
        <w:r w:rsidR="00021FDD">
          <w:rPr>
            <w:noProof/>
            <w:webHidden/>
          </w:rPr>
          <w:t>150</w:t>
        </w:r>
        <w:r w:rsidR="00021FDD">
          <w:rPr>
            <w:noProof/>
            <w:webHidden/>
          </w:rPr>
          <w:fldChar w:fldCharType="end"/>
        </w:r>
      </w:hyperlink>
    </w:p>
    <w:p w14:paraId="5DE9880C" w14:textId="3BF80259"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5" w:history="1">
        <w:r w:rsidR="00021FDD" w:rsidRPr="001E67FF">
          <w:rPr>
            <w:rStyle w:val="Hypertextovodkaz"/>
            <w:noProof/>
          </w:rPr>
          <w:t>Tabulka 82: VS – vyřizování odvolacích civilních věcí na soudce</w:t>
        </w:r>
        <w:r w:rsidR="00021FDD">
          <w:rPr>
            <w:noProof/>
            <w:webHidden/>
          </w:rPr>
          <w:tab/>
        </w:r>
        <w:r w:rsidR="00021FDD">
          <w:rPr>
            <w:noProof/>
            <w:webHidden/>
          </w:rPr>
          <w:fldChar w:fldCharType="begin"/>
        </w:r>
        <w:r w:rsidR="00021FDD">
          <w:rPr>
            <w:noProof/>
            <w:webHidden/>
          </w:rPr>
          <w:instrText xml:space="preserve"> PAGEREF _Toc75952385 \h </w:instrText>
        </w:r>
        <w:r w:rsidR="00021FDD">
          <w:rPr>
            <w:noProof/>
            <w:webHidden/>
          </w:rPr>
        </w:r>
        <w:r w:rsidR="00021FDD">
          <w:rPr>
            <w:noProof/>
            <w:webHidden/>
          </w:rPr>
          <w:fldChar w:fldCharType="separate"/>
        </w:r>
        <w:r w:rsidR="00021FDD">
          <w:rPr>
            <w:noProof/>
            <w:webHidden/>
          </w:rPr>
          <w:t>153</w:t>
        </w:r>
        <w:r w:rsidR="00021FDD">
          <w:rPr>
            <w:noProof/>
            <w:webHidden/>
          </w:rPr>
          <w:fldChar w:fldCharType="end"/>
        </w:r>
      </w:hyperlink>
    </w:p>
    <w:p w14:paraId="6315183D" w14:textId="1CDE18EF"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6" w:history="1">
        <w:r w:rsidR="00021FDD" w:rsidRPr="001E67FF">
          <w:rPr>
            <w:rStyle w:val="Hypertextovodkaz"/>
            <w:noProof/>
          </w:rPr>
          <w:t>Tabulka 83: VS – vyřizování odvolacích trestních věcí na soudce</w:t>
        </w:r>
        <w:r w:rsidR="00021FDD">
          <w:rPr>
            <w:noProof/>
            <w:webHidden/>
          </w:rPr>
          <w:tab/>
        </w:r>
        <w:r w:rsidR="00021FDD">
          <w:rPr>
            <w:noProof/>
            <w:webHidden/>
          </w:rPr>
          <w:fldChar w:fldCharType="begin"/>
        </w:r>
        <w:r w:rsidR="00021FDD">
          <w:rPr>
            <w:noProof/>
            <w:webHidden/>
          </w:rPr>
          <w:instrText xml:space="preserve"> PAGEREF _Toc75952386 \h </w:instrText>
        </w:r>
        <w:r w:rsidR="00021FDD">
          <w:rPr>
            <w:noProof/>
            <w:webHidden/>
          </w:rPr>
        </w:r>
        <w:r w:rsidR="00021FDD">
          <w:rPr>
            <w:noProof/>
            <w:webHidden/>
          </w:rPr>
          <w:fldChar w:fldCharType="separate"/>
        </w:r>
        <w:r w:rsidR="00021FDD">
          <w:rPr>
            <w:noProof/>
            <w:webHidden/>
          </w:rPr>
          <w:t>158</w:t>
        </w:r>
        <w:r w:rsidR="00021FDD">
          <w:rPr>
            <w:noProof/>
            <w:webHidden/>
          </w:rPr>
          <w:fldChar w:fldCharType="end"/>
        </w:r>
      </w:hyperlink>
    </w:p>
    <w:p w14:paraId="3B4FBADF" w14:textId="72FD2C4E"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7" w:history="1">
        <w:r w:rsidR="00021FDD" w:rsidRPr="001E67FF">
          <w:rPr>
            <w:rStyle w:val="Hypertextovodkaz"/>
            <w:noProof/>
          </w:rPr>
          <w:t>Tabulka 84: NS – počet zaměstnanců ve výkonu</w:t>
        </w:r>
        <w:r w:rsidR="00021FDD">
          <w:rPr>
            <w:noProof/>
            <w:webHidden/>
          </w:rPr>
          <w:tab/>
        </w:r>
        <w:r w:rsidR="00021FDD">
          <w:rPr>
            <w:noProof/>
            <w:webHidden/>
          </w:rPr>
          <w:fldChar w:fldCharType="begin"/>
        </w:r>
        <w:r w:rsidR="00021FDD">
          <w:rPr>
            <w:noProof/>
            <w:webHidden/>
          </w:rPr>
          <w:instrText xml:space="preserve"> PAGEREF _Toc75952387 \h </w:instrText>
        </w:r>
        <w:r w:rsidR="00021FDD">
          <w:rPr>
            <w:noProof/>
            <w:webHidden/>
          </w:rPr>
        </w:r>
        <w:r w:rsidR="00021FDD">
          <w:rPr>
            <w:noProof/>
            <w:webHidden/>
          </w:rPr>
          <w:fldChar w:fldCharType="separate"/>
        </w:r>
        <w:r w:rsidR="00021FDD">
          <w:rPr>
            <w:noProof/>
            <w:webHidden/>
          </w:rPr>
          <w:t>168</w:t>
        </w:r>
        <w:r w:rsidR="00021FDD">
          <w:rPr>
            <w:noProof/>
            <w:webHidden/>
          </w:rPr>
          <w:fldChar w:fldCharType="end"/>
        </w:r>
      </w:hyperlink>
    </w:p>
    <w:p w14:paraId="7CC0C743" w14:textId="14DFC364" w:rsidR="00021FDD" w:rsidRDefault="00CB73FC">
      <w:pPr>
        <w:pStyle w:val="Seznamobrzk"/>
        <w:tabs>
          <w:tab w:val="right" w:leader="dot" w:pos="9060"/>
        </w:tabs>
        <w:rPr>
          <w:rFonts w:asciiTheme="minorHAnsi" w:eastAsiaTheme="minorEastAsia" w:hAnsiTheme="minorHAnsi" w:cstheme="minorBidi"/>
          <w:noProof/>
          <w:sz w:val="22"/>
          <w:lang w:eastAsia="cs-CZ"/>
        </w:rPr>
      </w:pPr>
      <w:hyperlink w:anchor="_Toc75952388" w:history="1">
        <w:r w:rsidR="00021FDD" w:rsidRPr="001E67FF">
          <w:rPr>
            <w:rStyle w:val="Hypertextovodkaz"/>
            <w:noProof/>
          </w:rPr>
          <w:t>Tabulka 85: NSS – počet zaměstnanců ve výkonu</w:t>
        </w:r>
        <w:r w:rsidR="00021FDD">
          <w:rPr>
            <w:noProof/>
            <w:webHidden/>
          </w:rPr>
          <w:tab/>
        </w:r>
        <w:r w:rsidR="00021FDD">
          <w:rPr>
            <w:noProof/>
            <w:webHidden/>
          </w:rPr>
          <w:fldChar w:fldCharType="begin"/>
        </w:r>
        <w:r w:rsidR="00021FDD">
          <w:rPr>
            <w:noProof/>
            <w:webHidden/>
          </w:rPr>
          <w:instrText xml:space="preserve"> PAGEREF _Toc75952388 \h </w:instrText>
        </w:r>
        <w:r w:rsidR="00021FDD">
          <w:rPr>
            <w:noProof/>
            <w:webHidden/>
          </w:rPr>
        </w:r>
        <w:r w:rsidR="00021FDD">
          <w:rPr>
            <w:noProof/>
            <w:webHidden/>
          </w:rPr>
          <w:fldChar w:fldCharType="separate"/>
        </w:r>
        <w:r w:rsidR="00021FDD">
          <w:rPr>
            <w:noProof/>
            <w:webHidden/>
          </w:rPr>
          <w:t>176</w:t>
        </w:r>
        <w:r w:rsidR="00021FDD">
          <w:rPr>
            <w:noProof/>
            <w:webHidden/>
          </w:rPr>
          <w:fldChar w:fldCharType="end"/>
        </w:r>
      </w:hyperlink>
    </w:p>
    <w:p w14:paraId="72A43C92" w14:textId="0AA955C5" w:rsidR="008430BD" w:rsidRPr="001C3EC8" w:rsidRDefault="008430BD" w:rsidP="008430BD">
      <w:pPr>
        <w:spacing w:line="240" w:lineRule="auto"/>
        <w:jc w:val="left"/>
        <w:rPr>
          <w:color w:val="000000" w:themeColor="text1"/>
          <w:highlight w:val="yellow"/>
        </w:rPr>
      </w:pPr>
      <w:r w:rsidRPr="001C3EC8">
        <w:rPr>
          <w:b/>
          <w:bCs/>
          <w:noProof/>
          <w:color w:val="000000" w:themeColor="text1"/>
          <w:highlight w:val="yellow"/>
        </w:rPr>
        <w:fldChar w:fldCharType="end"/>
      </w:r>
      <w:r w:rsidRPr="001C3EC8">
        <w:rPr>
          <w:color w:val="000000" w:themeColor="text1"/>
          <w:highlight w:val="yellow"/>
        </w:rPr>
        <w:br w:type="page"/>
      </w:r>
    </w:p>
    <w:p w14:paraId="21B4A6A6" w14:textId="77777777" w:rsidR="008430BD" w:rsidRPr="001C3EC8" w:rsidRDefault="008430BD" w:rsidP="008430BD">
      <w:pPr>
        <w:pStyle w:val="Nadpis1"/>
        <w:rPr>
          <w:color w:val="000000" w:themeColor="text1"/>
        </w:rPr>
      </w:pPr>
      <w:bookmarkStart w:id="931" w:name="_Toc487791316"/>
      <w:bookmarkStart w:id="932" w:name="_Toc75952170"/>
      <w:r w:rsidRPr="001C3EC8">
        <w:rPr>
          <w:color w:val="000000" w:themeColor="text1"/>
        </w:rPr>
        <w:lastRenderedPageBreak/>
        <w:t>Přílohy</w:t>
      </w:r>
      <w:bookmarkEnd w:id="931"/>
      <w:bookmarkEnd w:id="932"/>
    </w:p>
    <w:p w14:paraId="2A6A00A7" w14:textId="14320756" w:rsidR="008430BD" w:rsidRPr="001C3EC8" w:rsidRDefault="008430BD" w:rsidP="008430BD">
      <w:pPr>
        <w:pStyle w:val="Nadpis2"/>
      </w:pPr>
      <w:bookmarkStart w:id="933" w:name="_Ref482901945"/>
      <w:bookmarkStart w:id="934" w:name="_Toc487791317"/>
      <w:bookmarkStart w:id="935" w:name="_Toc75952171"/>
      <w:r w:rsidRPr="001C3EC8">
        <w:t>Příloha</w:t>
      </w:r>
      <w:r w:rsidR="000C3B1E">
        <w:t> </w:t>
      </w:r>
      <w:r w:rsidRPr="001C3EC8">
        <w:t>A</w:t>
      </w:r>
      <w:r w:rsidR="000C3B1E">
        <w:t xml:space="preserve"> </w:t>
      </w:r>
      <w:r w:rsidRPr="001C3EC8">
        <w:t>– seznam použitých pojmů</w:t>
      </w:r>
      <w:bookmarkEnd w:id="933"/>
      <w:bookmarkEnd w:id="934"/>
      <w:bookmarkEnd w:id="935"/>
    </w:p>
    <w:p w14:paraId="3FA7D20C" w14:textId="77777777" w:rsidR="008430BD" w:rsidRPr="001C3EC8" w:rsidRDefault="008430BD" w:rsidP="008430BD">
      <w:pPr>
        <w:pStyle w:val="Nadpis3"/>
        <w:ind w:left="0" w:firstLine="0"/>
        <w:rPr>
          <w:color w:val="000000" w:themeColor="text1"/>
        </w:rPr>
      </w:pPr>
      <w:bookmarkStart w:id="936" w:name="_Toc487791318"/>
      <w:bookmarkStart w:id="937" w:name="_Toc75952172"/>
      <w:r w:rsidRPr="001C3EC8">
        <w:rPr>
          <w:color w:val="000000" w:themeColor="text1"/>
        </w:rPr>
        <w:t>Statistické pojmy a použité statistické ukazatele</w:t>
      </w:r>
      <w:bookmarkEnd w:id="936"/>
      <w:bookmarkEnd w:id="937"/>
    </w:p>
    <w:p w14:paraId="2431E5DC"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Časová řada </w:t>
      </w:r>
      <w:r w:rsidRPr="001C3EC8">
        <w:rPr>
          <w:color w:val="000000" w:themeColor="text1"/>
        </w:rPr>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14:paraId="294BF80C" w14:textId="315D37D6" w:rsidR="008430BD" w:rsidRPr="001C3EC8" w:rsidRDefault="008430BD" w:rsidP="008430BD">
      <w:pPr>
        <w:pStyle w:val="Odstavecseseznamem"/>
        <w:numPr>
          <w:ilvl w:val="0"/>
          <w:numId w:val="4"/>
        </w:numPr>
        <w:rPr>
          <w:b/>
          <w:color w:val="000000" w:themeColor="text1"/>
        </w:rPr>
      </w:pPr>
      <w:r w:rsidRPr="001C3EC8">
        <w:rPr>
          <w:b/>
          <w:color w:val="000000" w:themeColor="text1"/>
        </w:rPr>
        <w:t xml:space="preserve">Délka řízení </w:t>
      </w:r>
      <w:r w:rsidRPr="001C3EC8">
        <w:rPr>
          <w:color w:val="000000" w:themeColor="text1"/>
        </w:rPr>
        <w:t xml:space="preserve">–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w:t>
      </w:r>
      <w:r w:rsidR="000C3B1E">
        <w:rPr>
          <w:color w:val="000000" w:themeColor="text1"/>
        </w:rPr>
        <w:t>I. stupně</w:t>
      </w:r>
      <w:r w:rsidRPr="001C3EC8">
        <w:rPr>
          <w:color w:val="000000" w:themeColor="text1"/>
        </w:rPr>
        <w:t xml:space="preserve"> apod.). Délka řízení je vždy</w:t>
      </w:r>
      <w:r w:rsidRPr="001C3EC8" w:rsidDel="00312547">
        <w:rPr>
          <w:color w:val="000000" w:themeColor="text1"/>
        </w:rPr>
        <w:t xml:space="preserve"> </w:t>
      </w:r>
      <w:r w:rsidRPr="001C3EC8">
        <w:rPr>
          <w:color w:val="000000" w:themeColor="text1"/>
        </w:rPr>
        <w:t>udávána v kalendářních dnech. Vypočtena je ze statistických listů a je považována za jeden z ukazatelů výkonnosti a zatíženosti soudů.</w:t>
      </w:r>
    </w:p>
    <w:p w14:paraId="6277B701" w14:textId="577E2213" w:rsidR="008430BD" w:rsidRPr="001C3EC8" w:rsidRDefault="008430BD" w:rsidP="008430BD">
      <w:pPr>
        <w:pStyle w:val="Odstavecseseznamem"/>
        <w:numPr>
          <w:ilvl w:val="0"/>
          <w:numId w:val="4"/>
        </w:numPr>
        <w:rPr>
          <w:color w:val="000000" w:themeColor="text1"/>
        </w:rPr>
      </w:pPr>
      <w:proofErr w:type="spellStart"/>
      <w:r w:rsidRPr="001C3EC8">
        <w:rPr>
          <w:b/>
          <w:color w:val="000000" w:themeColor="text1"/>
        </w:rPr>
        <w:t>Disposition</w:t>
      </w:r>
      <w:proofErr w:type="spellEnd"/>
      <w:r w:rsidRPr="001C3EC8">
        <w:rPr>
          <w:b/>
          <w:color w:val="000000" w:themeColor="text1"/>
        </w:rPr>
        <w:t xml:space="preserve"> </w:t>
      </w:r>
      <w:proofErr w:type="spellStart"/>
      <w:r w:rsidRPr="001C3EC8">
        <w:rPr>
          <w:b/>
          <w:color w:val="000000" w:themeColor="text1"/>
        </w:rPr>
        <w:t>time</w:t>
      </w:r>
      <w:proofErr w:type="spellEnd"/>
      <w:r w:rsidRPr="001C3EC8">
        <w:rPr>
          <w:b/>
          <w:color w:val="000000" w:themeColor="text1"/>
        </w:rPr>
        <w:t xml:space="preserve"> (DT) </w:t>
      </w:r>
      <w:r w:rsidRPr="001C3EC8">
        <w:rPr>
          <w:color w:val="000000" w:themeColor="text1"/>
        </w:rPr>
        <w:t>– je vypočítán podle metodiky CEPEJ</w:t>
      </w:r>
      <w:r w:rsidRPr="001C3EC8">
        <w:rPr>
          <w:rStyle w:val="Znakapoznpodarou"/>
          <w:color w:val="000000" w:themeColor="text1"/>
        </w:rPr>
        <w:footnoteReference w:id="17"/>
      </w:r>
      <w:r w:rsidRPr="001C3EC8">
        <w:rPr>
          <w:color w:val="000000" w:themeColor="text1"/>
        </w:rPr>
        <w:t xml:space="preserve"> jako (počet nevyřízených věcí na konci daného období) / (počet vyřízených věcí v daném období) ×</w:t>
      </w:r>
      <w:r w:rsidR="000C3B1E">
        <w:rPr>
          <w:color w:val="000000" w:themeColor="text1"/>
        </w:rPr>
        <w:t xml:space="preserve"> </w:t>
      </w:r>
      <w:r w:rsidRPr="001C3EC8">
        <w:rPr>
          <w:color w:val="000000" w:themeColor="text1"/>
        </w:rPr>
        <w:t xml:space="preserve">365. Tento údaj v podstatě ukazuje, za kolik dní by při stejném tempu soud </w:t>
      </w:r>
      <w:proofErr w:type="spellStart"/>
      <w:r w:rsidRPr="001C3EC8">
        <w:rPr>
          <w:color w:val="000000" w:themeColor="text1"/>
        </w:rPr>
        <w:t>dovyřídil</w:t>
      </w:r>
      <w:proofErr w:type="spellEnd"/>
      <w:r w:rsidRPr="001C3EC8">
        <w:rPr>
          <w:color w:val="000000" w:themeColor="text1"/>
        </w:rPr>
        <w:t xml:space="preserve"> všechny věci, které u něj dnes leží, kdyby k němu již žádné další nepřicházely. Nejedná se o délku řízení, přestože by se to mohlo podle názvu nabízet. Další informace k tomuto ukazateli obsahuje podkapitola 2.2.4. DT je považován za jeden z ukazatelů výkonnosti a zatíženosti soudů. Příklad interpretace: Pokud by soud vykázal za daný rok pouze </w:t>
      </w:r>
      <w:r w:rsidR="000C3B1E" w:rsidRPr="001C3EC8">
        <w:rPr>
          <w:color w:val="000000" w:themeColor="text1"/>
        </w:rPr>
        <w:t>1</w:t>
      </w:r>
      <w:r w:rsidR="000C3B1E">
        <w:rPr>
          <w:color w:val="000000" w:themeColor="text1"/>
        </w:rPr>
        <w:t> </w:t>
      </w:r>
      <w:r w:rsidRPr="001C3EC8">
        <w:rPr>
          <w:color w:val="000000" w:themeColor="text1"/>
        </w:rPr>
        <w:t xml:space="preserve">nevyřízenou věc </w:t>
      </w:r>
      <w:r w:rsidR="000C3B1E" w:rsidRPr="001C3EC8">
        <w:rPr>
          <w:color w:val="000000" w:themeColor="text1"/>
        </w:rPr>
        <w:t>a</w:t>
      </w:r>
      <w:r w:rsidR="000C3B1E">
        <w:rPr>
          <w:color w:val="000000" w:themeColor="text1"/>
        </w:rPr>
        <w:t> </w:t>
      </w:r>
      <w:r w:rsidRPr="001C3EC8">
        <w:rPr>
          <w:color w:val="000000" w:themeColor="text1"/>
        </w:rPr>
        <w:t>100</w:t>
      </w:r>
      <w:r w:rsidR="000C3B1E">
        <w:rPr>
          <w:color w:val="000000" w:themeColor="text1"/>
        </w:rPr>
        <w:t> </w:t>
      </w:r>
      <w:r w:rsidRPr="001C3EC8">
        <w:rPr>
          <w:color w:val="000000" w:themeColor="text1"/>
        </w:rPr>
        <w:t xml:space="preserve">věcí vyřízených, potom ukazatel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má hodnotu 3,65</w:t>
      </w:r>
      <w:r w:rsidR="000C3B1E">
        <w:rPr>
          <w:color w:val="000000" w:themeColor="text1"/>
        </w:rPr>
        <w:t> </w:t>
      </w:r>
      <w:r w:rsidRPr="001C3EC8">
        <w:rPr>
          <w:color w:val="000000" w:themeColor="text1"/>
        </w:rPr>
        <w:t>dní. Pokud by soud vykázal 100</w:t>
      </w:r>
      <w:r w:rsidR="000C3B1E">
        <w:rPr>
          <w:color w:val="000000" w:themeColor="text1"/>
        </w:rPr>
        <w:t> </w:t>
      </w:r>
      <w:r w:rsidRPr="001C3EC8">
        <w:rPr>
          <w:color w:val="000000" w:themeColor="text1"/>
        </w:rPr>
        <w:t>nevyřízených věci na 100</w:t>
      </w:r>
      <w:r w:rsidR="000C3B1E">
        <w:rPr>
          <w:color w:val="000000" w:themeColor="text1"/>
        </w:rPr>
        <w:t> </w:t>
      </w:r>
      <w:r w:rsidRPr="001C3EC8">
        <w:rPr>
          <w:color w:val="000000" w:themeColor="text1"/>
        </w:rPr>
        <w:t xml:space="preserve">vyřízených věcí </w:t>
      </w:r>
      <w:r w:rsidR="000C3B1E" w:rsidRPr="001C3EC8">
        <w:rPr>
          <w:color w:val="000000" w:themeColor="text1"/>
        </w:rPr>
        <w:t>v</w:t>
      </w:r>
      <w:r w:rsidR="000C3B1E">
        <w:rPr>
          <w:color w:val="000000" w:themeColor="text1"/>
        </w:rPr>
        <w:t> </w:t>
      </w:r>
      <w:r w:rsidRPr="001C3EC8">
        <w:rPr>
          <w:color w:val="000000" w:themeColor="text1"/>
        </w:rPr>
        <w:t xml:space="preserve">daném roce, potom by ukazatel </w:t>
      </w:r>
      <w:proofErr w:type="spellStart"/>
      <w:r w:rsidRPr="001C3EC8">
        <w:rPr>
          <w:color w:val="000000" w:themeColor="text1"/>
        </w:rPr>
        <w:t>disposition</w:t>
      </w:r>
      <w:proofErr w:type="spellEnd"/>
      <w:r w:rsidRPr="001C3EC8">
        <w:rPr>
          <w:color w:val="000000" w:themeColor="text1"/>
        </w:rPr>
        <w:t xml:space="preserve"> </w:t>
      </w:r>
      <w:proofErr w:type="spellStart"/>
      <w:r w:rsidRPr="001C3EC8">
        <w:rPr>
          <w:color w:val="000000" w:themeColor="text1"/>
        </w:rPr>
        <w:t>time</w:t>
      </w:r>
      <w:proofErr w:type="spellEnd"/>
      <w:r w:rsidRPr="001C3EC8">
        <w:rPr>
          <w:color w:val="000000" w:themeColor="text1"/>
        </w:rPr>
        <w:t xml:space="preserve"> měl hodnotu 365</w:t>
      </w:r>
      <w:r w:rsidR="000C3B1E">
        <w:rPr>
          <w:color w:val="000000" w:themeColor="text1"/>
        </w:rPr>
        <w:t> </w:t>
      </w:r>
      <w:r w:rsidRPr="001C3EC8">
        <w:rPr>
          <w:color w:val="000000" w:themeColor="text1"/>
        </w:rPr>
        <w:t>dní</w:t>
      </w:r>
      <w:r w:rsidR="00FC53D6">
        <w:rPr>
          <w:color w:val="000000" w:themeColor="text1"/>
        </w:rPr>
        <w:t>. Tedy</w:t>
      </w:r>
      <w:r w:rsidR="00F5698F">
        <w:rPr>
          <w:color w:val="000000" w:themeColor="text1"/>
        </w:rPr>
        <w:t xml:space="preserve"> všechny agendy </w:t>
      </w:r>
      <w:r w:rsidR="000C3B1E">
        <w:rPr>
          <w:color w:val="000000" w:themeColor="text1"/>
        </w:rPr>
        <w:t>a </w:t>
      </w:r>
      <w:r w:rsidR="00F5698F">
        <w:rPr>
          <w:color w:val="000000" w:themeColor="text1"/>
        </w:rPr>
        <w:t>všechny soudy s </w:t>
      </w:r>
      <w:proofErr w:type="gramStart"/>
      <w:r w:rsidR="00F5698F">
        <w:rPr>
          <w:color w:val="000000" w:themeColor="text1"/>
        </w:rPr>
        <w:t xml:space="preserve">DT </w:t>
      </w:r>
      <w:r w:rsidR="00F5698F">
        <w:rPr>
          <w:color w:val="000000" w:themeColor="text1"/>
          <w:lang w:val="en-US"/>
        </w:rPr>
        <w:t>&gt;</w:t>
      </w:r>
      <w:proofErr w:type="gramEnd"/>
      <w:r w:rsidR="00F5698F">
        <w:rPr>
          <w:color w:val="000000" w:themeColor="text1"/>
          <w:lang w:val="en-US"/>
        </w:rPr>
        <w:t xml:space="preserve"> 365 </w:t>
      </w:r>
      <w:r w:rsidR="00F5698F">
        <w:rPr>
          <w:color w:val="000000" w:themeColor="text1"/>
        </w:rPr>
        <w:t xml:space="preserve">mají více nevyřízených věcí než vyřízených, </w:t>
      </w:r>
      <w:r w:rsidR="000C3B1E">
        <w:rPr>
          <w:color w:val="000000" w:themeColor="text1"/>
        </w:rPr>
        <w:t>a </w:t>
      </w:r>
      <w:r w:rsidR="00F5698F">
        <w:rPr>
          <w:color w:val="000000" w:themeColor="text1"/>
        </w:rPr>
        <w:t>jejich vyřízení by trvalo více než jeden rok bez toho, že by přicházel nový nápad nebo obživa.</w:t>
      </w:r>
    </w:p>
    <w:p w14:paraId="25B4889E" w14:textId="77777777" w:rsidR="008430BD" w:rsidRPr="001C3EC8" w:rsidRDefault="008430BD" w:rsidP="008430BD">
      <w:pPr>
        <w:pStyle w:val="Odstavecseseznamem"/>
        <w:numPr>
          <w:ilvl w:val="0"/>
          <w:numId w:val="4"/>
        </w:numPr>
        <w:rPr>
          <w:b/>
          <w:color w:val="000000" w:themeColor="text1"/>
        </w:rPr>
      </w:pPr>
      <w:r w:rsidRPr="001C3EC8">
        <w:rPr>
          <w:b/>
          <w:color w:val="000000" w:themeColor="text1"/>
        </w:rPr>
        <w:t xml:space="preserve">Evidenční počet soudců </w:t>
      </w:r>
      <w:r w:rsidRPr="001C3EC8">
        <w:rPr>
          <w:color w:val="000000" w:themeColor="text1"/>
        </w:rPr>
        <w:t>– zahrnuje všechny soudce. Do čísla jsou tedy započteni i dlouhodobě nepřítomní soudci (např. na mateřské nebo rodičovské dovolené, dlouhodobě nemocní, na stáži). Uváděné počty jsou vždy k 1. 1. sledovaného roku.</w:t>
      </w:r>
    </w:p>
    <w:p w14:paraId="19E9D46A" w14:textId="7517F36C"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Histogram </w:t>
      </w:r>
      <w:r w:rsidRPr="001C3EC8">
        <w:rPr>
          <w:color w:val="000000" w:themeColor="text1"/>
        </w:rPr>
        <w:t>– používá se pro znázornění rozdělení zkoumaných dat za využití sloupcového grafu. V této zprávě je na ose </w:t>
      </w:r>
      <w:r w:rsidRPr="001C3EC8">
        <w:rPr>
          <w:i/>
          <w:color w:val="000000" w:themeColor="text1"/>
        </w:rPr>
        <w:t>x</w:t>
      </w:r>
      <w:r w:rsidRPr="001C3EC8">
        <w:rPr>
          <w:color w:val="000000" w:themeColor="text1"/>
        </w:rPr>
        <w:t xml:space="preserve"> zkoumaný ukazatel, na ose </w:t>
      </w:r>
      <w:r w:rsidRPr="001C3EC8">
        <w:rPr>
          <w:i/>
          <w:color w:val="000000" w:themeColor="text1"/>
        </w:rPr>
        <w:t>y</w:t>
      </w:r>
      <w:r w:rsidRPr="001C3EC8">
        <w:rPr>
          <w:color w:val="000000" w:themeColor="text1"/>
        </w:rPr>
        <w:t xml:space="preserve"> je relativní četnost v %. Výška sloupců tedy vyjadřuje relativní četnost. Jedná se o počet pozorování, která se nacházejí v daném intervalu / celkový počet pozorování v datovém souboru ×</w:t>
      </w:r>
      <w:r w:rsidR="000C3B1E">
        <w:rPr>
          <w:color w:val="000000" w:themeColor="text1"/>
        </w:rPr>
        <w:t xml:space="preserve"> </w:t>
      </w:r>
      <w:r w:rsidRPr="001C3EC8">
        <w:rPr>
          <w:color w:val="000000" w:themeColor="text1"/>
        </w:rPr>
        <w:t>100.</w:t>
      </w:r>
    </w:p>
    <w:p w14:paraId="3A86B722"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Kartogram </w:t>
      </w:r>
      <w:r w:rsidRPr="001C3EC8">
        <w:rPr>
          <w:color w:val="000000" w:themeColor="text1"/>
        </w:rPr>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14:paraId="5D2C57E9" w14:textId="77777777" w:rsidR="008430BD" w:rsidRPr="001C3EC8" w:rsidRDefault="008430BD" w:rsidP="008430BD">
      <w:pPr>
        <w:pStyle w:val="Odstavecseseznamem"/>
        <w:numPr>
          <w:ilvl w:val="0"/>
          <w:numId w:val="4"/>
        </w:numPr>
        <w:rPr>
          <w:rStyle w:val="OdstavecASRChar"/>
          <w:color w:val="000000" w:themeColor="text1"/>
        </w:rPr>
      </w:pPr>
      <w:r w:rsidRPr="001C3EC8">
        <w:rPr>
          <w:b/>
          <w:color w:val="000000" w:themeColor="text1"/>
        </w:rPr>
        <w:t xml:space="preserve">Krabicový graf </w:t>
      </w:r>
      <w:r w:rsidRPr="001C3EC8">
        <w:rPr>
          <w:color w:val="000000" w:themeColor="text1"/>
        </w:rPr>
        <w:t xml:space="preserve">– </w:t>
      </w:r>
      <w:r w:rsidRPr="001C3EC8">
        <w:rPr>
          <w:rStyle w:val="OdstavecASRChar"/>
          <w:color w:val="000000" w:themeColor="text1"/>
        </w:rPr>
        <w:t xml:space="preserve">nebo krabicový diagram, z anglického </w:t>
      </w:r>
      <w:r w:rsidRPr="001C3EC8">
        <w:rPr>
          <w:rStyle w:val="OdstavecASRChar"/>
          <w:i/>
          <w:color w:val="000000" w:themeColor="text1"/>
        </w:rPr>
        <w:t>box plot</w:t>
      </w:r>
      <w:r w:rsidRPr="001C3EC8">
        <w:rPr>
          <w:rStyle w:val="OdstavecASRChar"/>
          <w:color w:val="000000" w:themeColor="text1"/>
        </w:rPr>
        <w:t xml:space="preserve">. U vybraných ukazatelů a agend je sestaven pro každý rok. Krabicové grafy jsou seřazeny za sebe do časové řady, </w:t>
      </w:r>
      <w:r w:rsidRPr="001C3EC8">
        <w:rPr>
          <w:rStyle w:val="OdstavecASRChar"/>
          <w:color w:val="000000" w:themeColor="text1"/>
        </w:rPr>
        <w:lastRenderedPageBreak/>
        <w:t xml:space="preserve">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proofErr w:type="spellStart"/>
      <w:r w:rsidRPr="001C3EC8">
        <w:rPr>
          <w:rStyle w:val="OdstavecASRChar"/>
          <w:i/>
          <w:color w:val="000000" w:themeColor="text1"/>
        </w:rPr>
        <w:t>outliers</w:t>
      </w:r>
      <w:proofErr w:type="spellEnd"/>
      <w:r w:rsidRPr="001C3EC8">
        <w:rPr>
          <w:rStyle w:val="OdstavecASRChar"/>
          <w:color w:val="000000" w:themeColor="text1"/>
        </w:rPr>
        <w:t>) jsou pak hodnoty větší, než je přilehlá hodnota.</w:t>
      </w:r>
    </w:p>
    <w:p w14:paraId="09356734" w14:textId="77777777" w:rsidR="008430BD" w:rsidRPr="001C3EC8" w:rsidRDefault="008430BD" w:rsidP="008430BD">
      <w:pPr>
        <w:pStyle w:val="Odstavecseseznamem"/>
        <w:rPr>
          <w:color w:val="000000" w:themeColor="text1"/>
        </w:rPr>
      </w:pPr>
      <w:r w:rsidRPr="001C3EC8">
        <w:rPr>
          <w:rStyle w:val="OdstavecASRChar"/>
          <w:noProof/>
          <w:color w:val="000000" w:themeColor="text1"/>
          <w:lang w:eastAsia="cs-CZ"/>
        </w:rPr>
        <w:drawing>
          <wp:inline distT="0" distB="0" distL="0" distR="0" wp14:anchorId="541574C8" wp14:editId="562E0362">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14:paraId="60C4FC65" w14:textId="77777777" w:rsidR="008430BD" w:rsidRPr="001C3EC8" w:rsidRDefault="008430BD" w:rsidP="008430BD">
      <w:pPr>
        <w:pStyle w:val="Odstavecseseznamem"/>
        <w:rPr>
          <w:color w:val="000000" w:themeColor="text1"/>
        </w:rPr>
      </w:pPr>
      <w:r w:rsidRPr="001C3EC8">
        <w:rPr>
          <w:color w:val="000000" w:themeColor="text1"/>
        </w:rPr>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14:paraId="0013ABFA" w14:textId="77777777" w:rsidR="008430BD" w:rsidRPr="001C3EC8" w:rsidRDefault="008430BD" w:rsidP="008430BD">
      <w:pPr>
        <w:pStyle w:val="Odstavecseseznamem"/>
        <w:rPr>
          <w:color w:val="000000" w:themeColor="text1"/>
        </w:rPr>
      </w:pPr>
      <w:r w:rsidRPr="001C3EC8">
        <w:rPr>
          <w:color w:val="000000" w:themeColor="text1"/>
        </w:rPr>
        <w:t>Větší box, delší vousy nebo více odlehlých hodnot značí větší variabilitu v datech, a tedy i větší rozdíly mezi soudy. Vždy je však potřeba věnovat pozornost měřítku osy </w:t>
      </w:r>
      <w:r w:rsidRPr="001C3EC8">
        <w:rPr>
          <w:i/>
          <w:color w:val="000000" w:themeColor="text1"/>
        </w:rPr>
        <w:t>y</w:t>
      </w:r>
      <w:r w:rsidRPr="001C3EC8">
        <w:rPr>
          <w:color w:val="000000" w:themeColor="text1"/>
        </w:rPr>
        <w:t>.</w:t>
      </w:r>
    </w:p>
    <w:p w14:paraId="0DB93DE9" w14:textId="77777777" w:rsidR="008430BD" w:rsidRPr="001C3EC8" w:rsidRDefault="008430BD" w:rsidP="008430BD">
      <w:pPr>
        <w:pStyle w:val="Odstavecseseznamem"/>
        <w:rPr>
          <w:color w:val="000000" w:themeColor="text1"/>
        </w:rPr>
      </w:pPr>
      <w:r w:rsidRPr="001C3EC8">
        <w:rPr>
          <w:color w:val="000000" w:themeColor="text1"/>
        </w:rPr>
        <w:t>Výhodou krabicového grafu je, že poskytuje lepší a komplexnější přehled o rozdělení a míře variability v datech než pouze jeden sledovaný ukazatel, jako je například směrodatná odchylka. Přitom je ale stále vhodný pro sledování změn v čase.</w:t>
      </w:r>
    </w:p>
    <w:p w14:paraId="1688CDF1" w14:textId="2DBD58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Kumulativní četnost </w:t>
      </w:r>
      <w:r w:rsidRPr="001C3EC8">
        <w:rPr>
          <w:color w:val="000000" w:themeColor="text1"/>
        </w:rPr>
        <w:t xml:space="preserve">– absolutní četnost vyjadřuje, kolikrát se daná hodnota v souboru vyskytuje. Kumulativní četnost je pak součet absolutních četností </w:t>
      </w:r>
      <w:r w:rsidR="000C3B1E" w:rsidRPr="001C3EC8">
        <w:rPr>
          <w:color w:val="000000" w:themeColor="text1"/>
        </w:rPr>
        <w:t>u</w:t>
      </w:r>
      <w:r w:rsidR="000C3B1E">
        <w:rPr>
          <w:color w:val="000000" w:themeColor="text1"/>
        </w:rPr>
        <w:t> </w:t>
      </w:r>
      <w:r w:rsidRPr="001C3EC8">
        <w:rPr>
          <w:color w:val="000000" w:themeColor="text1"/>
        </w:rPr>
        <w:t xml:space="preserve">hodnot rovných nebo nižších než daná hodnota. Máme-li například soubor, kde jsou hodnoty {1,1,2,2,3,3,3,4}, absolutní četnost hodnoty 2 je dva </w:t>
      </w:r>
      <w:r w:rsidR="000C3B1E" w:rsidRPr="001C3EC8">
        <w:rPr>
          <w:color w:val="000000" w:themeColor="text1"/>
        </w:rPr>
        <w:t>a</w:t>
      </w:r>
      <w:r w:rsidR="000C3B1E">
        <w:rPr>
          <w:color w:val="000000" w:themeColor="text1"/>
        </w:rPr>
        <w:t> </w:t>
      </w:r>
      <w:r w:rsidRPr="001C3EC8">
        <w:rPr>
          <w:color w:val="000000" w:themeColor="text1"/>
        </w:rPr>
        <w:t xml:space="preserve">kumulativní čestnost je čtyři (2+2). Kumulativní četnost lze také vyjádřit relativně, </w:t>
      </w:r>
      <w:r w:rsidR="000C3B1E" w:rsidRPr="001C3EC8">
        <w:rPr>
          <w:color w:val="000000" w:themeColor="text1"/>
        </w:rPr>
        <w:t>a</w:t>
      </w:r>
      <w:r w:rsidR="000C3B1E">
        <w:rPr>
          <w:color w:val="000000" w:themeColor="text1"/>
        </w:rPr>
        <w:t> </w:t>
      </w:r>
      <w:r w:rsidRPr="001C3EC8">
        <w:rPr>
          <w:color w:val="000000" w:themeColor="text1"/>
        </w:rPr>
        <w:t>v tomto případě je relativní čestnost 0,5 (50 %)</w:t>
      </w:r>
    </w:p>
    <w:p w14:paraId="195163D3"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Kvartil </w:t>
      </w:r>
      <w:r w:rsidRPr="001C3EC8">
        <w:rPr>
          <w:color w:val="000000" w:themeColor="text1"/>
        </w:rPr>
        <w:t>– tři kvartily rozdělí vzestupně setříděný soubor hodnot na čtyři stejně velké části, z nichž každá představuje právě jednu čtvrtinu. První kvartil (tzv. dolní) se rovná 25. percentilu, tedy 25 % hodnot je menší a 75 % je větší, druhý kvartil (střední) je mediánem a třetí kvartil (horní) je roven 75. percentilu.</w:t>
      </w:r>
    </w:p>
    <w:p w14:paraId="626F4BB1"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lastRenderedPageBreak/>
        <w:t xml:space="preserve">Medián </w:t>
      </w:r>
      <w:r w:rsidRPr="001C3EC8">
        <w:rPr>
          <w:color w:val="000000" w:themeColor="text1"/>
        </w:rPr>
        <w:t>– hodnota, která se nachází přesně uprostřed vzestupně setříděného souboru hodnot a dělí ho na dvě stejně velké části o stejném počtu hodnot. Platí, že nejméně 50 % hodnot je menších nebo rovno a nejméně 50 % hodnot je větších nebo rovno mediánu. Medián se rovná druhému kvartilu, pátému decilu a padesátému percentilu. Má-li soud mediánovou délku řízení např. 200 dnů, řízení pro první polovinu případů (tedy věcí) trvá maximálně 200 dnů včetně, pro druhou polovinu 200 dnů nebo více.</w:t>
      </w:r>
    </w:p>
    <w:p w14:paraId="62B7BC3B"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Měřítko náročnosti agendy </w:t>
      </w:r>
      <w:r w:rsidRPr="001C3EC8">
        <w:rPr>
          <w:color w:val="000000" w:themeColor="text1"/>
        </w:rPr>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p>
    <w:p w14:paraId="3DBCFF85" w14:textId="3FB4CFBC"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Míra celkové změny rozsudku </w:t>
      </w:r>
      <w:r w:rsidRPr="001C3EC8">
        <w:rPr>
          <w:color w:val="000000" w:themeColor="text1"/>
        </w:rPr>
        <w:t xml:space="preserve">– vypočtena jako míra odvolání krát míra změny rozsudku. Jde </w:t>
      </w:r>
      <w:r w:rsidR="000C3B1E" w:rsidRPr="001C3EC8">
        <w:rPr>
          <w:color w:val="000000" w:themeColor="text1"/>
        </w:rPr>
        <w:t>o</w:t>
      </w:r>
      <w:r w:rsidR="000C3B1E">
        <w:rPr>
          <w:color w:val="000000" w:themeColor="text1"/>
        </w:rPr>
        <w:t> </w:t>
      </w:r>
      <w:r w:rsidRPr="001C3EC8">
        <w:rPr>
          <w:color w:val="000000" w:themeColor="text1"/>
        </w:rPr>
        <w:t xml:space="preserve">podíl věcí, v nichž nakonec bylo odvolacím soudem změněno rozhodnutí soudu </w:t>
      </w:r>
      <w:r w:rsidR="000C3B1E">
        <w:rPr>
          <w:color w:val="000000" w:themeColor="text1"/>
        </w:rPr>
        <w:t>I. stupně</w:t>
      </w:r>
      <w:r w:rsidRPr="001C3EC8">
        <w:rPr>
          <w:color w:val="000000" w:themeColor="text1"/>
        </w:rPr>
        <w:t xml:space="preserve"> ke všem prvostupňovým rozhodnutím.</w:t>
      </w:r>
    </w:p>
    <w:p w14:paraId="5AE25CD6" w14:textId="7612EB51" w:rsidR="00930695" w:rsidRPr="001C3EC8" w:rsidRDefault="00930695" w:rsidP="008430BD">
      <w:pPr>
        <w:pStyle w:val="Odstavecseseznamem"/>
        <w:numPr>
          <w:ilvl w:val="0"/>
          <w:numId w:val="4"/>
        </w:numPr>
        <w:rPr>
          <w:color w:val="000000" w:themeColor="text1"/>
        </w:rPr>
      </w:pPr>
      <w:r w:rsidRPr="001C3EC8">
        <w:rPr>
          <w:b/>
          <w:bCs/>
          <w:color w:val="000000" w:themeColor="text1"/>
        </w:rPr>
        <w:t>Míra odsouzení</w:t>
      </w:r>
      <w:r w:rsidRPr="001C3EC8">
        <w:rPr>
          <w:color w:val="000000" w:themeColor="text1"/>
        </w:rPr>
        <w:t xml:space="preserve"> – je vypočtena ze statistických listů</w:t>
      </w:r>
      <w:r w:rsidR="00033563" w:rsidRPr="001C3EC8">
        <w:rPr>
          <w:color w:val="000000" w:themeColor="text1"/>
        </w:rPr>
        <w:t>.</w:t>
      </w:r>
      <w:r w:rsidRPr="001C3EC8">
        <w:rPr>
          <w:color w:val="000000" w:themeColor="text1"/>
        </w:rPr>
        <w:t xml:space="preserve"> </w:t>
      </w:r>
      <w:r w:rsidR="00033563" w:rsidRPr="001C3EC8">
        <w:rPr>
          <w:color w:val="000000" w:themeColor="text1"/>
        </w:rPr>
        <w:t>J</w:t>
      </w:r>
      <w:r w:rsidRPr="001C3EC8">
        <w:rPr>
          <w:color w:val="000000" w:themeColor="text1"/>
        </w:rPr>
        <w:t xml:space="preserve">edná se </w:t>
      </w:r>
      <w:r w:rsidR="000C3B1E" w:rsidRPr="001C3EC8">
        <w:rPr>
          <w:color w:val="000000" w:themeColor="text1"/>
        </w:rPr>
        <w:t>o</w:t>
      </w:r>
      <w:r w:rsidR="000C3B1E">
        <w:rPr>
          <w:color w:val="000000" w:themeColor="text1"/>
        </w:rPr>
        <w:t> </w:t>
      </w:r>
      <w:r w:rsidRPr="001C3EC8">
        <w:rPr>
          <w:color w:val="000000" w:themeColor="text1"/>
        </w:rPr>
        <w:t>podíl odsouzených na počtu obžalovaných × 100 %. Udává tedy</w:t>
      </w:r>
      <w:r w:rsidR="00033563" w:rsidRPr="001C3EC8">
        <w:rPr>
          <w:color w:val="000000" w:themeColor="text1"/>
        </w:rPr>
        <w:t>,</w:t>
      </w:r>
      <w:r w:rsidRPr="001C3EC8">
        <w:rPr>
          <w:color w:val="000000" w:themeColor="text1"/>
        </w:rPr>
        <w:t xml:space="preserve"> kolik z obžalovaných osob bylo aspoň za jeden trestný uznán</w:t>
      </w:r>
      <w:r w:rsidR="00E844A3" w:rsidRPr="001C3EC8">
        <w:rPr>
          <w:color w:val="000000" w:themeColor="text1"/>
        </w:rPr>
        <w:t>o</w:t>
      </w:r>
      <w:r w:rsidRPr="001C3EC8">
        <w:rPr>
          <w:color w:val="000000" w:themeColor="text1"/>
        </w:rPr>
        <w:t xml:space="preserve"> vinným</w:t>
      </w:r>
      <w:r w:rsidR="00033563" w:rsidRPr="001C3EC8">
        <w:rPr>
          <w:color w:val="000000" w:themeColor="text1"/>
        </w:rPr>
        <w:t>i</w:t>
      </w:r>
      <w:r w:rsidRPr="001C3EC8">
        <w:rPr>
          <w:color w:val="000000" w:themeColor="text1"/>
        </w:rPr>
        <w:t xml:space="preserve">. Do obžalovaných osob </w:t>
      </w:r>
      <w:r w:rsidR="00E844A3" w:rsidRPr="001C3EC8">
        <w:rPr>
          <w:color w:val="000000" w:themeColor="text1"/>
        </w:rPr>
        <w:t xml:space="preserve">se </w:t>
      </w:r>
      <w:r w:rsidRPr="001C3EC8">
        <w:rPr>
          <w:color w:val="000000" w:themeColor="text1"/>
        </w:rPr>
        <w:t xml:space="preserve">započítávají všechny osoby, vůči kterým státní zástupce </w:t>
      </w:r>
      <w:r w:rsidR="00BE34F3" w:rsidRPr="001C3EC8">
        <w:rPr>
          <w:color w:val="000000" w:themeColor="text1"/>
        </w:rPr>
        <w:t xml:space="preserve">podal </w:t>
      </w:r>
      <w:r w:rsidR="000C3B1E" w:rsidRPr="001C3EC8">
        <w:rPr>
          <w:color w:val="000000" w:themeColor="text1"/>
        </w:rPr>
        <w:t>u</w:t>
      </w:r>
      <w:r w:rsidR="000C3B1E">
        <w:rPr>
          <w:color w:val="000000" w:themeColor="text1"/>
        </w:rPr>
        <w:t> </w:t>
      </w:r>
      <w:r w:rsidRPr="001C3EC8">
        <w:rPr>
          <w:color w:val="000000" w:themeColor="text1"/>
        </w:rPr>
        <w:t xml:space="preserve">soudu obžalobu, návrh na potrestání nebo návrh na schválení dohody o vinně </w:t>
      </w:r>
      <w:r w:rsidR="000C3B1E" w:rsidRPr="001C3EC8">
        <w:rPr>
          <w:color w:val="000000" w:themeColor="text1"/>
        </w:rPr>
        <w:t>a</w:t>
      </w:r>
      <w:r w:rsidR="000C3B1E">
        <w:rPr>
          <w:color w:val="000000" w:themeColor="text1"/>
        </w:rPr>
        <w:t> </w:t>
      </w:r>
      <w:r w:rsidRPr="001C3EC8">
        <w:rPr>
          <w:color w:val="000000" w:themeColor="text1"/>
        </w:rPr>
        <w:t>trestu.</w:t>
      </w:r>
    </w:p>
    <w:p w14:paraId="16A37439" w14:textId="03C078B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Míra odvolání </w:t>
      </w:r>
      <w:r w:rsidRPr="001C3EC8">
        <w:rPr>
          <w:color w:val="000000" w:themeColor="text1"/>
        </w:rPr>
        <w:t xml:space="preserve">– je vypočtena ze statistických listů a jedná se o poměr pravomocně vyřízených věcí, v nichž bylo podáno odvolání, k celkovému počtu pravomocně skončených (vyřízených) věcí × 100 %. </w:t>
      </w:r>
      <w:proofErr w:type="spellStart"/>
      <w:r w:rsidRPr="001C3EC8">
        <w:rPr>
          <w:bCs/>
          <w:i/>
          <w:color w:val="000000" w:themeColor="text1"/>
        </w:rPr>
        <w:t>Ceteris</w:t>
      </w:r>
      <w:proofErr w:type="spellEnd"/>
      <w:r w:rsidRPr="001C3EC8">
        <w:rPr>
          <w:bCs/>
          <w:i/>
          <w:color w:val="000000" w:themeColor="text1"/>
        </w:rPr>
        <w:t xml:space="preserve"> </w:t>
      </w:r>
      <w:proofErr w:type="spellStart"/>
      <w:r w:rsidRPr="001C3EC8">
        <w:rPr>
          <w:bCs/>
          <w:i/>
          <w:color w:val="000000" w:themeColor="text1"/>
        </w:rPr>
        <w:t>paribus</w:t>
      </w:r>
      <w:proofErr w:type="spellEnd"/>
      <w:r w:rsidRPr="001C3EC8">
        <w:rPr>
          <w:i/>
          <w:color w:val="000000" w:themeColor="text1"/>
        </w:rPr>
        <w:t xml:space="preserve"> </w:t>
      </w:r>
      <w:r w:rsidRPr="001C3EC8">
        <w:rPr>
          <w:color w:val="000000" w:themeColor="text1"/>
        </w:rPr>
        <w:t>(za jinak neměnných podmínek) ji</w:t>
      </w:r>
      <w:r w:rsidRPr="001C3EC8">
        <w:rPr>
          <w:i/>
          <w:color w:val="000000" w:themeColor="text1"/>
        </w:rPr>
        <w:t xml:space="preserve"> </w:t>
      </w:r>
      <w:r w:rsidRPr="001C3EC8">
        <w:rPr>
          <w:color w:val="000000" w:themeColor="text1"/>
        </w:rPr>
        <w:t xml:space="preserve">lze považovat za aproximaci složitosti věcí (čím složitější věc, tím pravděpodobnější odvolání), je však třeba mít na paměti, že je ovlivněna i mnoha dalšími faktory. Způsob výpočtu míry odvolání jsme oproti verzi z roku 2016 upravili. Nyní jsou zahrnuty i věci, v nichž odvolací soud zrušil rozhodnutí soudu </w:t>
      </w:r>
      <w:r w:rsidR="000C3B1E">
        <w:rPr>
          <w:color w:val="000000" w:themeColor="text1"/>
        </w:rPr>
        <w:t>I. stupně</w:t>
      </w:r>
      <w:r w:rsidRPr="001C3EC8">
        <w:rPr>
          <w:color w:val="000000" w:themeColor="text1"/>
        </w:rPr>
        <w:t xml:space="preserve"> a věc mu vrátil </w:t>
      </w:r>
      <w:r w:rsidR="000C3B1E" w:rsidRPr="001C3EC8">
        <w:rPr>
          <w:color w:val="000000" w:themeColor="text1"/>
        </w:rPr>
        <w:t>a</w:t>
      </w:r>
      <w:r w:rsidR="000C3B1E">
        <w:rPr>
          <w:color w:val="000000" w:themeColor="text1"/>
        </w:rPr>
        <w:t> </w:t>
      </w:r>
      <w:r w:rsidRPr="001C3EC8">
        <w:rPr>
          <w:color w:val="000000" w:themeColor="text1"/>
        </w:rPr>
        <w:t>následně již odvolání podáno nebylo. Dále jsme data u prvostupňové civilní agendy očistili o spory, kde byla výše přiznaného nároku menší než 10 000 Kč. V těchto sporech (až na výjimky) nelze podat odvolání, a jejich zahrnutí by tak snižovalo vypočtené hodnoty míry odvolání. Po této úpravě tak došlo k poměrně značnému zvýšení míry odvolání. Změnu metodiky jsme aplikovali i na data z předchozích let.</w:t>
      </w:r>
    </w:p>
    <w:p w14:paraId="17AE7F8F" w14:textId="2701C9B0"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Míra vyřizování </w:t>
      </w:r>
      <w:r w:rsidRPr="001C3EC8">
        <w:rPr>
          <w:color w:val="000000" w:themeColor="text1"/>
        </w:rPr>
        <w:t>– je vypočtena jako (počet vyřízených věcí v daném období) / (počet příchozích věcí v daném období) × 100 %. Udává tedy, zda soud vyřídil více věcí, než mu nově přišlo (nápad a obživa). Je-li větší než 100 %, soud vyřídil více věcí, než mu přišlo, a snížil se tedy počet nevyřízených věcí. Je-li menší než 100 %, soud vyřídil m</w:t>
      </w:r>
      <w:r w:rsidR="00DA1058">
        <w:rPr>
          <w:color w:val="000000" w:themeColor="text1"/>
        </w:rPr>
        <w:t>é</w:t>
      </w:r>
      <w:r w:rsidRPr="001C3EC8">
        <w:rPr>
          <w:color w:val="000000" w:themeColor="text1"/>
        </w:rPr>
        <w:t>ně věcí, než mu přišlo, a zvýšil se tedy počet nevyřízených věcí.</w:t>
      </w:r>
    </w:p>
    <w:p w14:paraId="1C60440E" w14:textId="39C72F46"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Míra změny rozsudku </w:t>
      </w:r>
      <w:r w:rsidRPr="001C3EC8">
        <w:rPr>
          <w:color w:val="000000" w:themeColor="text1"/>
        </w:rPr>
        <w:t xml:space="preserve">– je vypočtena ze statistických listů a jedná se o poměr pravomocně skončených věcí, v nichž bylo vyhověno odvolání (tedy rozsudek soudu </w:t>
      </w:r>
      <w:r w:rsidR="000C3B1E">
        <w:rPr>
          <w:color w:val="000000" w:themeColor="text1"/>
        </w:rPr>
        <w:t>I. stupně</w:t>
      </w:r>
      <w:r w:rsidRPr="001C3EC8">
        <w:rPr>
          <w:color w:val="000000" w:themeColor="text1"/>
        </w:rPr>
        <w:t xml:space="preserve"> byl změněn odvolacím soudem na podkladě odvolání) k celkovému počtu pravomocně skončených věcí, v nichž bylo podáno odvolání × 100 %. Do změny rozsudku jsou započítány i případy, kdy bylo rozhodnutí soudu </w:t>
      </w:r>
      <w:r w:rsidR="000C3B1E">
        <w:rPr>
          <w:color w:val="000000" w:themeColor="text1"/>
        </w:rPr>
        <w:t>I. stupně</w:t>
      </w:r>
      <w:r w:rsidRPr="001C3EC8">
        <w:rPr>
          <w:color w:val="000000" w:themeColor="text1"/>
        </w:rPr>
        <w:t xml:space="preserve"> u odvolacího soudu zrušeno a vráceno soudu </w:t>
      </w:r>
      <w:r w:rsidR="000C3B1E">
        <w:rPr>
          <w:color w:val="000000" w:themeColor="text1"/>
        </w:rPr>
        <w:t>I. stupně</w:t>
      </w:r>
      <w:r w:rsidRPr="001C3EC8">
        <w:rPr>
          <w:color w:val="000000" w:themeColor="text1"/>
        </w:rPr>
        <w:t xml:space="preserve">. </w:t>
      </w:r>
      <w:proofErr w:type="spellStart"/>
      <w:r w:rsidRPr="001C3EC8">
        <w:rPr>
          <w:bCs/>
          <w:i/>
          <w:color w:val="000000" w:themeColor="text1"/>
        </w:rPr>
        <w:t>Ceteris</w:t>
      </w:r>
      <w:proofErr w:type="spellEnd"/>
      <w:r w:rsidRPr="001C3EC8">
        <w:rPr>
          <w:bCs/>
          <w:i/>
          <w:color w:val="000000" w:themeColor="text1"/>
        </w:rPr>
        <w:t xml:space="preserve"> </w:t>
      </w:r>
      <w:proofErr w:type="spellStart"/>
      <w:r w:rsidRPr="001C3EC8">
        <w:rPr>
          <w:bCs/>
          <w:i/>
          <w:color w:val="000000" w:themeColor="text1"/>
        </w:rPr>
        <w:t>paribus</w:t>
      </w:r>
      <w:proofErr w:type="spellEnd"/>
      <w:r w:rsidRPr="001C3EC8">
        <w:rPr>
          <w:i/>
          <w:color w:val="000000" w:themeColor="text1"/>
        </w:rPr>
        <w:t xml:space="preserve"> </w:t>
      </w:r>
      <w:r w:rsidRPr="001C3EC8">
        <w:rPr>
          <w:color w:val="000000" w:themeColor="text1"/>
        </w:rPr>
        <w:t>(za jinak neměnných podmínek) ji</w:t>
      </w:r>
      <w:r w:rsidRPr="001C3EC8">
        <w:rPr>
          <w:i/>
          <w:color w:val="000000" w:themeColor="text1"/>
        </w:rPr>
        <w:t xml:space="preserve"> </w:t>
      </w:r>
      <w:r w:rsidRPr="001C3EC8">
        <w:rPr>
          <w:color w:val="000000" w:themeColor="text1"/>
        </w:rPr>
        <w:t>lze považovat za aproximaci kvality rozhodování, je však třeba mít na paměti, že je ovlivněna i mnoha dalšími faktory.</w:t>
      </w:r>
    </w:p>
    <w:p w14:paraId="341F7BEB"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lastRenderedPageBreak/>
        <w:t>Nápad</w:t>
      </w:r>
      <w:r w:rsidRPr="001C3EC8">
        <w:rPr>
          <w:color w:val="000000" w:themeColor="text1"/>
        </w:rPr>
        <w:t xml:space="preserve"> – nebo také napadlé věci. Počet nově zapsaných věcí do rejstříku za určité období. V této zprávě se jedná vždy o roční data, která získáváme z výkazů o činnosti soudů.</w:t>
      </w:r>
    </w:p>
    <w:p w14:paraId="36E1AE01"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Nevyřízené věci </w:t>
      </w:r>
      <w:r w:rsidRPr="001C3EC8">
        <w:rPr>
          <w:color w:val="000000" w:themeColor="text1"/>
        </w:rPr>
        <w:t>– počet věcí, které nebyly vyřízeny (skončeny) k poslednímu dni vykazovaného období. Na rozdíl od ukazatelů jako je nápad, obživa nebo vyřízené věci, které se vztahují k celému sledovanému období, se v tomto případě jedná o stav k určitému datu, v této zprávě vždy k 31. 12. daného roku. Data pocházejí z výkazů o činnosti soudů.</w:t>
      </w:r>
    </w:p>
    <w:p w14:paraId="0ADD28B8" w14:textId="63ACE098"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Obživa </w:t>
      </w:r>
      <w:r w:rsidRPr="001C3EC8">
        <w:rPr>
          <w:color w:val="000000" w:themeColor="text1"/>
        </w:rPr>
        <w:t xml:space="preserve">– nebo také obživlé věci. Jedná se o případy, kdy byla věc sice vyřízena, ale z určitého důvodu se v řízení pokračuje (většinou v důsledku odvolacího řízení, kdy bylo rozhodnutí soudu </w:t>
      </w:r>
      <w:r w:rsidR="000C3B1E">
        <w:rPr>
          <w:color w:val="000000" w:themeColor="text1"/>
        </w:rPr>
        <w:t>I. stupně</w:t>
      </w:r>
      <w:r w:rsidRPr="001C3EC8">
        <w:rPr>
          <w:color w:val="000000" w:themeColor="text1"/>
        </w:rPr>
        <w:t xml:space="preserve"> zrušeno a vráceno mu k novému projednání, či po podání odporu). V této zprávě se stejně jako u nápadu jedná o počet věcí, které obživly za vykazované období, tedy za celý daný rok. Data jsou rovněž získávána z výkazů o činnosti soudů.</w:t>
      </w:r>
    </w:p>
    <w:p w14:paraId="616FD1D7"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Percentil </w:t>
      </w:r>
      <w:r w:rsidRPr="001C3EC8">
        <w:rPr>
          <w:color w:val="000000" w:themeColor="text1"/>
        </w:rPr>
        <w:t>– percentily dělí vzestupně setříděný soubor hodnot na setiny (na sto stejných částí). Devadesátý percentil znamená, že 90 % hodnot je menších nebo rovno a 10 % hodnot větších nebo rovno hodnotě percentilu. Má-li tedy soud devadesátý percentil délky řízení 400 dnů, znamená to, že vyřízení 90 % věcí trvá maximálně 400 dnů, zbylých 10 % pak 400 dnů a více.</w:t>
      </w:r>
    </w:p>
    <w:p w14:paraId="19D20B63"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Plánovaný počet soudců </w:t>
      </w:r>
      <w:r w:rsidRPr="001C3EC8">
        <w:rPr>
          <w:color w:val="000000" w:themeColor="text1"/>
        </w:rPr>
        <w:t>– odhad počtu soudců potřebných k vyřízení nápadu za předmětný rok. Je vypočítáván pro všechny okresní a krajské soudy</w:t>
      </w:r>
      <w:r w:rsidRPr="001C3EC8">
        <w:rPr>
          <w:color w:val="000000" w:themeColor="text1"/>
          <w:lang w:eastAsia="cs-CZ"/>
        </w:rPr>
        <w:t>, zpravidla</w:t>
      </w:r>
      <w:r w:rsidRPr="001C3EC8">
        <w:rPr>
          <w:color w:val="000000" w:themeColor="text1"/>
        </w:rPr>
        <w:t xml:space="preserve"> jednou ročně pro následující rok. Systemizace </w:t>
      </w:r>
      <w:r w:rsidRPr="001C3EC8">
        <w:rPr>
          <w:color w:val="000000" w:themeColor="text1"/>
          <w:lang w:eastAsia="cs-CZ"/>
        </w:rPr>
        <w:t>vyšších soudů je určena na základě dohody, nikoliv výpočtem.</w:t>
      </w:r>
    </w:p>
    <w:p w14:paraId="2A0B861F"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Plošný graf </w:t>
      </w:r>
      <w:r w:rsidRPr="001C3EC8">
        <w:rPr>
          <w:color w:val="000000" w:themeColor="text1"/>
        </w:rPr>
        <w:t>– typ grafu, který velmi dobře znázorňuje velikost změn v čase a v součtu zobrazovaných hodnot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1C3EC8">
        <w:rPr>
          <w:i/>
          <w:color w:val="000000" w:themeColor="text1"/>
        </w:rPr>
        <w:t>x</w:t>
      </w:r>
      <w:r w:rsidRPr="001C3EC8">
        <w:rPr>
          <w:color w:val="000000" w:themeColor="text1"/>
        </w:rPr>
        <w:t xml:space="preserve"> znázorňuje čas a na svislé ose </w:t>
      </w:r>
      <w:r w:rsidRPr="001C3EC8">
        <w:rPr>
          <w:i/>
          <w:color w:val="000000" w:themeColor="text1"/>
        </w:rPr>
        <w:t>y</w:t>
      </w:r>
      <w:r w:rsidRPr="001C3EC8">
        <w:rPr>
          <w:color w:val="000000" w:themeColor="text1"/>
        </w:rPr>
        <w:t xml:space="preserve"> jsou hodnoty jednotlivých druhů zkoumaných ukazatelů v absolutních číslech nebo v procentním poměru.</w:t>
      </w:r>
    </w:p>
    <w:p w14:paraId="17250CBC" w14:textId="18706F1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Počet soudkyň </w:t>
      </w:r>
      <w:r w:rsidR="000C3B1E" w:rsidRPr="001C3EC8">
        <w:rPr>
          <w:b/>
          <w:color w:val="000000" w:themeColor="text1"/>
        </w:rPr>
        <w:t>a</w:t>
      </w:r>
      <w:r w:rsidR="000C3B1E">
        <w:rPr>
          <w:b/>
          <w:color w:val="000000" w:themeColor="text1"/>
        </w:rPr>
        <w:t> </w:t>
      </w:r>
      <w:r w:rsidRPr="001C3EC8">
        <w:rPr>
          <w:b/>
          <w:color w:val="000000" w:themeColor="text1"/>
        </w:rPr>
        <w:t xml:space="preserve">soudců na MD/RD </w:t>
      </w:r>
      <w:r w:rsidRPr="001C3EC8">
        <w:rPr>
          <w:color w:val="000000" w:themeColor="text1"/>
        </w:rPr>
        <w:t xml:space="preserve">– počet soudkyň </w:t>
      </w:r>
      <w:r w:rsidR="000C3B1E" w:rsidRPr="001C3EC8">
        <w:rPr>
          <w:color w:val="000000" w:themeColor="text1"/>
        </w:rPr>
        <w:t>a</w:t>
      </w:r>
      <w:r w:rsidR="000C3B1E">
        <w:rPr>
          <w:color w:val="000000" w:themeColor="text1"/>
        </w:rPr>
        <w:t> </w:t>
      </w:r>
      <w:r w:rsidRPr="001C3EC8">
        <w:rPr>
          <w:color w:val="000000" w:themeColor="text1"/>
        </w:rPr>
        <w:t>soudců, kteří jsou na mateřské nebo rodičovské dovolené. Je zahrnut do evidenčního počtu soudců. Uvádíme vždy údaje k 1. 1. daného roku.</w:t>
      </w:r>
    </w:p>
    <w:p w14:paraId="036647FD" w14:textId="77777777" w:rsidR="008430BD" w:rsidRPr="001C3EC8" w:rsidRDefault="008430BD" w:rsidP="008430BD">
      <w:pPr>
        <w:pStyle w:val="Odstavecseseznamem"/>
        <w:numPr>
          <w:ilvl w:val="0"/>
          <w:numId w:val="4"/>
        </w:numPr>
        <w:rPr>
          <w:b/>
          <w:color w:val="000000" w:themeColor="text1"/>
        </w:rPr>
      </w:pPr>
      <w:r w:rsidRPr="001C3EC8">
        <w:rPr>
          <w:b/>
          <w:color w:val="000000" w:themeColor="text1"/>
        </w:rPr>
        <w:t xml:space="preserve">Průměr </w:t>
      </w:r>
      <w:r w:rsidRPr="001C3EC8">
        <w:rPr>
          <w:color w:val="000000" w:themeColor="text1"/>
        </w:rPr>
        <w:t>– je míněn aritmetický průměr hodnot.</w:t>
      </w:r>
    </w:p>
    <w:p w14:paraId="05E47786" w14:textId="00B6B78E"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Přepočet na soudce </w:t>
      </w:r>
      <w:r w:rsidRPr="001C3EC8">
        <w:rPr>
          <w:color w:val="000000" w:themeColor="text1"/>
        </w:rPr>
        <w:t xml:space="preserve">– počty napadlých, vyřízených a nevyřízených věcí jsou vyděleny počtem soudců. Jedná se o jeden z ukazatelů výkonnosti a zatíženosti soudů. Pro výpočet je využit počet skutečných úvazků. Tato data byla poprvé sbírána k 1. 1. 2020. Jejich velkou výhodou je fakt, že jsou přesnější. Je zde například vyčleněna opatrovnická agenda (počet není uveden dohromady s rejstříkem C) </w:t>
      </w:r>
      <w:r w:rsidR="000C3B1E" w:rsidRPr="001C3EC8">
        <w:rPr>
          <w:color w:val="000000" w:themeColor="text1"/>
        </w:rPr>
        <w:t>a</w:t>
      </w:r>
      <w:r w:rsidR="000C3B1E">
        <w:rPr>
          <w:color w:val="000000" w:themeColor="text1"/>
        </w:rPr>
        <w:t> </w:t>
      </w:r>
      <w:r w:rsidRPr="001C3EC8">
        <w:rPr>
          <w:color w:val="000000" w:themeColor="text1"/>
        </w:rPr>
        <w:t>dále jsou zohledněny i nepřítomnosti soudců, jako je dlouhodobá nemoc apod. Počty soudců jsou s přesností na desetinu soudce.</w:t>
      </w:r>
    </w:p>
    <w:p w14:paraId="28CA1584"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Příchozí věci </w:t>
      </w:r>
      <w:r w:rsidRPr="001C3EC8">
        <w:rPr>
          <w:color w:val="000000" w:themeColor="text1"/>
        </w:rPr>
        <w:t>– v této zprávě znamená součet napadlých a obživlých věcí.</w:t>
      </w:r>
    </w:p>
    <w:p w14:paraId="6BA82784" w14:textId="6FCACE43"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Skutečný počet úvazků – </w:t>
      </w:r>
      <w:r w:rsidRPr="001C3EC8">
        <w:rPr>
          <w:color w:val="000000" w:themeColor="text1"/>
        </w:rPr>
        <w:t xml:space="preserve">jde </w:t>
      </w:r>
      <w:r w:rsidR="000C3B1E" w:rsidRPr="001C3EC8">
        <w:rPr>
          <w:color w:val="000000" w:themeColor="text1"/>
        </w:rPr>
        <w:t>o</w:t>
      </w:r>
      <w:r w:rsidR="000C3B1E">
        <w:rPr>
          <w:color w:val="000000" w:themeColor="text1"/>
        </w:rPr>
        <w:t> </w:t>
      </w:r>
      <w:r w:rsidRPr="001C3EC8">
        <w:rPr>
          <w:color w:val="000000" w:themeColor="text1"/>
        </w:rPr>
        <w:t xml:space="preserve">data, která byla získána dotazníkovým šetřením od soudů. </w:t>
      </w:r>
      <w:r w:rsidR="00033563" w:rsidRPr="001C3EC8">
        <w:rPr>
          <w:color w:val="000000" w:themeColor="text1"/>
        </w:rPr>
        <w:t>Zahrnují</w:t>
      </w:r>
      <w:r w:rsidRPr="001C3EC8">
        <w:rPr>
          <w:color w:val="000000" w:themeColor="text1"/>
        </w:rPr>
        <w:t xml:space="preserve"> pouze soudc</w:t>
      </w:r>
      <w:r w:rsidR="00033563" w:rsidRPr="001C3EC8">
        <w:rPr>
          <w:color w:val="000000" w:themeColor="text1"/>
        </w:rPr>
        <w:t>e</w:t>
      </w:r>
      <w:r w:rsidRPr="001C3EC8">
        <w:rPr>
          <w:color w:val="000000" w:themeColor="text1"/>
        </w:rPr>
        <w:t>, kteří dan</w:t>
      </w:r>
      <w:r w:rsidR="00E844A3" w:rsidRPr="001C3EC8">
        <w:rPr>
          <w:color w:val="000000" w:themeColor="text1"/>
        </w:rPr>
        <w:t>o</w:t>
      </w:r>
      <w:r w:rsidRPr="001C3EC8">
        <w:rPr>
          <w:color w:val="000000" w:themeColor="text1"/>
        </w:rPr>
        <w:t xml:space="preserve">u agendu v příslušném roce </w:t>
      </w:r>
      <w:r w:rsidR="00033563" w:rsidRPr="001C3EC8">
        <w:rPr>
          <w:color w:val="000000" w:themeColor="text1"/>
        </w:rPr>
        <w:t xml:space="preserve">reálně </w:t>
      </w:r>
      <w:r w:rsidRPr="001C3EC8">
        <w:rPr>
          <w:color w:val="000000" w:themeColor="text1"/>
        </w:rPr>
        <w:t xml:space="preserve">vyřizovali. Na rozdíl od evidenčního počtu soudců tedy nejsou zahrnuti dlouhodobě nepřítomní soudci (na MD/RD, dlouhodobě nemocní, dočasně zproštěni výkonu funkce soudce </w:t>
      </w:r>
      <w:r w:rsidR="000E2347" w:rsidRPr="001C3EC8">
        <w:rPr>
          <w:color w:val="000000" w:themeColor="text1"/>
        </w:rPr>
        <w:t>(§ </w:t>
      </w:r>
      <w:r w:rsidRPr="001C3EC8">
        <w:rPr>
          <w:color w:val="000000" w:themeColor="text1"/>
        </w:rPr>
        <w:t xml:space="preserve">99, 100 </w:t>
      </w:r>
      <w:r w:rsidR="000C3B1E" w:rsidRPr="001C3EC8">
        <w:rPr>
          <w:color w:val="000000" w:themeColor="text1"/>
        </w:rPr>
        <w:t>a</w:t>
      </w:r>
      <w:r w:rsidR="000C3B1E">
        <w:rPr>
          <w:color w:val="000000" w:themeColor="text1"/>
        </w:rPr>
        <w:t> </w:t>
      </w:r>
      <w:proofErr w:type="gramStart"/>
      <w:r w:rsidRPr="001C3EC8">
        <w:rPr>
          <w:color w:val="000000" w:themeColor="text1"/>
        </w:rPr>
        <w:t>100a</w:t>
      </w:r>
      <w:proofErr w:type="gramEnd"/>
      <w:r w:rsidRPr="001C3EC8">
        <w:rPr>
          <w:color w:val="000000" w:themeColor="text1"/>
        </w:rPr>
        <w:t xml:space="preserve"> zák. č</w:t>
      </w:r>
      <w:r w:rsidR="000E2347" w:rsidRPr="001C3EC8">
        <w:rPr>
          <w:color w:val="000000" w:themeColor="text1"/>
        </w:rPr>
        <w:t>. </w:t>
      </w:r>
      <w:r w:rsidRPr="001C3EC8">
        <w:rPr>
          <w:color w:val="000000" w:themeColor="text1"/>
        </w:rPr>
        <w:t>6/</w:t>
      </w:r>
      <w:r w:rsidR="000E2347" w:rsidRPr="001C3EC8">
        <w:rPr>
          <w:color w:val="000000" w:themeColor="text1"/>
        </w:rPr>
        <w:t>2002 </w:t>
      </w:r>
      <w:r w:rsidRPr="001C3EC8">
        <w:rPr>
          <w:color w:val="000000" w:themeColor="text1"/>
        </w:rPr>
        <w:t xml:space="preserve">Sb.) nebo dočasně přeloženi </w:t>
      </w:r>
      <w:r w:rsidR="000C3B1E" w:rsidRPr="001C3EC8">
        <w:rPr>
          <w:color w:val="000000" w:themeColor="text1"/>
        </w:rPr>
        <w:t>k</w:t>
      </w:r>
      <w:r w:rsidR="000C3B1E">
        <w:rPr>
          <w:color w:val="000000" w:themeColor="text1"/>
        </w:rPr>
        <w:t> </w:t>
      </w:r>
      <w:r w:rsidRPr="001C3EC8">
        <w:rPr>
          <w:color w:val="000000" w:themeColor="text1"/>
        </w:rPr>
        <w:t xml:space="preserve">jinému soudu (stáž)). Údaje jsou </w:t>
      </w:r>
      <w:r w:rsidR="00033563" w:rsidRPr="001C3EC8">
        <w:rPr>
          <w:color w:val="000000" w:themeColor="text1"/>
        </w:rPr>
        <w:t>sledovány</w:t>
      </w:r>
      <w:r w:rsidRPr="001C3EC8">
        <w:rPr>
          <w:color w:val="000000" w:themeColor="text1"/>
        </w:rPr>
        <w:t xml:space="preserve"> </w:t>
      </w:r>
      <w:r w:rsidRPr="001C3EC8">
        <w:rPr>
          <w:color w:val="000000" w:themeColor="text1"/>
        </w:rPr>
        <w:lastRenderedPageBreak/>
        <w:t xml:space="preserve">s přesností na desetinu soudce </w:t>
      </w:r>
      <w:r w:rsidR="000C3B1E" w:rsidRPr="001C3EC8">
        <w:rPr>
          <w:color w:val="000000" w:themeColor="text1"/>
        </w:rPr>
        <w:t>a</w:t>
      </w:r>
      <w:r w:rsidR="000C3B1E">
        <w:rPr>
          <w:color w:val="000000" w:themeColor="text1"/>
        </w:rPr>
        <w:t> </w:t>
      </w:r>
      <w:r w:rsidRPr="001C3EC8">
        <w:rPr>
          <w:color w:val="000000" w:themeColor="text1"/>
        </w:rPr>
        <w:t>jsou podrobněji členěn</w:t>
      </w:r>
      <w:r w:rsidR="00E844A3" w:rsidRPr="001C3EC8">
        <w:rPr>
          <w:color w:val="000000" w:themeColor="text1"/>
        </w:rPr>
        <w:t>y</w:t>
      </w:r>
      <w:r w:rsidRPr="001C3EC8">
        <w:rPr>
          <w:color w:val="000000" w:themeColor="text1"/>
        </w:rPr>
        <w:t xml:space="preserve"> dle úseků </w:t>
      </w:r>
      <w:r w:rsidR="000C3B1E" w:rsidRPr="001C3EC8">
        <w:rPr>
          <w:color w:val="000000" w:themeColor="text1"/>
        </w:rPr>
        <w:t>a</w:t>
      </w:r>
      <w:r w:rsidR="000C3B1E">
        <w:rPr>
          <w:color w:val="000000" w:themeColor="text1"/>
        </w:rPr>
        <w:t> </w:t>
      </w:r>
      <w:r w:rsidRPr="001C3EC8">
        <w:rPr>
          <w:color w:val="000000" w:themeColor="text1"/>
        </w:rPr>
        <w:t>agendy, které se</w:t>
      </w:r>
      <w:r w:rsidR="00E844A3" w:rsidRPr="001C3EC8">
        <w:rPr>
          <w:color w:val="000000" w:themeColor="text1"/>
        </w:rPr>
        <w:t xml:space="preserve"> soudci</w:t>
      </w:r>
      <w:r w:rsidRPr="001C3EC8">
        <w:rPr>
          <w:color w:val="000000" w:themeColor="text1"/>
        </w:rPr>
        <w:t xml:space="preserve"> věnují. Někdy též </w:t>
      </w:r>
      <w:r w:rsidR="00033563" w:rsidRPr="001C3EC8">
        <w:rPr>
          <w:color w:val="000000" w:themeColor="text1"/>
        </w:rPr>
        <w:t xml:space="preserve">označováno </w:t>
      </w:r>
      <w:r w:rsidRPr="001C3EC8">
        <w:rPr>
          <w:color w:val="000000" w:themeColor="text1"/>
        </w:rPr>
        <w:t>jako</w:t>
      </w:r>
      <w:r w:rsidR="000E2347" w:rsidRPr="001C3EC8">
        <w:rPr>
          <w:color w:val="000000" w:themeColor="text1"/>
        </w:rPr>
        <w:t xml:space="preserve"> </w:t>
      </w:r>
      <w:r w:rsidRPr="001C3EC8">
        <w:rPr>
          <w:color w:val="000000" w:themeColor="text1"/>
        </w:rPr>
        <w:t>skutečný počet soudců.</w:t>
      </w:r>
    </w:p>
    <w:p w14:paraId="2D00E67E"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Statistické listy (SL) </w:t>
      </w:r>
      <w:r w:rsidRPr="001C3EC8">
        <w:rPr>
          <w:color w:val="000000" w:themeColor="text1"/>
        </w:rPr>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 časové údaje, údaje o odvolání, výsledek řízení, anonymizované údaje o účastnících řízení, o výši a druhu trestu apod.).</w:t>
      </w:r>
    </w:p>
    <w:p w14:paraId="16974D36"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Výkazy o činnosti soudů </w:t>
      </w:r>
      <w:r w:rsidRPr="001C3EC8">
        <w:rPr>
          <w:color w:val="000000" w:themeColor="text1"/>
        </w:rPr>
        <w:t>– obsahují především údaje o počtu napadlých, obživlých, vyřízených a nevyřízených věcí za zkoumané období, ale i další data, např. dělení vyřízených věcí podle způsobu vyřízení a dělení obživlých věcí podle důvodu pro obživnutí. Vypočítávají se automaticky pro každou agendu (rejstřík) a každý soud.</w:t>
      </w:r>
    </w:p>
    <w:p w14:paraId="4579D780" w14:textId="77777777" w:rsidR="008430BD" w:rsidRPr="001C3EC8" w:rsidRDefault="008430BD" w:rsidP="008430BD">
      <w:pPr>
        <w:pStyle w:val="Odstavecseseznamem"/>
        <w:numPr>
          <w:ilvl w:val="0"/>
          <w:numId w:val="4"/>
        </w:numPr>
        <w:rPr>
          <w:b/>
          <w:color w:val="000000" w:themeColor="text1"/>
        </w:rPr>
      </w:pPr>
      <w:r w:rsidRPr="001C3EC8">
        <w:rPr>
          <w:b/>
          <w:color w:val="000000" w:themeColor="text1"/>
        </w:rPr>
        <w:t xml:space="preserve">Vyřízené věci </w:t>
      </w:r>
      <w:r w:rsidRPr="001C3EC8">
        <w:rPr>
          <w:color w:val="000000" w:themeColor="text1"/>
        </w:rPr>
        <w:t>– v této zprávě se vždy jedná o roční data, která jsou získána z výkazů o činnosti soudů.</w:t>
      </w:r>
    </w:p>
    <w:p w14:paraId="6E4D1CE5" w14:textId="77777777" w:rsidR="008430BD" w:rsidRPr="001C3EC8" w:rsidRDefault="008430BD" w:rsidP="008430BD">
      <w:pPr>
        <w:rPr>
          <w:color w:val="000000" w:themeColor="text1"/>
        </w:rPr>
      </w:pPr>
    </w:p>
    <w:p w14:paraId="1F5A5D67" w14:textId="77777777" w:rsidR="008430BD" w:rsidRPr="001C3EC8" w:rsidRDefault="008430BD" w:rsidP="008430BD">
      <w:pPr>
        <w:pStyle w:val="Nadpis3"/>
        <w:pageBreakBefore/>
        <w:ind w:left="0" w:firstLine="0"/>
        <w:rPr>
          <w:color w:val="000000" w:themeColor="text1"/>
        </w:rPr>
      </w:pPr>
      <w:bookmarkStart w:id="938" w:name="_Toc487791319"/>
      <w:bookmarkStart w:id="939" w:name="_Toc75952173"/>
      <w:r w:rsidRPr="001C3EC8">
        <w:rPr>
          <w:color w:val="000000" w:themeColor="text1"/>
        </w:rPr>
        <w:lastRenderedPageBreak/>
        <w:t>Právní a ostatní pojmy</w:t>
      </w:r>
      <w:bookmarkEnd w:id="938"/>
      <w:bookmarkEnd w:id="939"/>
    </w:p>
    <w:p w14:paraId="68BDF495"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Civilní </w:t>
      </w:r>
      <w:r w:rsidRPr="001C3EC8">
        <w:rPr>
          <w:color w:val="000000" w:themeColor="text1"/>
        </w:rPr>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14:paraId="5A5CF2DC"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Dovolání </w:t>
      </w:r>
      <w:r w:rsidRPr="001C3EC8">
        <w:rPr>
          <w:color w:val="000000" w:themeColor="text1"/>
        </w:rPr>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14:paraId="3ADDCFFE" w14:textId="611837A4"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Hlavní agendy </w:t>
      </w:r>
      <w:r w:rsidRPr="001C3EC8">
        <w:rPr>
          <w:color w:val="000000" w:themeColor="text1"/>
        </w:rPr>
        <w:t>– jedná se o takové agendy soudů, které svou velikostí a významem tvoří stěžejní část jejich práce. V případě soudů jsou to z civilní (občanskoprávní) agendy věci zapisované do rejstříku C, z opatrovnické agendy věci vedené v rejstříku P</w:t>
      </w:r>
      <w:r w:rsidR="0053190F">
        <w:rPr>
          <w:color w:val="000000" w:themeColor="text1"/>
        </w:rPr>
        <w:t> </w:t>
      </w:r>
      <w:r w:rsidRPr="001C3EC8">
        <w:rPr>
          <w:color w:val="000000" w:themeColor="text1"/>
        </w:rPr>
        <w:t>a </w:t>
      </w:r>
      <w:proofErr w:type="spellStart"/>
      <w:r w:rsidRPr="001C3EC8">
        <w:rPr>
          <w:color w:val="000000" w:themeColor="text1"/>
        </w:rPr>
        <w:t>Nc</w:t>
      </w:r>
      <w:proofErr w:type="spellEnd"/>
      <w:r w:rsidRPr="001C3EC8">
        <w:rPr>
          <w:color w:val="000000" w:themeColor="text1"/>
        </w:rPr>
        <w:t>, u obchodní agendy věci z rejstříku Cm a insolvenčního rejstříku</w:t>
      </w:r>
      <w:r w:rsidR="0053190F">
        <w:rPr>
          <w:color w:val="000000" w:themeColor="text1"/>
        </w:rPr>
        <w:t> </w:t>
      </w:r>
      <w:r w:rsidRPr="001C3EC8">
        <w:rPr>
          <w:color w:val="000000" w:themeColor="text1"/>
        </w:rPr>
        <w:t>INS, z trestní agendy rejstříky T a </w:t>
      </w:r>
      <w:proofErr w:type="spellStart"/>
      <w:r w:rsidRPr="001C3EC8">
        <w:rPr>
          <w:color w:val="000000" w:themeColor="text1"/>
        </w:rPr>
        <w:t>Tm</w:t>
      </w:r>
      <w:proofErr w:type="spellEnd"/>
      <w:r w:rsidRPr="001C3EC8">
        <w:rPr>
          <w:color w:val="000000" w:themeColor="text1"/>
        </w:rPr>
        <w:t xml:space="preserve"> a ze správního soudnictví všechny správní rejstříky kromě tzv. všeobecného rejstříku správního soudnictví.</w:t>
      </w:r>
    </w:p>
    <w:p w14:paraId="6A811697" w14:textId="05FC18D4" w:rsidR="008430BD" w:rsidRPr="001C3EC8" w:rsidRDefault="008430BD" w:rsidP="008430BD">
      <w:pPr>
        <w:pStyle w:val="Odstavecseseznamem"/>
        <w:numPr>
          <w:ilvl w:val="0"/>
          <w:numId w:val="4"/>
        </w:numPr>
        <w:rPr>
          <w:color w:val="000000" w:themeColor="text1"/>
        </w:rPr>
      </w:pPr>
      <w:proofErr w:type="spellStart"/>
      <w:r w:rsidRPr="001C3EC8">
        <w:rPr>
          <w:b/>
          <w:color w:val="000000" w:themeColor="text1"/>
        </w:rPr>
        <w:t>InfoData</w:t>
      </w:r>
      <w:proofErr w:type="spellEnd"/>
      <w:r w:rsidRPr="001C3EC8">
        <w:rPr>
          <w:b/>
          <w:color w:val="000000" w:themeColor="text1"/>
        </w:rPr>
        <w:t xml:space="preserve"> </w:t>
      </w:r>
      <w:r w:rsidRPr="001C3EC8">
        <w:rPr>
          <w:color w:val="000000" w:themeColor="text1"/>
        </w:rPr>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50" w:history="1">
        <w:r w:rsidR="0038473E" w:rsidRPr="00F04CC1">
          <w:rPr>
            <w:rStyle w:val="Hypertextovodkaz"/>
          </w:rPr>
          <w:t>http://cslav.justice.cz/InfoData/uvod.html</w:t>
        </w:r>
      </w:hyperlink>
      <w:r w:rsidRPr="001C3EC8">
        <w:rPr>
          <w:color w:val="000000" w:themeColor="text1"/>
        </w:rPr>
        <w:t>).</w:t>
      </w:r>
    </w:p>
    <w:p w14:paraId="754C9E75" w14:textId="547E79C0"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Incidenční spory </w:t>
      </w:r>
      <w:r w:rsidRPr="001C3EC8">
        <w:rPr>
          <w:color w:val="000000" w:themeColor="text1"/>
        </w:rPr>
        <w:t xml:space="preserve">– jedná se </w:t>
      </w:r>
      <w:r w:rsidR="000C3B1E" w:rsidRPr="001C3EC8">
        <w:rPr>
          <w:color w:val="000000" w:themeColor="text1"/>
        </w:rPr>
        <w:t>o</w:t>
      </w:r>
      <w:r w:rsidR="000C3B1E">
        <w:rPr>
          <w:color w:val="000000" w:themeColor="text1"/>
        </w:rPr>
        <w:t> </w:t>
      </w:r>
      <w:r w:rsidRPr="001C3EC8">
        <w:rPr>
          <w:color w:val="000000" w:themeColor="text1"/>
        </w:rPr>
        <w:t xml:space="preserve">spory vyvolané insolvenčním řízením </w:t>
      </w:r>
      <w:r w:rsidR="000C3B1E" w:rsidRPr="001C3EC8">
        <w:rPr>
          <w:color w:val="000000" w:themeColor="text1"/>
        </w:rPr>
        <w:t>a</w:t>
      </w:r>
      <w:r w:rsidR="000C3B1E">
        <w:rPr>
          <w:color w:val="000000" w:themeColor="text1"/>
        </w:rPr>
        <w:t> </w:t>
      </w:r>
      <w:r w:rsidRPr="001C3EC8">
        <w:rPr>
          <w:color w:val="000000" w:themeColor="text1"/>
        </w:rPr>
        <w:t xml:space="preserve">projednávané v rámci insolvenčního řízení. Co jsou incidenční spory, vymezuje insolvenční zákon (zákon č. 182/2006 Sb.). Jde například </w:t>
      </w:r>
      <w:r w:rsidR="000C3B1E" w:rsidRPr="001C3EC8">
        <w:rPr>
          <w:color w:val="000000" w:themeColor="text1"/>
        </w:rPr>
        <w:t>o</w:t>
      </w:r>
      <w:r w:rsidR="000C3B1E">
        <w:rPr>
          <w:color w:val="000000" w:themeColor="text1"/>
        </w:rPr>
        <w:t> </w:t>
      </w:r>
      <w:r w:rsidRPr="001C3EC8">
        <w:rPr>
          <w:color w:val="000000" w:themeColor="text1"/>
        </w:rPr>
        <w:t xml:space="preserve">spory </w:t>
      </w:r>
      <w:r w:rsidR="000C3B1E" w:rsidRPr="001C3EC8">
        <w:rPr>
          <w:color w:val="000000" w:themeColor="text1"/>
        </w:rPr>
        <w:t>o</w:t>
      </w:r>
      <w:r w:rsidR="000C3B1E">
        <w:rPr>
          <w:color w:val="000000" w:themeColor="text1"/>
        </w:rPr>
        <w:t> </w:t>
      </w:r>
      <w:r w:rsidRPr="001C3EC8">
        <w:rPr>
          <w:color w:val="000000" w:themeColor="text1"/>
        </w:rPr>
        <w:t xml:space="preserve">pravost, výši nebo pořadí přihlášených pohledávek, spory </w:t>
      </w:r>
      <w:r w:rsidR="000C3B1E" w:rsidRPr="001C3EC8">
        <w:rPr>
          <w:color w:val="000000" w:themeColor="text1"/>
        </w:rPr>
        <w:t>o</w:t>
      </w:r>
      <w:r w:rsidR="000C3B1E">
        <w:rPr>
          <w:color w:val="000000" w:themeColor="text1"/>
        </w:rPr>
        <w:t> </w:t>
      </w:r>
      <w:r w:rsidRPr="001C3EC8">
        <w:rPr>
          <w:color w:val="000000" w:themeColor="text1"/>
        </w:rPr>
        <w:t xml:space="preserve">vypořádání společného jmění dlužníka </w:t>
      </w:r>
      <w:r w:rsidR="000C3B1E" w:rsidRPr="001C3EC8">
        <w:rPr>
          <w:color w:val="000000" w:themeColor="text1"/>
        </w:rPr>
        <w:t>a</w:t>
      </w:r>
      <w:r w:rsidR="000C3B1E">
        <w:rPr>
          <w:color w:val="000000" w:themeColor="text1"/>
        </w:rPr>
        <w:t> </w:t>
      </w:r>
      <w:r w:rsidRPr="001C3EC8">
        <w:rPr>
          <w:color w:val="000000" w:themeColor="text1"/>
        </w:rPr>
        <w:t xml:space="preserve">jeho manžela, spory o platnost smluv, kterými došlo ke zpeněžení majetkové podstaty prodejem mimo dražbu, </w:t>
      </w:r>
      <w:r w:rsidR="000C3B1E" w:rsidRPr="001C3EC8">
        <w:rPr>
          <w:color w:val="000000" w:themeColor="text1"/>
        </w:rPr>
        <w:t>a</w:t>
      </w:r>
      <w:r w:rsidR="000C3B1E">
        <w:rPr>
          <w:color w:val="000000" w:themeColor="text1"/>
        </w:rPr>
        <w:t> </w:t>
      </w:r>
      <w:r w:rsidRPr="001C3EC8">
        <w:rPr>
          <w:color w:val="000000" w:themeColor="text1"/>
        </w:rPr>
        <w:t xml:space="preserve">další (viz také </w:t>
      </w:r>
      <w:proofErr w:type="spellStart"/>
      <w:r w:rsidRPr="001C3EC8">
        <w:rPr>
          <w:color w:val="000000" w:themeColor="text1"/>
        </w:rPr>
        <w:t>ust</w:t>
      </w:r>
      <w:proofErr w:type="spellEnd"/>
      <w:r w:rsidRPr="001C3EC8">
        <w:rPr>
          <w:color w:val="000000" w:themeColor="text1"/>
        </w:rPr>
        <w:t>. §</w:t>
      </w:r>
      <w:r w:rsidR="0053190F">
        <w:rPr>
          <w:color w:val="000000" w:themeColor="text1"/>
        </w:rPr>
        <w:t> </w:t>
      </w:r>
      <w:r w:rsidRPr="001C3EC8">
        <w:rPr>
          <w:color w:val="000000" w:themeColor="text1"/>
        </w:rPr>
        <w:t xml:space="preserve">159 </w:t>
      </w:r>
      <w:r w:rsidR="000C3B1E" w:rsidRPr="001C3EC8">
        <w:rPr>
          <w:color w:val="000000" w:themeColor="text1"/>
        </w:rPr>
        <w:t>a</w:t>
      </w:r>
      <w:r w:rsidR="000C3B1E">
        <w:rPr>
          <w:color w:val="000000" w:themeColor="text1"/>
        </w:rPr>
        <w:t> </w:t>
      </w:r>
      <w:r w:rsidRPr="001C3EC8">
        <w:rPr>
          <w:color w:val="000000" w:themeColor="text1"/>
        </w:rPr>
        <w:t>násl. insolvenčního zákona).</w:t>
      </w:r>
    </w:p>
    <w:p w14:paraId="1767D529" w14:textId="39FA994F"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Insolvence </w:t>
      </w:r>
      <w:r w:rsidRPr="001C3EC8">
        <w:rPr>
          <w:color w:val="000000" w:themeColor="text1"/>
        </w:rPr>
        <w:t>– jinak také insolvenční agenda (řízení). Jedná se o zvláštní soudní řízení civilní agendy, jehož předmětem je projednání úpadku a jeho řešení. Do insolvenční agendy se dále řídí incidenční spory. Insolvenční agenda se rozhoduje na insolvenčních odděleních obchodních úseků soudů.</w:t>
      </w:r>
    </w:p>
    <w:p w14:paraId="056933AE"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Jmenovací etapa </w:t>
      </w:r>
      <w:r w:rsidRPr="001C3EC8">
        <w:rPr>
          <w:color w:val="000000" w:themeColor="text1"/>
        </w:rPr>
        <w:t>– jinak také etapa jmenování soudců. Soudce jmenuje prezident na návrh ministra spravedlnosti, dle aktuální potřeby jednotlivých soudů.</w:t>
      </w:r>
    </w:p>
    <w:p w14:paraId="2FF04D03"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Kasační stížnost </w:t>
      </w:r>
      <w:r w:rsidRPr="001C3EC8">
        <w:rPr>
          <w:color w:val="000000" w:themeColor="text1"/>
        </w:rPr>
        <w:t>– mimořádný opravný prostředek, jímž lze napadnout pravomocné rozhodnutí krajského soudu vydané ve správním soudnictví. Kasační stížnost je možné podat v zásadě proti každému takovému rozhodnutí, není-li z přezkoumání v kasačním řízení zákonem výslovně vyloučeno. O kasačních stížnostech rozhoduje Nejvyšší správní soud.</w:t>
      </w:r>
    </w:p>
    <w:p w14:paraId="30C74BC6"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Krajské soudy (KS) </w:t>
      </w:r>
      <w:r w:rsidRPr="001C3EC8">
        <w:rPr>
          <w:color w:val="000000" w:themeColor="text1"/>
        </w:rPr>
        <w:t xml:space="preserve">– druhý ze čtyř článků soustavy soudů ČR. Působí jich celkem osm, a to Krajský soud v Praze, v Českých Budějovicích, v Plzni, v Ústí nad Labem, v Hradci </w:t>
      </w:r>
      <w:r w:rsidRPr="001C3EC8">
        <w:rPr>
          <w:color w:val="000000" w:themeColor="text1"/>
        </w:rPr>
        <w:lastRenderedPageBreak/>
        <w:t>Králové, v Brně a v Ostravě a Městský soud v Praze, který vykonává působnost krajského soudu pro území hlavního města Prahy.</w:t>
      </w:r>
    </w:p>
    <w:p w14:paraId="68B2C30B" w14:textId="47B97211"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Moratorium </w:t>
      </w:r>
      <w:r w:rsidRPr="001C3EC8">
        <w:rPr>
          <w:color w:val="000000" w:themeColor="text1"/>
        </w:rPr>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w:t>
      </w:r>
      <w:r w:rsidR="000C3B1E" w:rsidRPr="001C3EC8">
        <w:rPr>
          <w:color w:val="000000" w:themeColor="text1"/>
        </w:rPr>
        <w:t>o</w:t>
      </w:r>
      <w:r w:rsidR="000C3B1E">
        <w:rPr>
          <w:color w:val="000000" w:themeColor="text1"/>
        </w:rPr>
        <w:t> </w:t>
      </w:r>
      <w:r w:rsidRPr="001C3EC8">
        <w:rPr>
          <w:color w:val="000000" w:themeColor="text1"/>
        </w:rPr>
        <w:t xml:space="preserve">dalších třicet dnů. </w:t>
      </w:r>
      <w:r w:rsidRPr="001C3EC8" w:rsidDel="003549CA">
        <w:rPr>
          <w:color w:val="000000" w:themeColor="text1"/>
        </w:rPr>
        <w:t>Smyslem moratoria je poskytnout dlužník</w:t>
      </w:r>
      <w:r w:rsidRPr="001C3EC8">
        <w:rPr>
          <w:color w:val="000000" w:themeColor="text1"/>
        </w:rPr>
        <w:t>ovi</w:t>
      </w:r>
      <w:r w:rsidRPr="001C3EC8" w:rsidDel="003549CA">
        <w:rPr>
          <w:color w:val="000000" w:themeColor="text1"/>
        </w:rPr>
        <w:t xml:space="preserve"> čas na vyřešení svých nesplácených závazků</w:t>
      </w:r>
      <w:r w:rsidRPr="001C3EC8">
        <w:rPr>
          <w:color w:val="000000" w:themeColor="text1"/>
        </w:rPr>
        <w:t xml:space="preserve"> a </w:t>
      </w:r>
      <w:r w:rsidRPr="001C3EC8" w:rsidDel="003549CA">
        <w:rPr>
          <w:color w:val="000000" w:themeColor="text1"/>
        </w:rPr>
        <w:t>pohledávek</w:t>
      </w:r>
      <w:r w:rsidRPr="001C3EC8">
        <w:rPr>
          <w:color w:val="000000" w:themeColor="text1"/>
        </w:rPr>
        <w:t>, zachovat provoz podniku dlužníka a </w:t>
      </w:r>
      <w:r w:rsidRPr="001C3EC8" w:rsidDel="003549CA">
        <w:rPr>
          <w:color w:val="000000" w:themeColor="text1"/>
        </w:rPr>
        <w:t>vyrovnat se</w:t>
      </w:r>
      <w:r w:rsidRPr="001C3EC8">
        <w:rPr>
          <w:color w:val="000000" w:themeColor="text1"/>
        </w:rPr>
        <w:t xml:space="preserve"> s </w:t>
      </w:r>
      <w:r w:rsidRPr="001C3EC8" w:rsidDel="003549CA">
        <w:rPr>
          <w:color w:val="000000" w:themeColor="text1"/>
        </w:rPr>
        <w:t xml:space="preserve">věřiteli ještě před </w:t>
      </w:r>
      <w:r w:rsidRPr="001C3EC8">
        <w:rPr>
          <w:color w:val="000000" w:themeColor="text1"/>
        </w:rPr>
        <w:t>tím, než proběhne celé insolvenční</w:t>
      </w:r>
      <w:r w:rsidRPr="001C3EC8" w:rsidDel="003549CA">
        <w:rPr>
          <w:color w:val="000000" w:themeColor="text1"/>
        </w:rPr>
        <w:t xml:space="preserve"> řízení.</w:t>
      </w:r>
    </w:p>
    <w:p w14:paraId="2CF16E37"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Nadřízený soud </w:t>
      </w:r>
      <w:r w:rsidRPr="001C3EC8">
        <w:rPr>
          <w:color w:val="000000" w:themeColor="text1"/>
        </w:rPr>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p>
    <w:p w14:paraId="451DF910"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Nejvyšší soud (NS) </w:t>
      </w:r>
      <w:r w:rsidRPr="001C3EC8">
        <w:rPr>
          <w:color w:val="000000" w:themeColor="text1"/>
        </w:rPr>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14:paraId="29E8C6C9"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Nejvyšší správní soud (NSS) </w:t>
      </w:r>
      <w:r w:rsidRPr="001C3EC8">
        <w:rPr>
          <w:color w:val="000000" w:themeColor="text1"/>
        </w:rPr>
        <w:t>– vrcholný soudní orgán ve věcech patřících do pravomoci soudů ve správním soudnictví. Správní soudnictví v ČR spolu s NSS vykonávají dále už jen krajské soudy. Sídlí v Brně.</w:t>
      </w:r>
    </w:p>
    <w:p w14:paraId="621EDD0B"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O. z. </w:t>
      </w:r>
      <w:r w:rsidRPr="001C3EC8">
        <w:rPr>
          <w:color w:val="000000" w:themeColor="text1"/>
        </w:rPr>
        <w:t xml:space="preserve">– občanský zákoník, zákon č. 89/2012 Sb., který </w:t>
      </w:r>
      <w:proofErr w:type="spellStart"/>
      <w:r w:rsidRPr="001C3EC8">
        <w:rPr>
          <w:color w:val="000000" w:themeColor="text1"/>
        </w:rPr>
        <w:t>rekodifikoval</w:t>
      </w:r>
      <w:proofErr w:type="spellEnd"/>
      <w:r w:rsidRPr="001C3EC8">
        <w:rPr>
          <w:color w:val="000000" w:themeColor="text1"/>
        </w:rPr>
        <w:t xml:space="preserve"> české soukromé právo a nahradil předchozí československý občanský zákoník z roku 1964. Nabyl účinnosti dnem 1. 1. 2014.</w:t>
      </w:r>
    </w:p>
    <w:p w14:paraId="5512C889" w14:textId="77777777" w:rsidR="008430BD" w:rsidRPr="001C3EC8" w:rsidRDefault="008430BD" w:rsidP="008430BD">
      <w:pPr>
        <w:pStyle w:val="Odstavecseseznamem"/>
        <w:numPr>
          <w:ilvl w:val="0"/>
          <w:numId w:val="4"/>
        </w:numPr>
        <w:ind w:left="714" w:hanging="357"/>
        <w:rPr>
          <w:color w:val="000000" w:themeColor="text1"/>
        </w:rPr>
      </w:pPr>
      <w:r w:rsidRPr="001C3EC8">
        <w:rPr>
          <w:b/>
          <w:color w:val="000000" w:themeColor="text1"/>
        </w:rPr>
        <w:t xml:space="preserve">Obchodní </w:t>
      </w:r>
      <w:r w:rsidRPr="001C3EC8">
        <w:rPr>
          <w:color w:val="000000" w:themeColor="text1"/>
        </w:rPr>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 Tato zpráva se posledně uvedenou agendou nezabývá; údaje o ní lze získat z ostatních veřejných zdrojů justičních statistik.</w:t>
      </w:r>
    </w:p>
    <w:p w14:paraId="4CA40BEE" w14:textId="0618B792"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Odvolací instance (agenda) </w:t>
      </w:r>
      <w:r w:rsidRPr="001C3EC8">
        <w:rPr>
          <w:color w:val="000000" w:themeColor="text1"/>
        </w:rPr>
        <w:t>– také soud I</w:t>
      </w:r>
      <w:r w:rsidR="000C3B1E">
        <w:rPr>
          <w:color w:val="000000" w:themeColor="text1"/>
        </w:rPr>
        <w:t>I. stupně</w:t>
      </w:r>
      <w:r w:rsidRPr="001C3EC8">
        <w:rPr>
          <w:color w:val="000000" w:themeColor="text1"/>
        </w:rPr>
        <w:t xml:space="preserve"> (druhostupňová agenda). Soudní řízení bývá zpravidla dvoustupňové. Každá nová věc (spor nebo jiná právní věc) je nejdříve projednána a rozhodnuta v první instanci (viz dále). Lze-li nepravomocné rozhodnutí soudu </w:t>
      </w:r>
      <w:r w:rsidR="000C3B1E">
        <w:rPr>
          <w:color w:val="000000" w:themeColor="text1"/>
        </w:rPr>
        <w:t>I. stupně</w:t>
      </w:r>
      <w:r w:rsidRPr="001C3EC8">
        <w:rPr>
          <w:color w:val="000000" w:themeColor="text1"/>
        </w:rPr>
        <w:t xml:space="preserve"> napadnout opravným prostředkem, koná se následně u bezprostředně nadřízeného soudu odvolací řízení.</w:t>
      </w:r>
    </w:p>
    <w:p w14:paraId="4C6A9356" w14:textId="49989935" w:rsidR="008430BD" w:rsidRPr="001C3EC8" w:rsidRDefault="008430BD" w:rsidP="008430BD">
      <w:pPr>
        <w:pStyle w:val="Odstavecseseznamem"/>
        <w:numPr>
          <w:ilvl w:val="0"/>
          <w:numId w:val="4"/>
        </w:numPr>
        <w:rPr>
          <w:color w:val="000000" w:themeColor="text1"/>
        </w:rPr>
      </w:pPr>
      <w:r w:rsidRPr="001C3EC8">
        <w:rPr>
          <w:b/>
          <w:color w:val="000000" w:themeColor="text1"/>
        </w:rPr>
        <w:lastRenderedPageBreak/>
        <w:t>Okresní soudy (OS)</w:t>
      </w:r>
      <w:r w:rsidRPr="001C3EC8">
        <w:rPr>
          <w:color w:val="000000" w:themeColor="text1"/>
        </w:rPr>
        <w:t xml:space="preserve"> – první, nejnižší článek soudní soustavy. Tento článek soustavy čítá celkem 86 okresních soudů, z nichž 75 je označeno jako </w:t>
      </w:r>
      <w:r w:rsidRPr="001C3EC8">
        <w:rPr>
          <w:i/>
          <w:color w:val="000000" w:themeColor="text1"/>
        </w:rPr>
        <w:t>okresní</w:t>
      </w:r>
      <w:r w:rsidRPr="001C3EC8">
        <w:rPr>
          <w:color w:val="000000" w:themeColor="text1"/>
        </w:rPr>
        <w:t xml:space="preserve">, deset soudů na území hlavního města Prahy jako </w:t>
      </w:r>
      <w:r w:rsidRPr="001C3EC8">
        <w:rPr>
          <w:i/>
          <w:color w:val="000000" w:themeColor="text1"/>
        </w:rPr>
        <w:t>obvodní</w:t>
      </w:r>
      <w:r w:rsidRPr="001C3EC8">
        <w:rPr>
          <w:color w:val="000000" w:themeColor="text1"/>
        </w:rPr>
        <w:t xml:space="preserve"> (území hl. m. Prahy se dělí na deset soudních obvodů) a jeden jako </w:t>
      </w:r>
      <w:r w:rsidRPr="001C3EC8">
        <w:rPr>
          <w:i/>
          <w:color w:val="000000" w:themeColor="text1"/>
        </w:rPr>
        <w:t>městský</w:t>
      </w:r>
      <w:r w:rsidRPr="001C3EC8">
        <w:rPr>
          <w:color w:val="000000" w:themeColor="text1"/>
        </w:rPr>
        <w:t xml:space="preserve"> – Městský soud v Brně, který vykonává působnost okresního soudu pro území Statutárního města Brno (okres </w:t>
      </w:r>
      <w:r w:rsidR="0053190F">
        <w:rPr>
          <w:color w:val="000000" w:themeColor="text1"/>
        </w:rPr>
        <w:t>Brno</w:t>
      </w:r>
      <w:r w:rsidR="0053190F">
        <w:rPr>
          <w:color w:val="000000" w:themeColor="text1"/>
        </w:rPr>
        <w:noBreakHyphen/>
      </w:r>
      <w:r w:rsidRPr="001C3EC8">
        <w:rPr>
          <w:color w:val="000000" w:themeColor="text1"/>
        </w:rPr>
        <w:t>město).</w:t>
      </w:r>
    </w:p>
    <w:p w14:paraId="2FA316F8"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Opatrovnická </w:t>
      </w:r>
      <w:r w:rsidRPr="001C3EC8">
        <w:rPr>
          <w:color w:val="000000" w:themeColor="text1"/>
        </w:rPr>
        <w:t xml:space="preserve">– (agenda, řízení, úsek) je jednou ze samostatných agend civilního soudnictví, kterou tvoří zejména věci týkající se svéprávnosti a opatrovnictví člověka a dále především záležitosti nezletilých dětí, poručenství a jiných forem péče o dítě. Kromě výše uvedeného se do opatrovnické agendy započítávají také věci tzv. </w:t>
      </w:r>
      <w:r w:rsidRPr="001C3EC8">
        <w:rPr>
          <w:i/>
          <w:color w:val="000000" w:themeColor="text1"/>
        </w:rPr>
        <w:t>detenčního řízení</w:t>
      </w:r>
      <w:r w:rsidRPr="001C3EC8">
        <w:rPr>
          <w:color w:val="000000" w:themeColor="text1"/>
        </w:rPr>
        <w:t>, tedy řízení ve věcech vyslovení přípustnosti převzetí nebo držení ve zdravotním ústavu (rejstřík L). Vzhledem k omezenému rozsahu detenční agendy se jí tato zpráva nezabývá.</w:t>
      </w:r>
    </w:p>
    <w:p w14:paraId="1EB501EF" w14:textId="4B957A8C"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První instance (prvoinstanční agenda) </w:t>
      </w:r>
      <w:r w:rsidRPr="001C3EC8">
        <w:rPr>
          <w:color w:val="000000" w:themeColor="text1"/>
        </w:rPr>
        <w:t xml:space="preserve">– také soud </w:t>
      </w:r>
      <w:r w:rsidR="000C3B1E">
        <w:rPr>
          <w:color w:val="000000" w:themeColor="text1"/>
        </w:rPr>
        <w:t>I. stupně</w:t>
      </w:r>
      <w:r w:rsidRPr="001C3EC8">
        <w:rPr>
          <w:color w:val="000000" w:themeColor="text1"/>
        </w:rPr>
        <w:t xml:space="preserve"> (prvostupňová agenda). Okresní soudy jsou soudy první instance vždy, není-li k tomu podle předpisů upravujících soudní řízení u</w:t>
      </w:r>
      <w:r w:rsidR="000B514E">
        <w:rPr>
          <w:color w:val="000000" w:themeColor="text1"/>
        </w:rPr>
        <w:t>r</w:t>
      </w:r>
      <w:r w:rsidRPr="001C3EC8">
        <w:rPr>
          <w:color w:val="000000" w:themeColor="text1"/>
        </w:rPr>
        <w:t>čen jiný článek soudní soustavy. Takovým jiným článkem jsou zpravidla krajské soudy. Existuje však velmi malý okruh věcí, kdy jako prvoinstanční soud působí soudy vrchní nebo nejvyšší (Nejvyšší soud a Nejvyšší správní soud).</w:t>
      </w:r>
    </w:p>
    <w:p w14:paraId="2117FF80" w14:textId="162F0691"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Přísedící soudu </w:t>
      </w:r>
      <w:r w:rsidRPr="001C3EC8">
        <w:rPr>
          <w:color w:val="000000" w:themeColor="text1"/>
        </w:rPr>
        <w:t xml:space="preserve">– laické osoby (nejedná se odborně vzdělané soudce), které jsou vedle předsedy členy soudního senátu. Jejich role </w:t>
      </w:r>
      <w:r w:rsidR="000C3B1E" w:rsidRPr="001C3EC8">
        <w:rPr>
          <w:color w:val="000000" w:themeColor="text1"/>
        </w:rPr>
        <w:t>v</w:t>
      </w:r>
      <w:r w:rsidR="000C3B1E">
        <w:rPr>
          <w:color w:val="000000" w:themeColor="text1"/>
        </w:rPr>
        <w:t> </w:t>
      </w:r>
      <w:r w:rsidRPr="001C3EC8">
        <w:rPr>
          <w:color w:val="000000" w:themeColor="text1"/>
        </w:rPr>
        <w:t xml:space="preserve">rozhodovací činnosti soudu spočívá v přítomnosti na zasedáních některých tříčlenných soudních senátů, přičemž vždy dva přísedící doplňuje jeden profesionální soudce. Ten je předsedou daného senátu, ale při poradě </w:t>
      </w:r>
      <w:r w:rsidR="000C3B1E" w:rsidRPr="001C3EC8">
        <w:rPr>
          <w:color w:val="000000" w:themeColor="text1"/>
        </w:rPr>
        <w:t>o</w:t>
      </w:r>
      <w:r w:rsidR="000C3B1E">
        <w:rPr>
          <w:color w:val="000000" w:themeColor="text1"/>
        </w:rPr>
        <w:t> </w:t>
      </w:r>
      <w:r w:rsidRPr="001C3EC8">
        <w:rPr>
          <w:color w:val="000000" w:themeColor="text1"/>
        </w:rPr>
        <w:t>rozsudku ho mohou přísedící přehlasovat, neboť platí rovnost hlasů [více viz zákon č. 6/2002 Sb., o soudech, soudcích, přísedících a státní správě soudů a o změně některých dalších zákonů (zákon o soudech a soudcích), ve znění pozdějších předpisů].</w:t>
      </w:r>
    </w:p>
    <w:p w14:paraId="30B18487"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Rejstřík </w:t>
      </w:r>
      <w:r w:rsidRPr="001C3EC8">
        <w:rPr>
          <w:color w:val="000000" w:themeColor="text1"/>
        </w:rPr>
        <w:t>– je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14:paraId="2535FD45"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Rozkazní řízení </w:t>
      </w:r>
      <w:r w:rsidRPr="001C3EC8">
        <w:rPr>
          <w:color w:val="000000" w:themeColor="text1"/>
        </w:rPr>
        <w:t>– jedná se o civilní řízení ve zkrácené formě, jehož cílem je skončení věcí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14:paraId="23420BD2"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Skutková podstata trestného činu </w:t>
      </w:r>
      <w:r w:rsidRPr="001C3EC8">
        <w:rPr>
          <w:color w:val="000000" w:themeColor="text1"/>
        </w:rPr>
        <w:t>– souhrn typových znaků uvedených v trestním zákoníku, podle kterých se rozlišují jednotlivé druhy trestných činů (vražda, loupež, krádež, podvod atd.).</w:t>
      </w:r>
    </w:p>
    <w:p w14:paraId="37CC4344" w14:textId="6295D903" w:rsidR="008430BD" w:rsidRPr="001C3EC8" w:rsidRDefault="008430BD" w:rsidP="008430BD">
      <w:pPr>
        <w:pStyle w:val="Odstavecseseznamem"/>
        <w:numPr>
          <w:ilvl w:val="0"/>
          <w:numId w:val="4"/>
        </w:numPr>
        <w:rPr>
          <w:b/>
          <w:color w:val="000000" w:themeColor="text1"/>
        </w:rPr>
      </w:pPr>
      <w:r w:rsidRPr="001C3EC8">
        <w:rPr>
          <w:b/>
          <w:color w:val="000000" w:themeColor="text1"/>
        </w:rPr>
        <w:t>Soudní obvod (okresního, krajského a vrchního soudu)</w:t>
      </w:r>
      <w:r w:rsidRPr="001C3EC8">
        <w:rPr>
          <w:color w:val="000000" w:themeColor="text1"/>
        </w:rPr>
        <w:t xml:space="preserve"> – územní působnost jednotlivých soudů, včetně názvu a umístění sídla, stanovuje zákon č. 6/2002 Sb., o soudech, soudcích, přísedících a státní správě soudů a </w:t>
      </w:r>
      <w:r w:rsidR="000C3B1E" w:rsidRPr="001C3EC8">
        <w:rPr>
          <w:color w:val="000000" w:themeColor="text1"/>
        </w:rPr>
        <w:t>o</w:t>
      </w:r>
      <w:r w:rsidR="000C3B1E">
        <w:rPr>
          <w:color w:val="000000" w:themeColor="text1"/>
        </w:rPr>
        <w:t> </w:t>
      </w:r>
      <w:r w:rsidRPr="001C3EC8">
        <w:rPr>
          <w:color w:val="000000" w:themeColor="text1"/>
        </w:rPr>
        <w:t xml:space="preserve">změně některých dalších zákonů (zákon o soudech a soudcích), ve znění pozdějších předpisů. Obvod okresního soudu (soudní okres) je vymezen územním výčtem obcí, které jej tvoří (u obvodního soudu územím městských částí hlavního města Prahy). Obvod krajského soudu (soudní kraj) se </w:t>
      </w:r>
      <w:r w:rsidRPr="001C3EC8">
        <w:rPr>
          <w:color w:val="000000" w:themeColor="text1"/>
        </w:rPr>
        <w:lastRenderedPageBreak/>
        <w:t>skládá z obvodu okresních soudů, kterým je nadřízeným soudem, a obvod vrchního soudu z obvodů krajských soudů, kterým je nadřízeným soudem.</w:t>
      </w:r>
    </w:p>
    <w:p w14:paraId="323D6896"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Správní </w:t>
      </w:r>
      <w:r w:rsidRPr="001C3EC8">
        <w:rPr>
          <w:color w:val="000000" w:themeColor="text1"/>
        </w:rPr>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14:paraId="78E21702"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Stížnost pro porušení zákona </w:t>
      </w:r>
      <w:r w:rsidRPr="001C3EC8">
        <w:rPr>
          <w:color w:val="000000" w:themeColor="text1"/>
        </w:rPr>
        <w:t xml:space="preserve">– mimořádný opravný prostředek,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w:t>
      </w:r>
      <w:proofErr w:type="spellStart"/>
      <w:r w:rsidRPr="001C3EC8">
        <w:rPr>
          <w:color w:val="000000" w:themeColor="text1"/>
        </w:rPr>
        <w:t>ust</w:t>
      </w:r>
      <w:proofErr w:type="spellEnd"/>
      <w:r w:rsidRPr="001C3EC8">
        <w:rPr>
          <w:color w:val="000000" w:themeColor="text1"/>
        </w:rPr>
        <w:t xml:space="preserve">. § 266 a násl. </w:t>
      </w:r>
      <w:proofErr w:type="spellStart"/>
      <w:r w:rsidRPr="001C3EC8">
        <w:rPr>
          <w:color w:val="000000" w:themeColor="text1"/>
        </w:rPr>
        <w:t>tr</w:t>
      </w:r>
      <w:proofErr w:type="spellEnd"/>
      <w:r w:rsidRPr="001C3EC8">
        <w:rPr>
          <w:color w:val="000000" w:themeColor="text1"/>
        </w:rPr>
        <w:t>. řádu).</w:t>
      </w:r>
    </w:p>
    <w:p w14:paraId="1499A3BC"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Systemizace a její výpočet </w:t>
      </w:r>
      <w:r w:rsidRPr="001C3EC8">
        <w:rPr>
          <w:color w:val="000000" w:themeColor="text1"/>
        </w:rPr>
        <w:t xml:space="preserve">– </w:t>
      </w:r>
      <w:r w:rsidRPr="001C3EC8">
        <w:rPr>
          <w:color w:val="000000" w:themeColor="text1"/>
          <w:lang w:eastAsia="cs-CZ"/>
        </w:rPr>
        <w:t>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jehož prostředky v současné době postačují pro 3 063 soudců. Samotná systemizace spočívá ve stanovení plánovaného počtu soudců pro jednotlivé kraje na základě výše popsaného výpočtu. Pro vyšší soudy je systemizace určena na základě dohody, nikoliv na základě výpočtu. Z výše uvedeného plyne, že systemizace neslouží k určování celorepublikové potřeby soudců, ale k přerozdělování předem stanoveného počtu soudců mezi soudy s ohledem na relativní změny v nápadu</w:t>
      </w:r>
      <w:r w:rsidRPr="001C3EC8">
        <w:rPr>
          <w:color w:val="000000" w:themeColor="text1"/>
        </w:rPr>
        <w:t>.</w:t>
      </w:r>
    </w:p>
    <w:p w14:paraId="652B2E73"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Trestní </w:t>
      </w:r>
      <w:r w:rsidRPr="001C3EC8">
        <w:rPr>
          <w:color w:val="000000" w:themeColor="text1"/>
        </w:rPr>
        <w:t>– (agenda, řízení, úsek). Hlavním těžištěm trestního řízení je náležité zjištění trestných činů a spravedlivé potrestání jejich pachatelů v souladu se zákonem.</w:t>
      </w:r>
    </w:p>
    <w:p w14:paraId="44A1D2BC" w14:textId="5BA7129E" w:rsidR="008430BD" w:rsidRPr="001C3EC8" w:rsidRDefault="000C3B1E" w:rsidP="008430BD">
      <w:pPr>
        <w:pStyle w:val="Odstavecseseznamem"/>
        <w:rPr>
          <w:color w:val="000000" w:themeColor="text1"/>
        </w:rPr>
      </w:pPr>
      <w:r w:rsidRPr="001C3EC8">
        <w:rPr>
          <w:noProof/>
          <w:color w:val="000000" w:themeColor="text1"/>
          <w:lang w:eastAsia="cs-CZ"/>
        </w:rPr>
        <w:drawing>
          <wp:anchor distT="0" distB="0" distL="114300" distR="114300" simplePos="0" relativeHeight="251659264" behindDoc="0" locked="0" layoutInCell="1" allowOverlap="1" wp14:anchorId="3E44A191" wp14:editId="169B0D53">
            <wp:simplePos x="0" y="0"/>
            <wp:positionH relativeFrom="column">
              <wp:posOffset>474041</wp:posOffset>
            </wp:positionH>
            <wp:positionV relativeFrom="paragraph">
              <wp:posOffset>986790</wp:posOffset>
            </wp:positionV>
            <wp:extent cx="4964430" cy="1518920"/>
            <wp:effectExtent l="0" t="0" r="7620" b="5080"/>
            <wp:wrapTopAndBottom/>
            <wp:docPr id="1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0BD" w:rsidRPr="001C3EC8">
        <w:rPr>
          <w:color w:val="000000" w:themeColor="text1"/>
        </w:rPr>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14:paraId="0F1E51CA" w14:textId="1BE92E6F" w:rsidR="008430BD" w:rsidRPr="001C3EC8" w:rsidRDefault="008430BD" w:rsidP="008430BD">
      <w:pPr>
        <w:pStyle w:val="Odstavecseseznamem"/>
        <w:rPr>
          <w:color w:val="000000" w:themeColor="text1"/>
        </w:rPr>
      </w:pPr>
      <w:r w:rsidRPr="001C3EC8">
        <w:rPr>
          <w:color w:val="000000" w:themeColor="text1"/>
        </w:rPr>
        <w:t>Trestní věc nemusí projít všemi stádii, zejména může být rozhodnuta již v přípravném řízení, což znamená, že hlavní líčení se nebude vůbec konat. Obdobně skončí-li věc ve prospěch obžalovaného, není důvodu pro konání vykonávacího řízení, neboť rozsudkem nebyla uložena sankce (trest, ochranné opatření).</w:t>
      </w:r>
    </w:p>
    <w:p w14:paraId="19345D8B" w14:textId="77777777" w:rsidR="008430BD" w:rsidRPr="001C3EC8" w:rsidRDefault="008430BD" w:rsidP="008430BD">
      <w:pPr>
        <w:pStyle w:val="Odstavecseseznamem"/>
        <w:rPr>
          <w:color w:val="000000" w:themeColor="text1"/>
        </w:rPr>
      </w:pPr>
      <w:r w:rsidRPr="001C3EC8">
        <w:rPr>
          <w:color w:val="000000" w:themeColor="text1"/>
        </w:rPr>
        <w:t xml:space="preserve">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w:t>
      </w:r>
      <w:r w:rsidRPr="001C3EC8">
        <w:rPr>
          <w:color w:val="000000" w:themeColor="text1"/>
        </w:rPr>
        <w:lastRenderedPageBreak/>
        <w:t>věcem spadajícím do řízení před soudem a zapisovaným do rejstříků T a </w:t>
      </w:r>
      <w:proofErr w:type="spellStart"/>
      <w:r w:rsidRPr="001C3EC8">
        <w:rPr>
          <w:color w:val="000000" w:themeColor="text1"/>
        </w:rPr>
        <w:t>Tm</w:t>
      </w:r>
      <w:proofErr w:type="spellEnd"/>
      <w:r w:rsidRPr="001C3EC8">
        <w:rPr>
          <w:color w:val="000000" w:themeColor="text1"/>
        </w:rPr>
        <w:t xml:space="preserve"> u prvostupňového soudu a do rejstříků To a Tmo odvolacího soudu.</w:t>
      </w:r>
    </w:p>
    <w:p w14:paraId="08F568F4"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Vrchní soudy (VS) </w:t>
      </w:r>
      <w:r w:rsidRPr="001C3EC8">
        <w:rPr>
          <w:color w:val="000000" w:themeColor="text1"/>
        </w:rPr>
        <w:t>– jsou třetím článkem soudní soustavy tvořeným dvěma soudy se sídlem v Praze a v Olomouci.</w:t>
      </w:r>
    </w:p>
    <w:p w14:paraId="49C808BF" w14:textId="742B7824"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Zaměstnanec ve výkonu </w:t>
      </w:r>
      <w:r w:rsidRPr="001C3EC8">
        <w:rPr>
          <w:color w:val="000000" w:themeColor="text1"/>
        </w:rPr>
        <w:t>– jedná se o zaměstnance soudu, který není soudcem, ale bezprostředně se podílí na vyřizování soudní agendy a výkonu soudnictví. Zaměstnance lze roztřídit do několika kategorií podle druhu práce, kterou vykonávají. Bližší popis je uveden v</w:t>
      </w:r>
      <w:r w:rsidR="000C3B1E">
        <w:rPr>
          <w:color w:val="000000" w:themeColor="text1"/>
        </w:rPr>
        <w:t> </w:t>
      </w:r>
      <w:r w:rsidRPr="001C3EC8">
        <w:rPr>
          <w:color w:val="000000" w:themeColor="text1"/>
        </w:rPr>
        <w:t>podkapitole</w:t>
      </w:r>
      <w:r w:rsidR="000C3B1E">
        <w:rPr>
          <w:color w:val="000000" w:themeColor="text1"/>
        </w:rPr>
        <w:t> </w:t>
      </w:r>
      <w:r w:rsidRPr="001C3EC8">
        <w:rPr>
          <w:color w:val="000000" w:themeColor="text1"/>
        </w:rPr>
        <w:t>2.1.2.</w:t>
      </w:r>
    </w:p>
    <w:p w14:paraId="1A045265"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Zaměstnanec ve správě </w:t>
      </w:r>
      <w:r w:rsidRPr="001C3EC8">
        <w:rPr>
          <w:color w:val="000000" w:themeColor="text1"/>
        </w:rPr>
        <w:t>– zajišťuje provoz soudu, což zahrnuje velkou škálu funkcí. Celou správu soudu řídí ředitel správy. Dalšími zaměstnanci ve správě jsou například pracovníci sekretariátu, dozorčí úředníci, účetní, ekonomové, informatici nebo řidiči. Celkem je rozlišováno 40 kategorií zaměstnanců ve správě.</w:t>
      </w:r>
    </w:p>
    <w:p w14:paraId="32D9995A" w14:textId="77777777" w:rsidR="008430BD" w:rsidRPr="001C3EC8" w:rsidRDefault="008430BD" w:rsidP="008430BD">
      <w:pPr>
        <w:pStyle w:val="Odstavecseseznamem"/>
        <w:numPr>
          <w:ilvl w:val="0"/>
          <w:numId w:val="4"/>
        </w:numPr>
        <w:rPr>
          <w:color w:val="000000" w:themeColor="text1"/>
        </w:rPr>
      </w:pPr>
      <w:r w:rsidRPr="001C3EC8">
        <w:rPr>
          <w:b/>
          <w:color w:val="000000" w:themeColor="text1"/>
        </w:rPr>
        <w:t xml:space="preserve">Zkrácené přípravné řízení </w:t>
      </w:r>
      <w:r w:rsidRPr="001C3EC8">
        <w:rPr>
          <w:color w:val="000000" w:themeColor="text1"/>
        </w:rPr>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14:paraId="60DCCF0F" w14:textId="77777777" w:rsidR="008430BD" w:rsidRPr="001C3EC8" w:rsidRDefault="008430BD" w:rsidP="008430BD">
      <w:pPr>
        <w:spacing w:line="240" w:lineRule="auto"/>
        <w:jc w:val="left"/>
        <w:rPr>
          <w:color w:val="000000" w:themeColor="text1"/>
        </w:rPr>
      </w:pPr>
      <w:r w:rsidRPr="001C3EC8">
        <w:rPr>
          <w:color w:val="000000" w:themeColor="text1"/>
        </w:rPr>
        <w:br w:type="page"/>
      </w:r>
    </w:p>
    <w:p w14:paraId="12006997" w14:textId="77777777" w:rsidR="008430BD" w:rsidRPr="001C3EC8" w:rsidRDefault="008430BD" w:rsidP="008430BD">
      <w:pPr>
        <w:pStyle w:val="Nadpis2"/>
        <w:ind w:left="578" w:hanging="578"/>
      </w:pPr>
      <w:bookmarkStart w:id="940" w:name="_Ref482901972"/>
      <w:bookmarkStart w:id="941" w:name="_Toc487791320"/>
      <w:bookmarkStart w:id="942" w:name="_Toc75952174"/>
      <w:r w:rsidRPr="001C3EC8">
        <w:lastRenderedPageBreak/>
        <w:t>Příloha B – seznam zkr. soudních okresů a soudních obvodů hl. m. Prahy</w:t>
      </w:r>
      <w:bookmarkEnd w:id="940"/>
      <w:bookmarkEnd w:id="941"/>
      <w:bookmarkEnd w:id="942"/>
    </w:p>
    <w:p w14:paraId="34DF71FD" w14:textId="77777777" w:rsidR="008430BD" w:rsidRPr="001C3EC8" w:rsidRDefault="008430BD" w:rsidP="008430BD">
      <w:pPr>
        <w:rPr>
          <w:color w:val="000000" w:themeColor="text1"/>
        </w:rPr>
      </w:pPr>
    </w:p>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8430BD" w:rsidRPr="001C3EC8" w14:paraId="314081C2" w14:textId="77777777" w:rsidTr="00E077F3">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7B24D039" w14:textId="77777777" w:rsidR="008430BD" w:rsidRPr="001C3EC8" w:rsidRDefault="008430BD" w:rsidP="00E077F3">
            <w:pPr>
              <w:spacing w:line="240" w:lineRule="auto"/>
              <w:jc w:val="left"/>
              <w:rPr>
                <w:b/>
                <w:color w:val="000000" w:themeColor="text1"/>
              </w:rPr>
            </w:pPr>
            <w:r w:rsidRPr="001C3EC8">
              <w:rPr>
                <w:b/>
                <w:color w:val="000000" w:themeColor="text1"/>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E550854" w14:textId="77777777" w:rsidR="008430BD" w:rsidRPr="001C3EC8" w:rsidRDefault="008430BD" w:rsidP="00E077F3">
            <w:pPr>
              <w:spacing w:line="240" w:lineRule="auto"/>
              <w:jc w:val="left"/>
              <w:rPr>
                <w:b/>
                <w:color w:val="000000" w:themeColor="text1"/>
              </w:rPr>
            </w:pPr>
            <w:r w:rsidRPr="001C3EC8">
              <w:rPr>
                <w:b/>
                <w:color w:val="000000" w:themeColor="text1"/>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F2D4E77" w14:textId="77777777" w:rsidR="008430BD" w:rsidRPr="001C3EC8" w:rsidRDefault="008430BD" w:rsidP="00E077F3">
            <w:pPr>
              <w:spacing w:line="240" w:lineRule="auto"/>
              <w:jc w:val="left"/>
              <w:rPr>
                <w:b/>
                <w:color w:val="000000" w:themeColor="text1"/>
              </w:rPr>
            </w:pPr>
            <w:r w:rsidRPr="001C3EC8">
              <w:rPr>
                <w:b/>
                <w:color w:val="000000" w:themeColor="text1"/>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7827FDCC" w14:textId="77777777" w:rsidR="008430BD" w:rsidRPr="001C3EC8" w:rsidRDefault="008430BD" w:rsidP="00E077F3">
            <w:pPr>
              <w:spacing w:line="240" w:lineRule="auto"/>
              <w:jc w:val="left"/>
              <w:rPr>
                <w:b/>
                <w:color w:val="000000" w:themeColor="text1"/>
              </w:rPr>
            </w:pPr>
            <w:r w:rsidRPr="001C3EC8">
              <w:rPr>
                <w:b/>
                <w:color w:val="000000" w:themeColor="text1"/>
              </w:rPr>
              <w:t>Zkratka</w:t>
            </w:r>
          </w:p>
        </w:tc>
      </w:tr>
      <w:tr w:rsidR="008430BD" w:rsidRPr="001C3EC8" w14:paraId="49F82F64"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2BEB2B1" w14:textId="77777777" w:rsidR="008430BD" w:rsidRPr="001C3EC8" w:rsidRDefault="008430BD" w:rsidP="00E077F3">
            <w:pPr>
              <w:spacing w:line="240" w:lineRule="auto"/>
              <w:jc w:val="left"/>
              <w:rPr>
                <w:color w:val="000000" w:themeColor="text1"/>
              </w:rPr>
            </w:pPr>
            <w:r w:rsidRPr="001C3EC8">
              <w:rPr>
                <w:color w:val="000000" w:themeColor="text1"/>
              </w:rPr>
              <w:t>Benešov</w:t>
            </w:r>
          </w:p>
        </w:tc>
        <w:tc>
          <w:tcPr>
            <w:tcW w:w="1060" w:type="dxa"/>
            <w:tcBorders>
              <w:top w:val="nil"/>
              <w:left w:val="nil"/>
              <w:bottom w:val="single" w:sz="4" w:space="0" w:color="auto"/>
              <w:right w:val="single" w:sz="4" w:space="0" w:color="auto"/>
            </w:tcBorders>
            <w:shd w:val="clear" w:color="auto" w:fill="auto"/>
            <w:noWrap/>
            <w:vAlign w:val="bottom"/>
            <w:hideMark/>
          </w:tcPr>
          <w:p w14:paraId="38D9E128" w14:textId="77777777" w:rsidR="008430BD" w:rsidRPr="001C3EC8" w:rsidRDefault="008430BD" w:rsidP="00E077F3">
            <w:pPr>
              <w:spacing w:line="240" w:lineRule="auto"/>
              <w:jc w:val="center"/>
              <w:rPr>
                <w:color w:val="000000" w:themeColor="text1"/>
              </w:rPr>
            </w:pPr>
            <w:r w:rsidRPr="001C3EC8">
              <w:rPr>
                <w:color w:val="000000" w:themeColor="text1"/>
              </w:rPr>
              <w:t>BN</w:t>
            </w:r>
          </w:p>
        </w:tc>
        <w:tc>
          <w:tcPr>
            <w:tcW w:w="2320" w:type="dxa"/>
            <w:tcBorders>
              <w:top w:val="nil"/>
              <w:left w:val="nil"/>
              <w:bottom w:val="single" w:sz="4" w:space="0" w:color="auto"/>
              <w:right w:val="nil"/>
            </w:tcBorders>
            <w:shd w:val="clear" w:color="auto" w:fill="auto"/>
            <w:noWrap/>
            <w:vAlign w:val="bottom"/>
            <w:hideMark/>
          </w:tcPr>
          <w:p w14:paraId="199F7F7E" w14:textId="77777777" w:rsidR="008430BD" w:rsidRPr="001C3EC8" w:rsidRDefault="008430BD" w:rsidP="00E077F3">
            <w:pPr>
              <w:spacing w:line="240" w:lineRule="auto"/>
              <w:jc w:val="left"/>
              <w:rPr>
                <w:color w:val="000000" w:themeColor="text1"/>
              </w:rPr>
            </w:pPr>
            <w:r w:rsidRPr="001C3EC8">
              <w:rPr>
                <w:color w:val="000000" w:themeColor="text1"/>
              </w:rPr>
              <w:t>Pardubice</w:t>
            </w:r>
          </w:p>
        </w:tc>
        <w:tc>
          <w:tcPr>
            <w:tcW w:w="1060" w:type="dxa"/>
            <w:tcBorders>
              <w:top w:val="nil"/>
              <w:left w:val="nil"/>
              <w:bottom w:val="single" w:sz="4" w:space="0" w:color="auto"/>
              <w:right w:val="nil"/>
            </w:tcBorders>
            <w:shd w:val="clear" w:color="auto" w:fill="auto"/>
            <w:noWrap/>
            <w:vAlign w:val="bottom"/>
            <w:hideMark/>
          </w:tcPr>
          <w:p w14:paraId="16EAD4F3" w14:textId="77777777" w:rsidR="008430BD" w:rsidRPr="001C3EC8" w:rsidRDefault="008430BD" w:rsidP="00E077F3">
            <w:pPr>
              <w:spacing w:line="240" w:lineRule="auto"/>
              <w:jc w:val="center"/>
              <w:rPr>
                <w:color w:val="000000" w:themeColor="text1"/>
              </w:rPr>
            </w:pPr>
            <w:r w:rsidRPr="001C3EC8">
              <w:rPr>
                <w:color w:val="000000" w:themeColor="text1"/>
              </w:rPr>
              <w:t>PA</w:t>
            </w:r>
          </w:p>
        </w:tc>
      </w:tr>
      <w:tr w:rsidR="008430BD" w:rsidRPr="001C3EC8" w14:paraId="7BC44164"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13EE33F" w14:textId="77777777" w:rsidR="008430BD" w:rsidRPr="001C3EC8" w:rsidRDefault="008430BD" w:rsidP="00E077F3">
            <w:pPr>
              <w:spacing w:line="240" w:lineRule="auto"/>
              <w:jc w:val="left"/>
              <w:rPr>
                <w:color w:val="000000" w:themeColor="text1"/>
              </w:rPr>
            </w:pPr>
            <w:r w:rsidRPr="001C3EC8">
              <w:rPr>
                <w:color w:val="000000" w:themeColor="text1"/>
              </w:rPr>
              <w:t>Beroun</w:t>
            </w:r>
          </w:p>
        </w:tc>
        <w:tc>
          <w:tcPr>
            <w:tcW w:w="1060" w:type="dxa"/>
            <w:tcBorders>
              <w:top w:val="nil"/>
              <w:left w:val="nil"/>
              <w:bottom w:val="single" w:sz="4" w:space="0" w:color="auto"/>
              <w:right w:val="single" w:sz="4" w:space="0" w:color="auto"/>
            </w:tcBorders>
            <w:shd w:val="clear" w:color="auto" w:fill="auto"/>
            <w:noWrap/>
            <w:vAlign w:val="bottom"/>
            <w:hideMark/>
          </w:tcPr>
          <w:p w14:paraId="74A0D282" w14:textId="77777777" w:rsidR="008430BD" w:rsidRPr="001C3EC8" w:rsidRDefault="008430BD" w:rsidP="00E077F3">
            <w:pPr>
              <w:spacing w:line="240" w:lineRule="auto"/>
              <w:jc w:val="center"/>
              <w:rPr>
                <w:color w:val="000000" w:themeColor="text1"/>
              </w:rPr>
            </w:pPr>
            <w:r w:rsidRPr="001C3EC8">
              <w:rPr>
                <w:color w:val="000000" w:themeColor="text1"/>
              </w:rPr>
              <w:t>BE</w:t>
            </w:r>
          </w:p>
        </w:tc>
        <w:tc>
          <w:tcPr>
            <w:tcW w:w="2320" w:type="dxa"/>
            <w:tcBorders>
              <w:top w:val="nil"/>
              <w:left w:val="nil"/>
              <w:bottom w:val="single" w:sz="4" w:space="0" w:color="auto"/>
              <w:right w:val="nil"/>
            </w:tcBorders>
            <w:shd w:val="clear" w:color="auto" w:fill="auto"/>
            <w:noWrap/>
            <w:vAlign w:val="bottom"/>
            <w:hideMark/>
          </w:tcPr>
          <w:p w14:paraId="58B8B146" w14:textId="77777777" w:rsidR="008430BD" w:rsidRPr="001C3EC8" w:rsidRDefault="008430BD" w:rsidP="00E077F3">
            <w:pPr>
              <w:spacing w:line="240" w:lineRule="auto"/>
              <w:jc w:val="left"/>
              <w:rPr>
                <w:color w:val="000000" w:themeColor="text1"/>
              </w:rPr>
            </w:pPr>
            <w:r w:rsidRPr="001C3EC8">
              <w:rPr>
                <w:color w:val="000000" w:themeColor="text1"/>
              </w:rPr>
              <w:t>Pelhřimov</w:t>
            </w:r>
          </w:p>
        </w:tc>
        <w:tc>
          <w:tcPr>
            <w:tcW w:w="1060" w:type="dxa"/>
            <w:tcBorders>
              <w:top w:val="nil"/>
              <w:left w:val="nil"/>
              <w:bottom w:val="single" w:sz="4" w:space="0" w:color="auto"/>
              <w:right w:val="nil"/>
            </w:tcBorders>
            <w:shd w:val="clear" w:color="auto" w:fill="auto"/>
            <w:noWrap/>
            <w:vAlign w:val="bottom"/>
            <w:hideMark/>
          </w:tcPr>
          <w:p w14:paraId="4075A192" w14:textId="77777777" w:rsidR="008430BD" w:rsidRPr="001C3EC8" w:rsidRDefault="008430BD" w:rsidP="00E077F3">
            <w:pPr>
              <w:spacing w:line="240" w:lineRule="auto"/>
              <w:jc w:val="center"/>
              <w:rPr>
                <w:color w:val="000000" w:themeColor="text1"/>
              </w:rPr>
            </w:pPr>
            <w:r w:rsidRPr="001C3EC8">
              <w:rPr>
                <w:color w:val="000000" w:themeColor="text1"/>
              </w:rPr>
              <w:t>PE</w:t>
            </w:r>
          </w:p>
        </w:tc>
      </w:tr>
      <w:tr w:rsidR="008430BD" w:rsidRPr="001C3EC8" w14:paraId="15026DA1"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30D93FD" w14:textId="77777777" w:rsidR="008430BD" w:rsidRPr="001C3EC8" w:rsidRDefault="008430BD" w:rsidP="00E077F3">
            <w:pPr>
              <w:spacing w:line="240" w:lineRule="auto"/>
              <w:jc w:val="left"/>
              <w:rPr>
                <w:color w:val="000000" w:themeColor="text1"/>
              </w:rPr>
            </w:pPr>
            <w:r w:rsidRPr="001C3EC8">
              <w:rPr>
                <w:color w:val="000000" w:themeColor="text1"/>
              </w:rPr>
              <w:t>Blansko</w:t>
            </w:r>
          </w:p>
        </w:tc>
        <w:tc>
          <w:tcPr>
            <w:tcW w:w="1060" w:type="dxa"/>
            <w:tcBorders>
              <w:top w:val="nil"/>
              <w:left w:val="nil"/>
              <w:bottom w:val="single" w:sz="4" w:space="0" w:color="auto"/>
              <w:right w:val="single" w:sz="4" w:space="0" w:color="auto"/>
            </w:tcBorders>
            <w:shd w:val="clear" w:color="auto" w:fill="auto"/>
            <w:noWrap/>
            <w:vAlign w:val="bottom"/>
            <w:hideMark/>
          </w:tcPr>
          <w:p w14:paraId="2AF311BA" w14:textId="77777777" w:rsidR="008430BD" w:rsidRPr="001C3EC8" w:rsidRDefault="008430BD" w:rsidP="00E077F3">
            <w:pPr>
              <w:spacing w:line="240" w:lineRule="auto"/>
              <w:jc w:val="center"/>
              <w:rPr>
                <w:color w:val="000000" w:themeColor="text1"/>
              </w:rPr>
            </w:pPr>
            <w:r w:rsidRPr="001C3EC8">
              <w:rPr>
                <w:color w:val="000000" w:themeColor="text1"/>
              </w:rPr>
              <w:t>BK</w:t>
            </w:r>
          </w:p>
        </w:tc>
        <w:tc>
          <w:tcPr>
            <w:tcW w:w="2320" w:type="dxa"/>
            <w:tcBorders>
              <w:top w:val="nil"/>
              <w:left w:val="nil"/>
              <w:bottom w:val="single" w:sz="4" w:space="0" w:color="auto"/>
              <w:right w:val="nil"/>
            </w:tcBorders>
            <w:shd w:val="clear" w:color="auto" w:fill="auto"/>
            <w:noWrap/>
            <w:vAlign w:val="bottom"/>
            <w:hideMark/>
          </w:tcPr>
          <w:p w14:paraId="49FBC49E" w14:textId="77777777" w:rsidR="008430BD" w:rsidRPr="001C3EC8" w:rsidRDefault="008430BD" w:rsidP="00E077F3">
            <w:pPr>
              <w:spacing w:line="240" w:lineRule="auto"/>
              <w:jc w:val="left"/>
              <w:rPr>
                <w:color w:val="000000" w:themeColor="text1"/>
              </w:rPr>
            </w:pPr>
            <w:r w:rsidRPr="001C3EC8">
              <w:rPr>
                <w:color w:val="000000" w:themeColor="text1"/>
              </w:rPr>
              <w:t>Písek</w:t>
            </w:r>
          </w:p>
        </w:tc>
        <w:tc>
          <w:tcPr>
            <w:tcW w:w="1060" w:type="dxa"/>
            <w:tcBorders>
              <w:top w:val="nil"/>
              <w:left w:val="nil"/>
              <w:bottom w:val="single" w:sz="4" w:space="0" w:color="auto"/>
              <w:right w:val="nil"/>
            </w:tcBorders>
            <w:shd w:val="clear" w:color="auto" w:fill="auto"/>
            <w:noWrap/>
            <w:vAlign w:val="bottom"/>
            <w:hideMark/>
          </w:tcPr>
          <w:p w14:paraId="5AB2B624" w14:textId="77777777" w:rsidR="008430BD" w:rsidRPr="001C3EC8" w:rsidRDefault="008430BD" w:rsidP="00E077F3">
            <w:pPr>
              <w:spacing w:line="240" w:lineRule="auto"/>
              <w:jc w:val="center"/>
              <w:rPr>
                <w:color w:val="000000" w:themeColor="text1"/>
              </w:rPr>
            </w:pPr>
            <w:r w:rsidRPr="001C3EC8">
              <w:rPr>
                <w:color w:val="000000" w:themeColor="text1"/>
              </w:rPr>
              <w:t>PI</w:t>
            </w:r>
          </w:p>
        </w:tc>
      </w:tr>
      <w:tr w:rsidR="008430BD" w:rsidRPr="001C3EC8" w14:paraId="7096D6B2"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9347835" w14:textId="23372B5B" w:rsidR="008430BD" w:rsidRPr="001C3EC8" w:rsidRDefault="0053190F" w:rsidP="00E077F3">
            <w:pPr>
              <w:spacing w:line="240" w:lineRule="auto"/>
              <w:jc w:val="left"/>
              <w:rPr>
                <w:color w:val="000000" w:themeColor="text1"/>
              </w:rPr>
            </w:pPr>
            <w:r>
              <w:rPr>
                <w:color w:val="000000" w:themeColor="text1"/>
              </w:rPr>
              <w:t>Brno</w:t>
            </w:r>
            <w:r>
              <w:rPr>
                <w:color w:val="000000" w:themeColor="text1"/>
              </w:rPr>
              <w:noBreakHyphen/>
            </w:r>
            <w:r w:rsidR="008430BD" w:rsidRPr="001C3EC8">
              <w:rPr>
                <w:color w:val="000000" w:themeColor="text1"/>
              </w:rPr>
              <w:t>město</w:t>
            </w:r>
          </w:p>
        </w:tc>
        <w:tc>
          <w:tcPr>
            <w:tcW w:w="1060" w:type="dxa"/>
            <w:tcBorders>
              <w:top w:val="nil"/>
              <w:left w:val="nil"/>
              <w:bottom w:val="single" w:sz="4" w:space="0" w:color="auto"/>
              <w:right w:val="single" w:sz="4" w:space="0" w:color="auto"/>
            </w:tcBorders>
            <w:shd w:val="clear" w:color="auto" w:fill="auto"/>
            <w:noWrap/>
            <w:vAlign w:val="bottom"/>
            <w:hideMark/>
          </w:tcPr>
          <w:p w14:paraId="0CF43E02" w14:textId="77777777" w:rsidR="008430BD" w:rsidRPr="001C3EC8" w:rsidRDefault="008430BD" w:rsidP="00E077F3">
            <w:pPr>
              <w:spacing w:line="240" w:lineRule="auto"/>
              <w:jc w:val="center"/>
              <w:rPr>
                <w:color w:val="000000" w:themeColor="text1"/>
              </w:rPr>
            </w:pPr>
            <w:r w:rsidRPr="001C3EC8">
              <w:rPr>
                <w:color w:val="000000" w:themeColor="text1"/>
              </w:rPr>
              <w:t>BM</w:t>
            </w:r>
          </w:p>
        </w:tc>
        <w:tc>
          <w:tcPr>
            <w:tcW w:w="2320" w:type="dxa"/>
            <w:tcBorders>
              <w:top w:val="nil"/>
              <w:left w:val="nil"/>
              <w:bottom w:val="single" w:sz="4" w:space="0" w:color="auto"/>
              <w:right w:val="nil"/>
            </w:tcBorders>
            <w:shd w:val="clear" w:color="auto" w:fill="auto"/>
            <w:noWrap/>
            <w:vAlign w:val="bottom"/>
            <w:hideMark/>
          </w:tcPr>
          <w:p w14:paraId="10FB8169" w14:textId="53B83066" w:rsidR="008430BD" w:rsidRPr="001C3EC8" w:rsidRDefault="0053190F" w:rsidP="00E077F3">
            <w:pPr>
              <w:spacing w:line="240" w:lineRule="auto"/>
              <w:jc w:val="left"/>
              <w:rPr>
                <w:color w:val="000000" w:themeColor="text1"/>
              </w:rPr>
            </w:pPr>
            <w:r>
              <w:rPr>
                <w:color w:val="000000" w:themeColor="text1"/>
              </w:rPr>
              <w:t>Plzeň</w:t>
            </w:r>
            <w:r>
              <w:rPr>
                <w:color w:val="000000" w:themeColor="text1"/>
              </w:rPr>
              <w:noBreakHyphen/>
            </w:r>
            <w:r w:rsidR="008430BD" w:rsidRPr="001C3EC8">
              <w:rPr>
                <w:color w:val="000000" w:themeColor="text1"/>
              </w:rPr>
              <w:t>jih</w:t>
            </w:r>
          </w:p>
        </w:tc>
        <w:tc>
          <w:tcPr>
            <w:tcW w:w="1060" w:type="dxa"/>
            <w:tcBorders>
              <w:top w:val="nil"/>
              <w:left w:val="nil"/>
              <w:bottom w:val="single" w:sz="4" w:space="0" w:color="auto"/>
              <w:right w:val="nil"/>
            </w:tcBorders>
            <w:shd w:val="clear" w:color="auto" w:fill="auto"/>
            <w:noWrap/>
            <w:vAlign w:val="bottom"/>
            <w:hideMark/>
          </w:tcPr>
          <w:p w14:paraId="1BA052D8" w14:textId="77777777" w:rsidR="008430BD" w:rsidRPr="001C3EC8" w:rsidRDefault="008430BD" w:rsidP="00E077F3">
            <w:pPr>
              <w:spacing w:line="240" w:lineRule="auto"/>
              <w:jc w:val="center"/>
              <w:rPr>
                <w:color w:val="000000" w:themeColor="text1"/>
              </w:rPr>
            </w:pPr>
            <w:r w:rsidRPr="001C3EC8">
              <w:rPr>
                <w:color w:val="000000" w:themeColor="text1"/>
              </w:rPr>
              <w:t>PJ</w:t>
            </w:r>
          </w:p>
        </w:tc>
      </w:tr>
      <w:tr w:rsidR="008430BD" w:rsidRPr="001C3EC8" w14:paraId="0711009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5B76DA3" w14:textId="53BCCC79" w:rsidR="008430BD" w:rsidRPr="001C3EC8" w:rsidRDefault="0053190F" w:rsidP="00E077F3">
            <w:pPr>
              <w:spacing w:line="240" w:lineRule="auto"/>
              <w:jc w:val="left"/>
              <w:rPr>
                <w:color w:val="000000" w:themeColor="text1"/>
              </w:rPr>
            </w:pPr>
            <w:r>
              <w:rPr>
                <w:color w:val="000000" w:themeColor="text1"/>
              </w:rPr>
              <w:t>Brno</w:t>
            </w:r>
            <w:r>
              <w:rPr>
                <w:color w:val="000000" w:themeColor="text1"/>
              </w:rPr>
              <w:noBreakHyphen/>
            </w:r>
            <w:r w:rsidR="008430BD" w:rsidRPr="001C3EC8">
              <w:rPr>
                <w:color w:val="000000" w:themeColor="text1"/>
              </w:rPr>
              <w:t>venkov</w:t>
            </w:r>
          </w:p>
        </w:tc>
        <w:tc>
          <w:tcPr>
            <w:tcW w:w="1060" w:type="dxa"/>
            <w:tcBorders>
              <w:top w:val="nil"/>
              <w:left w:val="nil"/>
              <w:bottom w:val="single" w:sz="4" w:space="0" w:color="auto"/>
              <w:right w:val="single" w:sz="4" w:space="0" w:color="auto"/>
            </w:tcBorders>
            <w:shd w:val="clear" w:color="auto" w:fill="auto"/>
            <w:noWrap/>
            <w:vAlign w:val="bottom"/>
            <w:hideMark/>
          </w:tcPr>
          <w:p w14:paraId="48F5F389" w14:textId="77777777" w:rsidR="008430BD" w:rsidRPr="001C3EC8" w:rsidRDefault="008430BD" w:rsidP="00E077F3">
            <w:pPr>
              <w:spacing w:line="240" w:lineRule="auto"/>
              <w:jc w:val="center"/>
              <w:rPr>
                <w:color w:val="000000" w:themeColor="text1"/>
              </w:rPr>
            </w:pPr>
            <w:r w:rsidRPr="001C3EC8">
              <w:rPr>
                <w:color w:val="000000" w:themeColor="text1"/>
              </w:rPr>
              <w:t>BO</w:t>
            </w:r>
          </w:p>
        </w:tc>
        <w:tc>
          <w:tcPr>
            <w:tcW w:w="2320" w:type="dxa"/>
            <w:tcBorders>
              <w:top w:val="nil"/>
              <w:left w:val="nil"/>
              <w:bottom w:val="single" w:sz="4" w:space="0" w:color="auto"/>
              <w:right w:val="nil"/>
            </w:tcBorders>
            <w:shd w:val="clear" w:color="auto" w:fill="auto"/>
            <w:noWrap/>
            <w:vAlign w:val="bottom"/>
            <w:hideMark/>
          </w:tcPr>
          <w:p w14:paraId="1E8CA923" w14:textId="27FFD2AF" w:rsidR="008430BD" w:rsidRPr="001C3EC8" w:rsidRDefault="0053190F" w:rsidP="00E077F3">
            <w:pPr>
              <w:spacing w:line="240" w:lineRule="auto"/>
              <w:jc w:val="left"/>
              <w:rPr>
                <w:color w:val="000000" w:themeColor="text1"/>
              </w:rPr>
            </w:pPr>
            <w:r>
              <w:rPr>
                <w:color w:val="000000" w:themeColor="text1"/>
              </w:rPr>
              <w:t>Plzeň</w:t>
            </w:r>
            <w:r>
              <w:rPr>
                <w:color w:val="000000" w:themeColor="text1"/>
              </w:rPr>
              <w:noBreakHyphen/>
            </w:r>
            <w:r w:rsidR="008430BD" w:rsidRPr="001C3EC8">
              <w:rPr>
                <w:color w:val="000000" w:themeColor="text1"/>
              </w:rPr>
              <w:t>město</w:t>
            </w:r>
          </w:p>
        </w:tc>
        <w:tc>
          <w:tcPr>
            <w:tcW w:w="1060" w:type="dxa"/>
            <w:tcBorders>
              <w:top w:val="nil"/>
              <w:left w:val="nil"/>
              <w:bottom w:val="single" w:sz="4" w:space="0" w:color="auto"/>
              <w:right w:val="nil"/>
            </w:tcBorders>
            <w:shd w:val="clear" w:color="auto" w:fill="auto"/>
            <w:noWrap/>
            <w:vAlign w:val="bottom"/>
            <w:hideMark/>
          </w:tcPr>
          <w:p w14:paraId="15415971" w14:textId="77777777" w:rsidR="008430BD" w:rsidRPr="001C3EC8" w:rsidRDefault="008430BD" w:rsidP="00E077F3">
            <w:pPr>
              <w:spacing w:line="240" w:lineRule="auto"/>
              <w:jc w:val="center"/>
              <w:rPr>
                <w:color w:val="000000" w:themeColor="text1"/>
              </w:rPr>
            </w:pPr>
            <w:r w:rsidRPr="001C3EC8">
              <w:rPr>
                <w:color w:val="000000" w:themeColor="text1"/>
              </w:rPr>
              <w:t>PM</w:t>
            </w:r>
          </w:p>
        </w:tc>
      </w:tr>
      <w:tr w:rsidR="008430BD" w:rsidRPr="001C3EC8" w14:paraId="1AEFE0A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2509811" w14:textId="77777777" w:rsidR="008430BD" w:rsidRPr="001C3EC8" w:rsidRDefault="008430BD" w:rsidP="00E077F3">
            <w:pPr>
              <w:spacing w:line="240" w:lineRule="auto"/>
              <w:jc w:val="left"/>
              <w:rPr>
                <w:color w:val="000000" w:themeColor="text1"/>
              </w:rPr>
            </w:pPr>
            <w:r w:rsidRPr="001C3EC8">
              <w:rPr>
                <w:color w:val="000000" w:themeColor="text1"/>
              </w:rPr>
              <w:t>Bruntál</w:t>
            </w:r>
          </w:p>
        </w:tc>
        <w:tc>
          <w:tcPr>
            <w:tcW w:w="1060" w:type="dxa"/>
            <w:tcBorders>
              <w:top w:val="nil"/>
              <w:left w:val="nil"/>
              <w:bottom w:val="single" w:sz="4" w:space="0" w:color="auto"/>
              <w:right w:val="single" w:sz="4" w:space="0" w:color="auto"/>
            </w:tcBorders>
            <w:shd w:val="clear" w:color="auto" w:fill="auto"/>
            <w:noWrap/>
            <w:vAlign w:val="bottom"/>
            <w:hideMark/>
          </w:tcPr>
          <w:p w14:paraId="58E69DA4" w14:textId="77777777" w:rsidR="008430BD" w:rsidRPr="001C3EC8" w:rsidRDefault="008430BD" w:rsidP="00E077F3">
            <w:pPr>
              <w:spacing w:line="240" w:lineRule="auto"/>
              <w:jc w:val="center"/>
              <w:rPr>
                <w:color w:val="000000" w:themeColor="text1"/>
              </w:rPr>
            </w:pPr>
            <w:r w:rsidRPr="001C3EC8">
              <w:rPr>
                <w:color w:val="000000" w:themeColor="text1"/>
              </w:rPr>
              <w:t>BR</w:t>
            </w:r>
          </w:p>
        </w:tc>
        <w:tc>
          <w:tcPr>
            <w:tcW w:w="2320" w:type="dxa"/>
            <w:tcBorders>
              <w:top w:val="nil"/>
              <w:left w:val="nil"/>
              <w:bottom w:val="single" w:sz="4" w:space="0" w:color="auto"/>
              <w:right w:val="nil"/>
            </w:tcBorders>
            <w:shd w:val="clear" w:color="auto" w:fill="auto"/>
            <w:noWrap/>
            <w:vAlign w:val="bottom"/>
            <w:hideMark/>
          </w:tcPr>
          <w:p w14:paraId="223A71C6" w14:textId="3800E8F3" w:rsidR="008430BD" w:rsidRPr="001C3EC8" w:rsidRDefault="0053190F" w:rsidP="00E077F3">
            <w:pPr>
              <w:spacing w:line="240" w:lineRule="auto"/>
              <w:jc w:val="left"/>
              <w:rPr>
                <w:color w:val="000000" w:themeColor="text1"/>
              </w:rPr>
            </w:pPr>
            <w:r>
              <w:rPr>
                <w:color w:val="000000" w:themeColor="text1"/>
              </w:rPr>
              <w:t>Plzeň</w:t>
            </w:r>
            <w:r>
              <w:rPr>
                <w:color w:val="000000" w:themeColor="text1"/>
              </w:rPr>
              <w:noBreakHyphen/>
            </w:r>
            <w:r w:rsidR="008430BD" w:rsidRPr="001C3EC8">
              <w:rPr>
                <w:color w:val="000000" w:themeColor="text1"/>
              </w:rPr>
              <w:t>sever</w:t>
            </w:r>
          </w:p>
        </w:tc>
        <w:tc>
          <w:tcPr>
            <w:tcW w:w="1060" w:type="dxa"/>
            <w:tcBorders>
              <w:top w:val="nil"/>
              <w:left w:val="nil"/>
              <w:bottom w:val="single" w:sz="4" w:space="0" w:color="auto"/>
              <w:right w:val="nil"/>
            </w:tcBorders>
            <w:shd w:val="clear" w:color="auto" w:fill="auto"/>
            <w:noWrap/>
            <w:vAlign w:val="bottom"/>
            <w:hideMark/>
          </w:tcPr>
          <w:p w14:paraId="372B8090" w14:textId="77777777" w:rsidR="008430BD" w:rsidRPr="001C3EC8" w:rsidRDefault="008430BD" w:rsidP="00E077F3">
            <w:pPr>
              <w:spacing w:line="240" w:lineRule="auto"/>
              <w:jc w:val="center"/>
              <w:rPr>
                <w:color w:val="000000" w:themeColor="text1"/>
              </w:rPr>
            </w:pPr>
            <w:r w:rsidRPr="001C3EC8">
              <w:rPr>
                <w:color w:val="000000" w:themeColor="text1"/>
              </w:rPr>
              <w:t>PS</w:t>
            </w:r>
          </w:p>
        </w:tc>
      </w:tr>
      <w:tr w:rsidR="008430BD" w:rsidRPr="001C3EC8" w14:paraId="4C4171D7"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F8AB71D" w14:textId="77777777" w:rsidR="008430BD" w:rsidRPr="001C3EC8" w:rsidRDefault="008430BD" w:rsidP="00E077F3">
            <w:pPr>
              <w:spacing w:line="240" w:lineRule="auto"/>
              <w:jc w:val="left"/>
              <w:rPr>
                <w:color w:val="000000" w:themeColor="text1"/>
              </w:rPr>
            </w:pPr>
            <w:r w:rsidRPr="001C3EC8">
              <w:rPr>
                <w:color w:val="000000" w:themeColor="text1"/>
              </w:rPr>
              <w:t>Břeclav</w:t>
            </w:r>
          </w:p>
        </w:tc>
        <w:tc>
          <w:tcPr>
            <w:tcW w:w="1060" w:type="dxa"/>
            <w:tcBorders>
              <w:top w:val="nil"/>
              <w:left w:val="nil"/>
              <w:bottom w:val="single" w:sz="4" w:space="0" w:color="auto"/>
              <w:right w:val="single" w:sz="4" w:space="0" w:color="auto"/>
            </w:tcBorders>
            <w:shd w:val="clear" w:color="auto" w:fill="auto"/>
            <w:noWrap/>
            <w:vAlign w:val="bottom"/>
            <w:hideMark/>
          </w:tcPr>
          <w:p w14:paraId="079FE02E" w14:textId="77777777" w:rsidR="008430BD" w:rsidRPr="001C3EC8" w:rsidRDefault="008430BD" w:rsidP="00E077F3">
            <w:pPr>
              <w:spacing w:line="240" w:lineRule="auto"/>
              <w:jc w:val="center"/>
              <w:rPr>
                <w:color w:val="000000" w:themeColor="text1"/>
              </w:rPr>
            </w:pPr>
            <w:r w:rsidRPr="001C3EC8">
              <w:rPr>
                <w:color w:val="000000" w:themeColor="text1"/>
              </w:rPr>
              <w:t>BV</w:t>
            </w:r>
          </w:p>
        </w:tc>
        <w:tc>
          <w:tcPr>
            <w:tcW w:w="2320" w:type="dxa"/>
            <w:tcBorders>
              <w:top w:val="nil"/>
              <w:left w:val="nil"/>
              <w:bottom w:val="single" w:sz="4" w:space="0" w:color="auto"/>
              <w:right w:val="nil"/>
            </w:tcBorders>
            <w:shd w:val="clear" w:color="auto" w:fill="auto"/>
            <w:noWrap/>
            <w:vAlign w:val="bottom"/>
            <w:hideMark/>
          </w:tcPr>
          <w:p w14:paraId="1B67F5F1" w14:textId="77777777" w:rsidR="008430BD" w:rsidRPr="001C3EC8" w:rsidRDefault="008430BD" w:rsidP="00E077F3">
            <w:pPr>
              <w:spacing w:line="240" w:lineRule="auto"/>
              <w:jc w:val="left"/>
              <w:rPr>
                <w:color w:val="000000" w:themeColor="text1"/>
              </w:rPr>
            </w:pPr>
            <w:r w:rsidRPr="001C3EC8">
              <w:rPr>
                <w:color w:val="000000" w:themeColor="text1"/>
              </w:rPr>
              <w:t>Praha 1</w:t>
            </w:r>
          </w:p>
        </w:tc>
        <w:tc>
          <w:tcPr>
            <w:tcW w:w="1060" w:type="dxa"/>
            <w:tcBorders>
              <w:top w:val="nil"/>
              <w:left w:val="nil"/>
              <w:bottom w:val="single" w:sz="4" w:space="0" w:color="auto"/>
              <w:right w:val="nil"/>
            </w:tcBorders>
            <w:shd w:val="clear" w:color="auto" w:fill="auto"/>
            <w:noWrap/>
            <w:vAlign w:val="bottom"/>
            <w:hideMark/>
          </w:tcPr>
          <w:p w14:paraId="7E52DEFC" w14:textId="77777777" w:rsidR="008430BD" w:rsidRPr="001C3EC8" w:rsidRDefault="008430BD" w:rsidP="00E077F3">
            <w:pPr>
              <w:spacing w:line="240" w:lineRule="auto"/>
              <w:jc w:val="center"/>
              <w:rPr>
                <w:color w:val="000000" w:themeColor="text1"/>
              </w:rPr>
            </w:pPr>
            <w:r w:rsidRPr="001C3EC8">
              <w:rPr>
                <w:color w:val="000000" w:themeColor="text1"/>
              </w:rPr>
              <w:t>P 1</w:t>
            </w:r>
          </w:p>
        </w:tc>
      </w:tr>
      <w:tr w:rsidR="008430BD" w:rsidRPr="001C3EC8" w14:paraId="31D8ED05"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5B92E89" w14:textId="77777777" w:rsidR="008430BD" w:rsidRPr="001C3EC8" w:rsidRDefault="008430BD" w:rsidP="00E077F3">
            <w:pPr>
              <w:spacing w:line="240" w:lineRule="auto"/>
              <w:jc w:val="left"/>
              <w:rPr>
                <w:color w:val="000000" w:themeColor="text1"/>
              </w:rPr>
            </w:pPr>
            <w:r w:rsidRPr="001C3EC8">
              <w:rPr>
                <w:color w:val="000000" w:themeColor="text1"/>
              </w:rPr>
              <w:t>Česká Lípa</w:t>
            </w:r>
          </w:p>
        </w:tc>
        <w:tc>
          <w:tcPr>
            <w:tcW w:w="1060" w:type="dxa"/>
            <w:tcBorders>
              <w:top w:val="nil"/>
              <w:left w:val="nil"/>
              <w:bottom w:val="single" w:sz="4" w:space="0" w:color="auto"/>
              <w:right w:val="single" w:sz="4" w:space="0" w:color="auto"/>
            </w:tcBorders>
            <w:shd w:val="clear" w:color="auto" w:fill="auto"/>
            <w:noWrap/>
            <w:vAlign w:val="bottom"/>
            <w:hideMark/>
          </w:tcPr>
          <w:p w14:paraId="2C3AE0B0" w14:textId="77777777" w:rsidR="008430BD" w:rsidRPr="001C3EC8" w:rsidRDefault="008430BD" w:rsidP="00E077F3">
            <w:pPr>
              <w:spacing w:line="240" w:lineRule="auto"/>
              <w:jc w:val="center"/>
              <w:rPr>
                <w:color w:val="000000" w:themeColor="text1"/>
              </w:rPr>
            </w:pPr>
            <w:r w:rsidRPr="001C3EC8">
              <w:rPr>
                <w:color w:val="000000" w:themeColor="text1"/>
              </w:rPr>
              <w:t>CL</w:t>
            </w:r>
          </w:p>
        </w:tc>
        <w:tc>
          <w:tcPr>
            <w:tcW w:w="2320" w:type="dxa"/>
            <w:tcBorders>
              <w:top w:val="nil"/>
              <w:left w:val="nil"/>
              <w:bottom w:val="single" w:sz="4" w:space="0" w:color="auto"/>
              <w:right w:val="nil"/>
            </w:tcBorders>
            <w:shd w:val="clear" w:color="auto" w:fill="auto"/>
            <w:noWrap/>
            <w:vAlign w:val="bottom"/>
            <w:hideMark/>
          </w:tcPr>
          <w:p w14:paraId="69CA8C23"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2</w:t>
            </w:r>
          </w:p>
        </w:tc>
        <w:tc>
          <w:tcPr>
            <w:tcW w:w="1060" w:type="dxa"/>
            <w:tcBorders>
              <w:top w:val="nil"/>
              <w:left w:val="nil"/>
              <w:bottom w:val="single" w:sz="4" w:space="0" w:color="auto"/>
              <w:right w:val="nil"/>
            </w:tcBorders>
            <w:shd w:val="clear" w:color="auto" w:fill="auto"/>
            <w:noWrap/>
            <w:vAlign w:val="bottom"/>
            <w:hideMark/>
          </w:tcPr>
          <w:p w14:paraId="1A6F1081"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2</w:t>
            </w:r>
          </w:p>
        </w:tc>
      </w:tr>
      <w:tr w:rsidR="008430BD" w:rsidRPr="001C3EC8" w14:paraId="725E43B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A09AF95" w14:textId="77777777" w:rsidR="008430BD" w:rsidRPr="001C3EC8" w:rsidRDefault="008430BD" w:rsidP="00E077F3">
            <w:pPr>
              <w:spacing w:line="240" w:lineRule="auto"/>
              <w:jc w:val="left"/>
              <w:rPr>
                <w:color w:val="000000" w:themeColor="text1"/>
              </w:rPr>
            </w:pPr>
            <w:r w:rsidRPr="001C3EC8">
              <w:rPr>
                <w:color w:val="000000" w:themeColor="text1"/>
              </w:rPr>
              <w:t>České Budějovice</w:t>
            </w:r>
          </w:p>
        </w:tc>
        <w:tc>
          <w:tcPr>
            <w:tcW w:w="1060" w:type="dxa"/>
            <w:tcBorders>
              <w:top w:val="nil"/>
              <w:left w:val="nil"/>
              <w:bottom w:val="single" w:sz="4" w:space="0" w:color="auto"/>
              <w:right w:val="single" w:sz="4" w:space="0" w:color="auto"/>
            </w:tcBorders>
            <w:shd w:val="clear" w:color="auto" w:fill="auto"/>
            <w:noWrap/>
            <w:vAlign w:val="bottom"/>
            <w:hideMark/>
          </w:tcPr>
          <w:p w14:paraId="10A1CE02" w14:textId="77777777" w:rsidR="008430BD" w:rsidRPr="001C3EC8" w:rsidRDefault="008430BD" w:rsidP="00E077F3">
            <w:pPr>
              <w:spacing w:line="240" w:lineRule="auto"/>
              <w:jc w:val="center"/>
              <w:rPr>
                <w:color w:val="000000" w:themeColor="text1"/>
              </w:rPr>
            </w:pPr>
            <w:r w:rsidRPr="001C3EC8">
              <w:rPr>
                <w:color w:val="000000" w:themeColor="text1"/>
              </w:rPr>
              <w:t>CB</w:t>
            </w:r>
          </w:p>
        </w:tc>
        <w:tc>
          <w:tcPr>
            <w:tcW w:w="2320" w:type="dxa"/>
            <w:tcBorders>
              <w:top w:val="nil"/>
              <w:left w:val="nil"/>
              <w:bottom w:val="single" w:sz="4" w:space="0" w:color="auto"/>
              <w:right w:val="nil"/>
            </w:tcBorders>
            <w:shd w:val="clear" w:color="auto" w:fill="auto"/>
            <w:noWrap/>
            <w:vAlign w:val="bottom"/>
            <w:hideMark/>
          </w:tcPr>
          <w:p w14:paraId="2A68E544"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3</w:t>
            </w:r>
          </w:p>
        </w:tc>
        <w:tc>
          <w:tcPr>
            <w:tcW w:w="1060" w:type="dxa"/>
            <w:tcBorders>
              <w:top w:val="nil"/>
              <w:left w:val="nil"/>
              <w:bottom w:val="single" w:sz="4" w:space="0" w:color="auto"/>
              <w:right w:val="nil"/>
            </w:tcBorders>
            <w:shd w:val="clear" w:color="auto" w:fill="auto"/>
            <w:noWrap/>
            <w:vAlign w:val="bottom"/>
            <w:hideMark/>
          </w:tcPr>
          <w:p w14:paraId="15302092"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3</w:t>
            </w:r>
          </w:p>
        </w:tc>
      </w:tr>
      <w:tr w:rsidR="008430BD" w:rsidRPr="001C3EC8" w14:paraId="0F3EE16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5590360" w14:textId="77777777" w:rsidR="008430BD" w:rsidRPr="001C3EC8" w:rsidRDefault="008430BD" w:rsidP="00E077F3">
            <w:pPr>
              <w:spacing w:line="240" w:lineRule="auto"/>
              <w:jc w:val="left"/>
              <w:rPr>
                <w:color w:val="000000" w:themeColor="text1"/>
              </w:rPr>
            </w:pPr>
            <w:r w:rsidRPr="001C3EC8">
              <w:rPr>
                <w:color w:val="000000" w:themeColor="text1"/>
              </w:rPr>
              <w:t>Český Krumlov</w:t>
            </w:r>
          </w:p>
        </w:tc>
        <w:tc>
          <w:tcPr>
            <w:tcW w:w="1060" w:type="dxa"/>
            <w:tcBorders>
              <w:top w:val="nil"/>
              <w:left w:val="nil"/>
              <w:bottom w:val="single" w:sz="4" w:space="0" w:color="auto"/>
              <w:right w:val="single" w:sz="4" w:space="0" w:color="auto"/>
            </w:tcBorders>
            <w:shd w:val="clear" w:color="auto" w:fill="auto"/>
            <w:noWrap/>
            <w:vAlign w:val="bottom"/>
            <w:hideMark/>
          </w:tcPr>
          <w:p w14:paraId="62E33464" w14:textId="77777777" w:rsidR="008430BD" w:rsidRPr="001C3EC8" w:rsidRDefault="008430BD" w:rsidP="00E077F3">
            <w:pPr>
              <w:spacing w:line="240" w:lineRule="auto"/>
              <w:jc w:val="center"/>
              <w:rPr>
                <w:color w:val="000000" w:themeColor="text1"/>
              </w:rPr>
            </w:pPr>
            <w:r w:rsidRPr="001C3EC8">
              <w:rPr>
                <w:color w:val="000000" w:themeColor="text1"/>
              </w:rPr>
              <w:t>CK</w:t>
            </w:r>
          </w:p>
        </w:tc>
        <w:tc>
          <w:tcPr>
            <w:tcW w:w="2320" w:type="dxa"/>
            <w:tcBorders>
              <w:top w:val="nil"/>
              <w:left w:val="nil"/>
              <w:bottom w:val="single" w:sz="4" w:space="0" w:color="auto"/>
              <w:right w:val="nil"/>
            </w:tcBorders>
            <w:shd w:val="clear" w:color="auto" w:fill="auto"/>
            <w:noWrap/>
            <w:vAlign w:val="bottom"/>
            <w:hideMark/>
          </w:tcPr>
          <w:p w14:paraId="415DDB36"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4</w:t>
            </w:r>
          </w:p>
        </w:tc>
        <w:tc>
          <w:tcPr>
            <w:tcW w:w="1060" w:type="dxa"/>
            <w:tcBorders>
              <w:top w:val="nil"/>
              <w:left w:val="nil"/>
              <w:bottom w:val="single" w:sz="4" w:space="0" w:color="auto"/>
              <w:right w:val="nil"/>
            </w:tcBorders>
            <w:shd w:val="clear" w:color="auto" w:fill="auto"/>
            <w:noWrap/>
            <w:vAlign w:val="bottom"/>
            <w:hideMark/>
          </w:tcPr>
          <w:p w14:paraId="48AF7C43"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4</w:t>
            </w:r>
          </w:p>
        </w:tc>
      </w:tr>
      <w:tr w:rsidR="008430BD" w:rsidRPr="001C3EC8" w14:paraId="6994B206"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A5A9FDB" w14:textId="77777777" w:rsidR="008430BD" w:rsidRPr="001C3EC8" w:rsidRDefault="008430BD" w:rsidP="00E077F3">
            <w:pPr>
              <w:spacing w:line="240" w:lineRule="auto"/>
              <w:jc w:val="left"/>
              <w:rPr>
                <w:color w:val="000000" w:themeColor="text1"/>
              </w:rPr>
            </w:pPr>
            <w:r w:rsidRPr="001C3EC8">
              <w:rPr>
                <w:color w:val="000000" w:themeColor="text1"/>
              </w:rPr>
              <w:t>Děčín</w:t>
            </w:r>
          </w:p>
        </w:tc>
        <w:tc>
          <w:tcPr>
            <w:tcW w:w="1060" w:type="dxa"/>
            <w:tcBorders>
              <w:top w:val="nil"/>
              <w:left w:val="nil"/>
              <w:bottom w:val="single" w:sz="4" w:space="0" w:color="auto"/>
              <w:right w:val="single" w:sz="4" w:space="0" w:color="auto"/>
            </w:tcBorders>
            <w:shd w:val="clear" w:color="auto" w:fill="auto"/>
            <w:noWrap/>
            <w:vAlign w:val="bottom"/>
            <w:hideMark/>
          </w:tcPr>
          <w:p w14:paraId="01B39A89" w14:textId="77777777" w:rsidR="008430BD" w:rsidRPr="001C3EC8" w:rsidRDefault="008430BD" w:rsidP="00E077F3">
            <w:pPr>
              <w:spacing w:line="240" w:lineRule="auto"/>
              <w:jc w:val="center"/>
              <w:rPr>
                <w:color w:val="000000" w:themeColor="text1"/>
              </w:rPr>
            </w:pPr>
            <w:r w:rsidRPr="001C3EC8">
              <w:rPr>
                <w:color w:val="000000" w:themeColor="text1"/>
              </w:rPr>
              <w:t>DC</w:t>
            </w:r>
          </w:p>
        </w:tc>
        <w:tc>
          <w:tcPr>
            <w:tcW w:w="2320" w:type="dxa"/>
            <w:tcBorders>
              <w:top w:val="nil"/>
              <w:left w:val="nil"/>
              <w:bottom w:val="single" w:sz="4" w:space="0" w:color="auto"/>
              <w:right w:val="nil"/>
            </w:tcBorders>
            <w:shd w:val="clear" w:color="auto" w:fill="auto"/>
            <w:noWrap/>
            <w:vAlign w:val="bottom"/>
            <w:hideMark/>
          </w:tcPr>
          <w:p w14:paraId="623C248D"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5</w:t>
            </w:r>
          </w:p>
        </w:tc>
        <w:tc>
          <w:tcPr>
            <w:tcW w:w="1060" w:type="dxa"/>
            <w:tcBorders>
              <w:top w:val="nil"/>
              <w:left w:val="nil"/>
              <w:bottom w:val="single" w:sz="4" w:space="0" w:color="auto"/>
              <w:right w:val="nil"/>
            </w:tcBorders>
            <w:shd w:val="clear" w:color="auto" w:fill="auto"/>
            <w:noWrap/>
            <w:vAlign w:val="bottom"/>
            <w:hideMark/>
          </w:tcPr>
          <w:p w14:paraId="38532A90"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5</w:t>
            </w:r>
          </w:p>
        </w:tc>
      </w:tr>
      <w:tr w:rsidR="008430BD" w:rsidRPr="001C3EC8" w14:paraId="00E115A5"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87E769C" w14:textId="77777777" w:rsidR="008430BD" w:rsidRPr="001C3EC8" w:rsidRDefault="008430BD" w:rsidP="00E077F3">
            <w:pPr>
              <w:spacing w:line="240" w:lineRule="auto"/>
              <w:jc w:val="left"/>
              <w:rPr>
                <w:color w:val="000000" w:themeColor="text1"/>
              </w:rPr>
            </w:pPr>
            <w:r w:rsidRPr="001C3EC8">
              <w:rPr>
                <w:color w:val="000000" w:themeColor="text1"/>
              </w:rPr>
              <w:t>Domažlice</w:t>
            </w:r>
          </w:p>
        </w:tc>
        <w:tc>
          <w:tcPr>
            <w:tcW w:w="1060" w:type="dxa"/>
            <w:tcBorders>
              <w:top w:val="nil"/>
              <w:left w:val="nil"/>
              <w:bottom w:val="single" w:sz="4" w:space="0" w:color="auto"/>
              <w:right w:val="single" w:sz="4" w:space="0" w:color="auto"/>
            </w:tcBorders>
            <w:shd w:val="clear" w:color="auto" w:fill="auto"/>
            <w:noWrap/>
            <w:vAlign w:val="bottom"/>
            <w:hideMark/>
          </w:tcPr>
          <w:p w14:paraId="7698FDC2" w14:textId="77777777" w:rsidR="008430BD" w:rsidRPr="001C3EC8" w:rsidRDefault="008430BD" w:rsidP="00E077F3">
            <w:pPr>
              <w:spacing w:line="240" w:lineRule="auto"/>
              <w:jc w:val="center"/>
              <w:rPr>
                <w:color w:val="000000" w:themeColor="text1"/>
              </w:rPr>
            </w:pPr>
            <w:r w:rsidRPr="001C3EC8">
              <w:rPr>
                <w:color w:val="000000" w:themeColor="text1"/>
              </w:rPr>
              <w:t>DO</w:t>
            </w:r>
          </w:p>
        </w:tc>
        <w:tc>
          <w:tcPr>
            <w:tcW w:w="2320" w:type="dxa"/>
            <w:tcBorders>
              <w:top w:val="nil"/>
              <w:left w:val="nil"/>
              <w:bottom w:val="single" w:sz="4" w:space="0" w:color="auto"/>
              <w:right w:val="nil"/>
            </w:tcBorders>
            <w:shd w:val="clear" w:color="auto" w:fill="auto"/>
            <w:noWrap/>
            <w:vAlign w:val="bottom"/>
            <w:hideMark/>
          </w:tcPr>
          <w:p w14:paraId="664BF96E"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6</w:t>
            </w:r>
          </w:p>
        </w:tc>
        <w:tc>
          <w:tcPr>
            <w:tcW w:w="1060" w:type="dxa"/>
            <w:tcBorders>
              <w:top w:val="nil"/>
              <w:left w:val="nil"/>
              <w:bottom w:val="single" w:sz="4" w:space="0" w:color="auto"/>
              <w:right w:val="nil"/>
            </w:tcBorders>
            <w:shd w:val="clear" w:color="auto" w:fill="auto"/>
            <w:noWrap/>
            <w:vAlign w:val="bottom"/>
            <w:hideMark/>
          </w:tcPr>
          <w:p w14:paraId="0BACD7D7"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6</w:t>
            </w:r>
          </w:p>
        </w:tc>
      </w:tr>
      <w:tr w:rsidR="008430BD" w:rsidRPr="001C3EC8" w14:paraId="7D2A4A6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60819CE" w14:textId="5E7B907E" w:rsidR="008430BD" w:rsidRPr="001C3EC8" w:rsidRDefault="0053190F" w:rsidP="00E077F3">
            <w:pPr>
              <w:spacing w:line="240" w:lineRule="auto"/>
              <w:jc w:val="left"/>
              <w:rPr>
                <w:color w:val="000000" w:themeColor="text1"/>
              </w:rPr>
            </w:pPr>
            <w:r>
              <w:rPr>
                <w:color w:val="000000" w:themeColor="text1"/>
              </w:rPr>
              <w:t>Frýdek</w:t>
            </w:r>
            <w:r>
              <w:rPr>
                <w:color w:val="000000" w:themeColor="text1"/>
              </w:rPr>
              <w:noBreakHyphen/>
              <w:t>Místek</w:t>
            </w:r>
          </w:p>
        </w:tc>
        <w:tc>
          <w:tcPr>
            <w:tcW w:w="1060" w:type="dxa"/>
            <w:tcBorders>
              <w:top w:val="nil"/>
              <w:left w:val="nil"/>
              <w:bottom w:val="single" w:sz="4" w:space="0" w:color="auto"/>
              <w:right w:val="single" w:sz="4" w:space="0" w:color="auto"/>
            </w:tcBorders>
            <w:shd w:val="clear" w:color="auto" w:fill="auto"/>
            <w:noWrap/>
            <w:vAlign w:val="bottom"/>
            <w:hideMark/>
          </w:tcPr>
          <w:p w14:paraId="0FD2DCE4" w14:textId="77777777" w:rsidR="008430BD" w:rsidRPr="001C3EC8" w:rsidRDefault="008430BD" w:rsidP="00E077F3">
            <w:pPr>
              <w:spacing w:line="240" w:lineRule="auto"/>
              <w:jc w:val="center"/>
              <w:rPr>
                <w:color w:val="000000" w:themeColor="text1"/>
              </w:rPr>
            </w:pPr>
            <w:r w:rsidRPr="001C3EC8">
              <w:rPr>
                <w:color w:val="000000" w:themeColor="text1"/>
              </w:rPr>
              <w:t>FM</w:t>
            </w:r>
          </w:p>
        </w:tc>
        <w:tc>
          <w:tcPr>
            <w:tcW w:w="2320" w:type="dxa"/>
            <w:tcBorders>
              <w:top w:val="nil"/>
              <w:left w:val="nil"/>
              <w:bottom w:val="single" w:sz="4" w:space="0" w:color="auto"/>
              <w:right w:val="nil"/>
            </w:tcBorders>
            <w:shd w:val="clear" w:color="auto" w:fill="auto"/>
            <w:noWrap/>
            <w:vAlign w:val="bottom"/>
            <w:hideMark/>
          </w:tcPr>
          <w:p w14:paraId="2770C8BB"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7</w:t>
            </w:r>
          </w:p>
        </w:tc>
        <w:tc>
          <w:tcPr>
            <w:tcW w:w="1060" w:type="dxa"/>
            <w:tcBorders>
              <w:top w:val="nil"/>
              <w:left w:val="nil"/>
              <w:bottom w:val="single" w:sz="4" w:space="0" w:color="auto"/>
              <w:right w:val="nil"/>
            </w:tcBorders>
            <w:shd w:val="clear" w:color="auto" w:fill="auto"/>
            <w:noWrap/>
            <w:vAlign w:val="bottom"/>
            <w:hideMark/>
          </w:tcPr>
          <w:p w14:paraId="2CD186BA"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7</w:t>
            </w:r>
          </w:p>
        </w:tc>
      </w:tr>
      <w:tr w:rsidR="008430BD" w:rsidRPr="001C3EC8" w14:paraId="64A1F89F"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A758ADD" w14:textId="77777777" w:rsidR="008430BD" w:rsidRPr="001C3EC8" w:rsidRDefault="008430BD" w:rsidP="00E077F3">
            <w:pPr>
              <w:spacing w:line="240" w:lineRule="auto"/>
              <w:jc w:val="left"/>
              <w:rPr>
                <w:color w:val="000000" w:themeColor="text1"/>
              </w:rPr>
            </w:pPr>
            <w:r w:rsidRPr="001C3EC8">
              <w:rPr>
                <w:color w:val="000000" w:themeColor="text1"/>
              </w:rPr>
              <w:t>Havlíčkův Brod</w:t>
            </w:r>
          </w:p>
        </w:tc>
        <w:tc>
          <w:tcPr>
            <w:tcW w:w="1060" w:type="dxa"/>
            <w:tcBorders>
              <w:top w:val="nil"/>
              <w:left w:val="nil"/>
              <w:bottom w:val="single" w:sz="4" w:space="0" w:color="auto"/>
              <w:right w:val="single" w:sz="4" w:space="0" w:color="auto"/>
            </w:tcBorders>
            <w:shd w:val="clear" w:color="auto" w:fill="auto"/>
            <w:noWrap/>
            <w:vAlign w:val="bottom"/>
            <w:hideMark/>
          </w:tcPr>
          <w:p w14:paraId="6A5D2FB4" w14:textId="77777777" w:rsidR="008430BD" w:rsidRPr="001C3EC8" w:rsidRDefault="008430BD" w:rsidP="00E077F3">
            <w:pPr>
              <w:spacing w:line="240" w:lineRule="auto"/>
              <w:jc w:val="center"/>
              <w:rPr>
                <w:color w:val="000000" w:themeColor="text1"/>
              </w:rPr>
            </w:pPr>
            <w:r w:rsidRPr="001C3EC8">
              <w:rPr>
                <w:color w:val="000000" w:themeColor="text1"/>
              </w:rPr>
              <w:t>HB</w:t>
            </w:r>
          </w:p>
        </w:tc>
        <w:tc>
          <w:tcPr>
            <w:tcW w:w="2320" w:type="dxa"/>
            <w:tcBorders>
              <w:top w:val="nil"/>
              <w:left w:val="nil"/>
              <w:bottom w:val="single" w:sz="4" w:space="0" w:color="auto"/>
              <w:right w:val="nil"/>
            </w:tcBorders>
            <w:shd w:val="clear" w:color="auto" w:fill="auto"/>
            <w:noWrap/>
            <w:vAlign w:val="bottom"/>
            <w:hideMark/>
          </w:tcPr>
          <w:p w14:paraId="13FBEA0E"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8</w:t>
            </w:r>
          </w:p>
        </w:tc>
        <w:tc>
          <w:tcPr>
            <w:tcW w:w="1060" w:type="dxa"/>
            <w:tcBorders>
              <w:top w:val="nil"/>
              <w:left w:val="nil"/>
              <w:bottom w:val="single" w:sz="4" w:space="0" w:color="auto"/>
              <w:right w:val="nil"/>
            </w:tcBorders>
            <w:shd w:val="clear" w:color="auto" w:fill="auto"/>
            <w:noWrap/>
            <w:vAlign w:val="bottom"/>
            <w:hideMark/>
          </w:tcPr>
          <w:p w14:paraId="424ED083"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8</w:t>
            </w:r>
          </w:p>
        </w:tc>
      </w:tr>
      <w:tr w:rsidR="008430BD" w:rsidRPr="001C3EC8" w14:paraId="3E45B853"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4CBCD18" w14:textId="77777777" w:rsidR="008430BD" w:rsidRPr="001C3EC8" w:rsidRDefault="008430BD" w:rsidP="00E077F3">
            <w:pPr>
              <w:spacing w:line="240" w:lineRule="auto"/>
              <w:jc w:val="left"/>
              <w:rPr>
                <w:color w:val="000000" w:themeColor="text1"/>
              </w:rPr>
            </w:pPr>
            <w:r w:rsidRPr="001C3EC8">
              <w:rPr>
                <w:color w:val="000000" w:themeColor="text1"/>
              </w:rPr>
              <w:t>Hodonín</w:t>
            </w:r>
          </w:p>
        </w:tc>
        <w:tc>
          <w:tcPr>
            <w:tcW w:w="1060" w:type="dxa"/>
            <w:tcBorders>
              <w:top w:val="nil"/>
              <w:left w:val="nil"/>
              <w:bottom w:val="single" w:sz="4" w:space="0" w:color="auto"/>
              <w:right w:val="single" w:sz="4" w:space="0" w:color="auto"/>
            </w:tcBorders>
            <w:shd w:val="clear" w:color="auto" w:fill="auto"/>
            <w:noWrap/>
            <w:vAlign w:val="bottom"/>
            <w:hideMark/>
          </w:tcPr>
          <w:p w14:paraId="0987E9B0" w14:textId="77777777" w:rsidR="008430BD" w:rsidRPr="001C3EC8" w:rsidRDefault="008430BD" w:rsidP="00E077F3">
            <w:pPr>
              <w:spacing w:line="240" w:lineRule="auto"/>
              <w:jc w:val="center"/>
              <w:rPr>
                <w:color w:val="000000" w:themeColor="text1"/>
              </w:rPr>
            </w:pPr>
            <w:r w:rsidRPr="001C3EC8">
              <w:rPr>
                <w:color w:val="000000" w:themeColor="text1"/>
              </w:rPr>
              <w:t>HO</w:t>
            </w:r>
          </w:p>
        </w:tc>
        <w:tc>
          <w:tcPr>
            <w:tcW w:w="2320" w:type="dxa"/>
            <w:tcBorders>
              <w:top w:val="nil"/>
              <w:left w:val="nil"/>
              <w:bottom w:val="single" w:sz="4" w:space="0" w:color="auto"/>
              <w:right w:val="nil"/>
            </w:tcBorders>
            <w:shd w:val="clear" w:color="auto" w:fill="auto"/>
            <w:noWrap/>
            <w:vAlign w:val="bottom"/>
            <w:hideMark/>
          </w:tcPr>
          <w:p w14:paraId="3E1CC1DB"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9</w:t>
            </w:r>
          </w:p>
        </w:tc>
        <w:tc>
          <w:tcPr>
            <w:tcW w:w="1060" w:type="dxa"/>
            <w:tcBorders>
              <w:top w:val="nil"/>
              <w:left w:val="nil"/>
              <w:bottom w:val="single" w:sz="4" w:space="0" w:color="auto"/>
              <w:right w:val="nil"/>
            </w:tcBorders>
            <w:shd w:val="clear" w:color="auto" w:fill="auto"/>
            <w:noWrap/>
            <w:vAlign w:val="bottom"/>
            <w:hideMark/>
          </w:tcPr>
          <w:p w14:paraId="7045BBE2"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9</w:t>
            </w:r>
          </w:p>
        </w:tc>
      </w:tr>
      <w:tr w:rsidR="008430BD" w:rsidRPr="001C3EC8" w14:paraId="768BF7C7"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3BD1F4C" w14:textId="77777777" w:rsidR="008430BD" w:rsidRPr="001C3EC8" w:rsidRDefault="008430BD" w:rsidP="00E077F3">
            <w:pPr>
              <w:spacing w:line="240" w:lineRule="auto"/>
              <w:jc w:val="left"/>
              <w:rPr>
                <w:color w:val="000000" w:themeColor="text1"/>
              </w:rPr>
            </w:pPr>
            <w:r w:rsidRPr="001C3EC8">
              <w:rPr>
                <w:color w:val="000000" w:themeColor="text1"/>
              </w:rPr>
              <w:t>Hradec Králové</w:t>
            </w:r>
          </w:p>
        </w:tc>
        <w:tc>
          <w:tcPr>
            <w:tcW w:w="1060" w:type="dxa"/>
            <w:tcBorders>
              <w:top w:val="nil"/>
              <w:left w:val="nil"/>
              <w:bottom w:val="single" w:sz="4" w:space="0" w:color="auto"/>
              <w:right w:val="single" w:sz="4" w:space="0" w:color="auto"/>
            </w:tcBorders>
            <w:shd w:val="clear" w:color="auto" w:fill="auto"/>
            <w:noWrap/>
            <w:vAlign w:val="bottom"/>
            <w:hideMark/>
          </w:tcPr>
          <w:p w14:paraId="5966639A" w14:textId="77777777" w:rsidR="008430BD" w:rsidRPr="001C3EC8" w:rsidRDefault="008430BD" w:rsidP="00E077F3">
            <w:pPr>
              <w:spacing w:line="240" w:lineRule="auto"/>
              <w:jc w:val="center"/>
              <w:rPr>
                <w:color w:val="000000" w:themeColor="text1"/>
              </w:rPr>
            </w:pPr>
            <w:r w:rsidRPr="001C3EC8">
              <w:rPr>
                <w:color w:val="000000" w:themeColor="text1"/>
              </w:rPr>
              <w:t>HK</w:t>
            </w:r>
          </w:p>
        </w:tc>
        <w:tc>
          <w:tcPr>
            <w:tcW w:w="2320" w:type="dxa"/>
            <w:tcBorders>
              <w:top w:val="nil"/>
              <w:left w:val="nil"/>
              <w:bottom w:val="single" w:sz="4" w:space="0" w:color="auto"/>
              <w:right w:val="nil"/>
            </w:tcBorders>
            <w:shd w:val="clear" w:color="auto" w:fill="auto"/>
            <w:noWrap/>
            <w:vAlign w:val="bottom"/>
            <w:hideMark/>
          </w:tcPr>
          <w:p w14:paraId="4807DF3D" w14:textId="77777777" w:rsidR="008430BD" w:rsidRPr="001C3EC8" w:rsidRDefault="008430BD" w:rsidP="00E077F3">
            <w:pPr>
              <w:spacing w:line="240" w:lineRule="auto"/>
              <w:jc w:val="left"/>
              <w:rPr>
                <w:color w:val="000000" w:themeColor="text1"/>
              </w:rPr>
            </w:pPr>
            <w:r w:rsidRPr="001C3EC8">
              <w:rPr>
                <w:color w:val="000000" w:themeColor="text1"/>
              </w:rPr>
              <w:t xml:space="preserve">Praha </w:t>
            </w:r>
            <w:r w:rsidRPr="001C3EC8">
              <w:rPr>
                <w:rFonts w:eastAsia="Times New Roman"/>
                <w:color w:val="000000" w:themeColor="text1"/>
                <w:szCs w:val="24"/>
                <w:lang w:eastAsia="cs-CZ"/>
              </w:rPr>
              <w:t>10</w:t>
            </w:r>
          </w:p>
        </w:tc>
        <w:tc>
          <w:tcPr>
            <w:tcW w:w="1060" w:type="dxa"/>
            <w:tcBorders>
              <w:top w:val="nil"/>
              <w:left w:val="nil"/>
              <w:bottom w:val="single" w:sz="4" w:space="0" w:color="auto"/>
              <w:right w:val="nil"/>
            </w:tcBorders>
            <w:shd w:val="clear" w:color="auto" w:fill="auto"/>
            <w:noWrap/>
            <w:vAlign w:val="bottom"/>
            <w:hideMark/>
          </w:tcPr>
          <w:p w14:paraId="710C0E42" w14:textId="77777777" w:rsidR="008430BD" w:rsidRPr="001C3EC8" w:rsidRDefault="008430BD" w:rsidP="00E077F3">
            <w:pPr>
              <w:spacing w:line="240" w:lineRule="auto"/>
              <w:jc w:val="center"/>
              <w:rPr>
                <w:color w:val="000000" w:themeColor="text1"/>
              </w:rPr>
            </w:pPr>
            <w:r w:rsidRPr="001C3EC8">
              <w:rPr>
                <w:color w:val="000000" w:themeColor="text1"/>
              </w:rPr>
              <w:t xml:space="preserve">P </w:t>
            </w:r>
            <w:r w:rsidRPr="001C3EC8">
              <w:rPr>
                <w:rFonts w:eastAsia="Times New Roman"/>
                <w:color w:val="000000" w:themeColor="text1"/>
                <w:szCs w:val="24"/>
                <w:lang w:eastAsia="cs-CZ"/>
              </w:rPr>
              <w:t>10</w:t>
            </w:r>
          </w:p>
        </w:tc>
      </w:tr>
      <w:tr w:rsidR="008430BD" w:rsidRPr="001C3EC8" w14:paraId="0D5B8E0D"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2AD8C98" w14:textId="77777777" w:rsidR="008430BD" w:rsidRPr="001C3EC8" w:rsidRDefault="008430BD" w:rsidP="00E077F3">
            <w:pPr>
              <w:spacing w:line="240" w:lineRule="auto"/>
              <w:jc w:val="left"/>
              <w:rPr>
                <w:color w:val="000000" w:themeColor="text1"/>
              </w:rPr>
            </w:pPr>
            <w:r w:rsidRPr="001C3EC8">
              <w:rPr>
                <w:color w:val="000000" w:themeColor="text1"/>
              </w:rPr>
              <w:t>Cheb</w:t>
            </w:r>
          </w:p>
        </w:tc>
        <w:tc>
          <w:tcPr>
            <w:tcW w:w="1060" w:type="dxa"/>
            <w:tcBorders>
              <w:top w:val="nil"/>
              <w:left w:val="nil"/>
              <w:bottom w:val="single" w:sz="4" w:space="0" w:color="auto"/>
              <w:right w:val="single" w:sz="4" w:space="0" w:color="auto"/>
            </w:tcBorders>
            <w:shd w:val="clear" w:color="auto" w:fill="auto"/>
            <w:noWrap/>
            <w:vAlign w:val="bottom"/>
            <w:hideMark/>
          </w:tcPr>
          <w:p w14:paraId="06F79470" w14:textId="77777777" w:rsidR="008430BD" w:rsidRPr="001C3EC8" w:rsidRDefault="008430BD" w:rsidP="00E077F3">
            <w:pPr>
              <w:spacing w:line="240" w:lineRule="auto"/>
              <w:jc w:val="center"/>
              <w:rPr>
                <w:color w:val="000000" w:themeColor="text1"/>
              </w:rPr>
            </w:pPr>
            <w:r w:rsidRPr="001C3EC8">
              <w:rPr>
                <w:color w:val="000000" w:themeColor="text1"/>
              </w:rPr>
              <w:t>CH</w:t>
            </w:r>
          </w:p>
        </w:tc>
        <w:tc>
          <w:tcPr>
            <w:tcW w:w="2320" w:type="dxa"/>
            <w:tcBorders>
              <w:top w:val="nil"/>
              <w:left w:val="nil"/>
              <w:bottom w:val="single" w:sz="4" w:space="0" w:color="auto"/>
              <w:right w:val="nil"/>
            </w:tcBorders>
            <w:shd w:val="clear" w:color="auto" w:fill="auto"/>
            <w:noWrap/>
            <w:vAlign w:val="bottom"/>
            <w:hideMark/>
          </w:tcPr>
          <w:p w14:paraId="630651D8" w14:textId="6F187FA6" w:rsidR="008430BD" w:rsidRPr="001C3EC8" w:rsidRDefault="0053190F" w:rsidP="00E077F3">
            <w:pPr>
              <w:spacing w:line="240" w:lineRule="auto"/>
              <w:jc w:val="left"/>
              <w:rPr>
                <w:color w:val="000000" w:themeColor="text1"/>
              </w:rPr>
            </w:pPr>
            <w:r>
              <w:rPr>
                <w:color w:val="000000" w:themeColor="text1"/>
              </w:rPr>
              <w:t>Praha</w:t>
            </w:r>
            <w:r>
              <w:rPr>
                <w:color w:val="000000" w:themeColor="text1"/>
              </w:rPr>
              <w:noBreakHyphen/>
            </w:r>
            <w:r w:rsidR="008430BD" w:rsidRPr="001C3EC8">
              <w:rPr>
                <w:color w:val="000000" w:themeColor="text1"/>
              </w:rPr>
              <w:t>východ</w:t>
            </w:r>
          </w:p>
        </w:tc>
        <w:tc>
          <w:tcPr>
            <w:tcW w:w="1060" w:type="dxa"/>
            <w:tcBorders>
              <w:top w:val="nil"/>
              <w:left w:val="nil"/>
              <w:bottom w:val="single" w:sz="4" w:space="0" w:color="auto"/>
              <w:right w:val="nil"/>
            </w:tcBorders>
            <w:shd w:val="clear" w:color="auto" w:fill="auto"/>
            <w:noWrap/>
            <w:vAlign w:val="bottom"/>
            <w:hideMark/>
          </w:tcPr>
          <w:p w14:paraId="047EBE6A" w14:textId="77777777" w:rsidR="008430BD" w:rsidRPr="001C3EC8" w:rsidRDefault="008430BD" w:rsidP="00E077F3">
            <w:pPr>
              <w:spacing w:line="240" w:lineRule="auto"/>
              <w:jc w:val="center"/>
              <w:rPr>
                <w:color w:val="000000" w:themeColor="text1"/>
              </w:rPr>
            </w:pPr>
            <w:r w:rsidRPr="001C3EC8">
              <w:rPr>
                <w:color w:val="000000" w:themeColor="text1"/>
              </w:rPr>
              <w:t>PY</w:t>
            </w:r>
          </w:p>
        </w:tc>
      </w:tr>
      <w:tr w:rsidR="008430BD" w:rsidRPr="001C3EC8" w14:paraId="68B3D0B4"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C653C47" w14:textId="77777777" w:rsidR="008430BD" w:rsidRPr="001C3EC8" w:rsidRDefault="008430BD" w:rsidP="00E077F3">
            <w:pPr>
              <w:spacing w:line="240" w:lineRule="auto"/>
              <w:jc w:val="left"/>
              <w:rPr>
                <w:color w:val="000000" w:themeColor="text1"/>
              </w:rPr>
            </w:pPr>
            <w:r w:rsidRPr="001C3EC8">
              <w:rPr>
                <w:color w:val="000000" w:themeColor="text1"/>
              </w:rPr>
              <w:t>Chomutov</w:t>
            </w:r>
          </w:p>
        </w:tc>
        <w:tc>
          <w:tcPr>
            <w:tcW w:w="1060" w:type="dxa"/>
            <w:tcBorders>
              <w:top w:val="nil"/>
              <w:left w:val="nil"/>
              <w:bottom w:val="single" w:sz="4" w:space="0" w:color="auto"/>
              <w:right w:val="single" w:sz="4" w:space="0" w:color="auto"/>
            </w:tcBorders>
            <w:shd w:val="clear" w:color="auto" w:fill="auto"/>
            <w:noWrap/>
            <w:vAlign w:val="bottom"/>
            <w:hideMark/>
          </w:tcPr>
          <w:p w14:paraId="22C62212" w14:textId="77777777" w:rsidR="008430BD" w:rsidRPr="001C3EC8" w:rsidRDefault="008430BD" w:rsidP="00E077F3">
            <w:pPr>
              <w:spacing w:line="240" w:lineRule="auto"/>
              <w:jc w:val="center"/>
              <w:rPr>
                <w:color w:val="000000" w:themeColor="text1"/>
              </w:rPr>
            </w:pPr>
            <w:r w:rsidRPr="001C3EC8">
              <w:rPr>
                <w:color w:val="000000" w:themeColor="text1"/>
              </w:rPr>
              <w:t>CV</w:t>
            </w:r>
          </w:p>
        </w:tc>
        <w:tc>
          <w:tcPr>
            <w:tcW w:w="2320" w:type="dxa"/>
            <w:tcBorders>
              <w:top w:val="nil"/>
              <w:left w:val="nil"/>
              <w:bottom w:val="single" w:sz="4" w:space="0" w:color="auto"/>
              <w:right w:val="nil"/>
            </w:tcBorders>
            <w:shd w:val="clear" w:color="auto" w:fill="auto"/>
            <w:noWrap/>
            <w:vAlign w:val="bottom"/>
            <w:hideMark/>
          </w:tcPr>
          <w:p w14:paraId="2615E1CF" w14:textId="26A31540" w:rsidR="008430BD" w:rsidRPr="001C3EC8" w:rsidRDefault="0053190F" w:rsidP="00E077F3">
            <w:pPr>
              <w:spacing w:line="240" w:lineRule="auto"/>
              <w:jc w:val="left"/>
              <w:rPr>
                <w:color w:val="000000" w:themeColor="text1"/>
              </w:rPr>
            </w:pPr>
            <w:r>
              <w:rPr>
                <w:color w:val="000000" w:themeColor="text1"/>
              </w:rPr>
              <w:t>Praha</w:t>
            </w:r>
            <w:r>
              <w:rPr>
                <w:color w:val="000000" w:themeColor="text1"/>
              </w:rPr>
              <w:noBreakHyphen/>
            </w:r>
            <w:r w:rsidR="008430BD" w:rsidRPr="001C3EC8">
              <w:rPr>
                <w:color w:val="000000" w:themeColor="text1"/>
              </w:rPr>
              <w:t>západ</w:t>
            </w:r>
          </w:p>
        </w:tc>
        <w:tc>
          <w:tcPr>
            <w:tcW w:w="1060" w:type="dxa"/>
            <w:tcBorders>
              <w:top w:val="nil"/>
              <w:left w:val="nil"/>
              <w:bottom w:val="single" w:sz="4" w:space="0" w:color="auto"/>
              <w:right w:val="nil"/>
            </w:tcBorders>
            <w:shd w:val="clear" w:color="auto" w:fill="auto"/>
            <w:noWrap/>
            <w:vAlign w:val="bottom"/>
            <w:hideMark/>
          </w:tcPr>
          <w:p w14:paraId="308490CD" w14:textId="77777777" w:rsidR="008430BD" w:rsidRPr="001C3EC8" w:rsidRDefault="008430BD" w:rsidP="00E077F3">
            <w:pPr>
              <w:spacing w:line="240" w:lineRule="auto"/>
              <w:jc w:val="center"/>
              <w:rPr>
                <w:color w:val="000000" w:themeColor="text1"/>
              </w:rPr>
            </w:pPr>
            <w:r w:rsidRPr="001C3EC8">
              <w:rPr>
                <w:color w:val="000000" w:themeColor="text1"/>
              </w:rPr>
              <w:t>PZ</w:t>
            </w:r>
          </w:p>
        </w:tc>
      </w:tr>
      <w:tr w:rsidR="008430BD" w:rsidRPr="001C3EC8" w14:paraId="1297CE0F"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55A6720" w14:textId="77777777" w:rsidR="008430BD" w:rsidRPr="001C3EC8" w:rsidRDefault="008430BD" w:rsidP="00E077F3">
            <w:pPr>
              <w:spacing w:line="240" w:lineRule="auto"/>
              <w:jc w:val="left"/>
              <w:rPr>
                <w:color w:val="000000" w:themeColor="text1"/>
              </w:rPr>
            </w:pPr>
            <w:r w:rsidRPr="001C3EC8">
              <w:rPr>
                <w:color w:val="000000" w:themeColor="text1"/>
              </w:rPr>
              <w:t>Chrudim</w:t>
            </w:r>
          </w:p>
        </w:tc>
        <w:tc>
          <w:tcPr>
            <w:tcW w:w="1060" w:type="dxa"/>
            <w:tcBorders>
              <w:top w:val="nil"/>
              <w:left w:val="nil"/>
              <w:bottom w:val="single" w:sz="4" w:space="0" w:color="auto"/>
              <w:right w:val="single" w:sz="4" w:space="0" w:color="auto"/>
            </w:tcBorders>
            <w:shd w:val="clear" w:color="auto" w:fill="auto"/>
            <w:noWrap/>
            <w:vAlign w:val="bottom"/>
            <w:hideMark/>
          </w:tcPr>
          <w:p w14:paraId="08331962" w14:textId="77777777" w:rsidR="008430BD" w:rsidRPr="001C3EC8" w:rsidRDefault="008430BD" w:rsidP="00E077F3">
            <w:pPr>
              <w:spacing w:line="240" w:lineRule="auto"/>
              <w:jc w:val="center"/>
              <w:rPr>
                <w:color w:val="000000" w:themeColor="text1"/>
              </w:rPr>
            </w:pPr>
            <w:r w:rsidRPr="001C3EC8">
              <w:rPr>
                <w:color w:val="000000" w:themeColor="text1"/>
              </w:rPr>
              <w:t>CR</w:t>
            </w:r>
          </w:p>
        </w:tc>
        <w:tc>
          <w:tcPr>
            <w:tcW w:w="2320" w:type="dxa"/>
            <w:tcBorders>
              <w:top w:val="nil"/>
              <w:left w:val="nil"/>
              <w:bottom w:val="single" w:sz="4" w:space="0" w:color="auto"/>
              <w:right w:val="nil"/>
            </w:tcBorders>
            <w:shd w:val="clear" w:color="auto" w:fill="auto"/>
            <w:noWrap/>
            <w:vAlign w:val="bottom"/>
            <w:hideMark/>
          </w:tcPr>
          <w:p w14:paraId="2B618784" w14:textId="77777777" w:rsidR="008430BD" w:rsidRPr="001C3EC8" w:rsidRDefault="008430BD" w:rsidP="00E077F3">
            <w:pPr>
              <w:spacing w:line="240" w:lineRule="auto"/>
              <w:jc w:val="left"/>
              <w:rPr>
                <w:color w:val="000000" w:themeColor="text1"/>
              </w:rPr>
            </w:pPr>
            <w:r w:rsidRPr="001C3EC8">
              <w:rPr>
                <w:color w:val="000000" w:themeColor="text1"/>
              </w:rPr>
              <w:t>Prachatice</w:t>
            </w:r>
          </w:p>
        </w:tc>
        <w:tc>
          <w:tcPr>
            <w:tcW w:w="1060" w:type="dxa"/>
            <w:tcBorders>
              <w:top w:val="nil"/>
              <w:left w:val="nil"/>
              <w:bottom w:val="single" w:sz="4" w:space="0" w:color="auto"/>
              <w:right w:val="nil"/>
            </w:tcBorders>
            <w:shd w:val="clear" w:color="auto" w:fill="auto"/>
            <w:noWrap/>
            <w:vAlign w:val="bottom"/>
            <w:hideMark/>
          </w:tcPr>
          <w:p w14:paraId="57988E4C" w14:textId="77777777" w:rsidR="008430BD" w:rsidRPr="001C3EC8" w:rsidRDefault="008430BD" w:rsidP="00E077F3">
            <w:pPr>
              <w:spacing w:line="240" w:lineRule="auto"/>
              <w:jc w:val="center"/>
              <w:rPr>
                <w:color w:val="000000" w:themeColor="text1"/>
              </w:rPr>
            </w:pPr>
            <w:r w:rsidRPr="001C3EC8">
              <w:rPr>
                <w:color w:val="000000" w:themeColor="text1"/>
              </w:rPr>
              <w:t>PT</w:t>
            </w:r>
          </w:p>
        </w:tc>
      </w:tr>
      <w:tr w:rsidR="008430BD" w:rsidRPr="001C3EC8" w14:paraId="219A5935"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4C8BDC2" w14:textId="77777777" w:rsidR="008430BD" w:rsidRPr="001C3EC8" w:rsidRDefault="008430BD" w:rsidP="00E077F3">
            <w:pPr>
              <w:spacing w:line="240" w:lineRule="auto"/>
              <w:jc w:val="left"/>
              <w:rPr>
                <w:color w:val="000000" w:themeColor="text1"/>
              </w:rPr>
            </w:pPr>
            <w:r w:rsidRPr="001C3EC8">
              <w:rPr>
                <w:color w:val="000000" w:themeColor="text1"/>
              </w:rPr>
              <w:t>Jablonec nad Nisou</w:t>
            </w:r>
          </w:p>
        </w:tc>
        <w:tc>
          <w:tcPr>
            <w:tcW w:w="1060" w:type="dxa"/>
            <w:tcBorders>
              <w:top w:val="nil"/>
              <w:left w:val="nil"/>
              <w:bottom w:val="single" w:sz="4" w:space="0" w:color="auto"/>
              <w:right w:val="single" w:sz="4" w:space="0" w:color="auto"/>
            </w:tcBorders>
            <w:shd w:val="clear" w:color="auto" w:fill="auto"/>
            <w:noWrap/>
            <w:vAlign w:val="bottom"/>
            <w:hideMark/>
          </w:tcPr>
          <w:p w14:paraId="0424B10B" w14:textId="77777777" w:rsidR="008430BD" w:rsidRPr="001C3EC8" w:rsidRDefault="008430BD" w:rsidP="00E077F3">
            <w:pPr>
              <w:spacing w:line="240" w:lineRule="auto"/>
              <w:jc w:val="center"/>
              <w:rPr>
                <w:color w:val="000000" w:themeColor="text1"/>
              </w:rPr>
            </w:pPr>
            <w:r w:rsidRPr="001C3EC8">
              <w:rPr>
                <w:color w:val="000000" w:themeColor="text1"/>
              </w:rPr>
              <w:t>JN</w:t>
            </w:r>
          </w:p>
        </w:tc>
        <w:tc>
          <w:tcPr>
            <w:tcW w:w="2320" w:type="dxa"/>
            <w:tcBorders>
              <w:top w:val="nil"/>
              <w:left w:val="nil"/>
              <w:bottom w:val="single" w:sz="4" w:space="0" w:color="auto"/>
              <w:right w:val="nil"/>
            </w:tcBorders>
            <w:shd w:val="clear" w:color="auto" w:fill="auto"/>
            <w:noWrap/>
            <w:vAlign w:val="bottom"/>
            <w:hideMark/>
          </w:tcPr>
          <w:p w14:paraId="0EA8A640" w14:textId="77777777" w:rsidR="008430BD" w:rsidRPr="001C3EC8" w:rsidRDefault="008430BD" w:rsidP="00E077F3">
            <w:pPr>
              <w:spacing w:line="240" w:lineRule="auto"/>
              <w:jc w:val="left"/>
              <w:rPr>
                <w:color w:val="000000" w:themeColor="text1"/>
              </w:rPr>
            </w:pPr>
            <w:r w:rsidRPr="001C3EC8">
              <w:rPr>
                <w:color w:val="000000" w:themeColor="text1"/>
              </w:rPr>
              <w:t>Prostějov</w:t>
            </w:r>
          </w:p>
        </w:tc>
        <w:tc>
          <w:tcPr>
            <w:tcW w:w="1060" w:type="dxa"/>
            <w:tcBorders>
              <w:top w:val="nil"/>
              <w:left w:val="nil"/>
              <w:bottom w:val="single" w:sz="4" w:space="0" w:color="auto"/>
              <w:right w:val="nil"/>
            </w:tcBorders>
            <w:shd w:val="clear" w:color="auto" w:fill="auto"/>
            <w:noWrap/>
            <w:vAlign w:val="bottom"/>
            <w:hideMark/>
          </w:tcPr>
          <w:p w14:paraId="76FEA204" w14:textId="77777777" w:rsidR="008430BD" w:rsidRPr="001C3EC8" w:rsidRDefault="008430BD" w:rsidP="00E077F3">
            <w:pPr>
              <w:spacing w:line="240" w:lineRule="auto"/>
              <w:jc w:val="center"/>
              <w:rPr>
                <w:color w:val="000000" w:themeColor="text1"/>
              </w:rPr>
            </w:pPr>
            <w:r w:rsidRPr="001C3EC8">
              <w:rPr>
                <w:color w:val="000000" w:themeColor="text1"/>
              </w:rPr>
              <w:t>PV</w:t>
            </w:r>
          </w:p>
        </w:tc>
      </w:tr>
      <w:tr w:rsidR="008430BD" w:rsidRPr="001C3EC8" w14:paraId="62B7D44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95D1381" w14:textId="77777777" w:rsidR="008430BD" w:rsidRPr="001C3EC8" w:rsidRDefault="008430BD" w:rsidP="00E077F3">
            <w:pPr>
              <w:spacing w:line="240" w:lineRule="auto"/>
              <w:jc w:val="left"/>
              <w:rPr>
                <w:color w:val="000000" w:themeColor="text1"/>
              </w:rPr>
            </w:pPr>
            <w:r w:rsidRPr="001C3EC8">
              <w:rPr>
                <w:color w:val="000000" w:themeColor="text1"/>
              </w:rPr>
              <w:t>Jeseník</w:t>
            </w:r>
          </w:p>
        </w:tc>
        <w:tc>
          <w:tcPr>
            <w:tcW w:w="1060" w:type="dxa"/>
            <w:tcBorders>
              <w:top w:val="nil"/>
              <w:left w:val="nil"/>
              <w:bottom w:val="single" w:sz="4" w:space="0" w:color="auto"/>
              <w:right w:val="single" w:sz="4" w:space="0" w:color="auto"/>
            </w:tcBorders>
            <w:shd w:val="clear" w:color="auto" w:fill="auto"/>
            <w:noWrap/>
            <w:vAlign w:val="bottom"/>
            <w:hideMark/>
          </w:tcPr>
          <w:p w14:paraId="42C2201E" w14:textId="77777777" w:rsidR="008430BD" w:rsidRPr="001C3EC8" w:rsidRDefault="008430BD" w:rsidP="00E077F3">
            <w:pPr>
              <w:spacing w:line="240" w:lineRule="auto"/>
              <w:jc w:val="center"/>
              <w:rPr>
                <w:color w:val="000000" w:themeColor="text1"/>
              </w:rPr>
            </w:pPr>
            <w:r w:rsidRPr="001C3EC8">
              <w:rPr>
                <w:color w:val="000000" w:themeColor="text1"/>
              </w:rPr>
              <w:t>JE</w:t>
            </w:r>
          </w:p>
        </w:tc>
        <w:tc>
          <w:tcPr>
            <w:tcW w:w="2320" w:type="dxa"/>
            <w:tcBorders>
              <w:top w:val="nil"/>
              <w:left w:val="nil"/>
              <w:bottom w:val="single" w:sz="4" w:space="0" w:color="auto"/>
              <w:right w:val="nil"/>
            </w:tcBorders>
            <w:shd w:val="clear" w:color="auto" w:fill="auto"/>
            <w:noWrap/>
            <w:vAlign w:val="bottom"/>
            <w:hideMark/>
          </w:tcPr>
          <w:p w14:paraId="2C56FA16" w14:textId="77777777" w:rsidR="008430BD" w:rsidRPr="001C3EC8" w:rsidRDefault="008430BD" w:rsidP="00E077F3">
            <w:pPr>
              <w:spacing w:line="240" w:lineRule="auto"/>
              <w:jc w:val="left"/>
              <w:rPr>
                <w:color w:val="000000" w:themeColor="text1"/>
              </w:rPr>
            </w:pPr>
            <w:r w:rsidRPr="001C3EC8">
              <w:rPr>
                <w:color w:val="000000" w:themeColor="text1"/>
              </w:rPr>
              <w:t>Přerov</w:t>
            </w:r>
          </w:p>
        </w:tc>
        <w:tc>
          <w:tcPr>
            <w:tcW w:w="1060" w:type="dxa"/>
            <w:tcBorders>
              <w:top w:val="nil"/>
              <w:left w:val="nil"/>
              <w:bottom w:val="single" w:sz="4" w:space="0" w:color="auto"/>
              <w:right w:val="nil"/>
            </w:tcBorders>
            <w:shd w:val="clear" w:color="auto" w:fill="auto"/>
            <w:noWrap/>
            <w:vAlign w:val="bottom"/>
            <w:hideMark/>
          </w:tcPr>
          <w:p w14:paraId="1FC4FA02" w14:textId="77777777" w:rsidR="008430BD" w:rsidRPr="001C3EC8" w:rsidRDefault="008430BD" w:rsidP="00E077F3">
            <w:pPr>
              <w:spacing w:line="240" w:lineRule="auto"/>
              <w:jc w:val="center"/>
              <w:rPr>
                <w:color w:val="000000" w:themeColor="text1"/>
              </w:rPr>
            </w:pPr>
            <w:r w:rsidRPr="001C3EC8">
              <w:rPr>
                <w:color w:val="000000" w:themeColor="text1"/>
              </w:rPr>
              <w:t>PR</w:t>
            </w:r>
          </w:p>
        </w:tc>
      </w:tr>
      <w:tr w:rsidR="008430BD" w:rsidRPr="001C3EC8" w14:paraId="3E6F109A"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415862F1" w14:textId="77777777" w:rsidR="008430BD" w:rsidRPr="001C3EC8" w:rsidRDefault="008430BD" w:rsidP="00E077F3">
            <w:pPr>
              <w:spacing w:line="240" w:lineRule="auto"/>
              <w:jc w:val="left"/>
              <w:rPr>
                <w:color w:val="000000" w:themeColor="text1"/>
              </w:rPr>
            </w:pPr>
            <w:r w:rsidRPr="001C3EC8">
              <w:rPr>
                <w:color w:val="000000" w:themeColor="text1"/>
              </w:rPr>
              <w:t>Jičín</w:t>
            </w:r>
          </w:p>
        </w:tc>
        <w:tc>
          <w:tcPr>
            <w:tcW w:w="1060" w:type="dxa"/>
            <w:tcBorders>
              <w:top w:val="nil"/>
              <w:left w:val="nil"/>
              <w:bottom w:val="single" w:sz="4" w:space="0" w:color="auto"/>
              <w:right w:val="single" w:sz="4" w:space="0" w:color="auto"/>
            </w:tcBorders>
            <w:shd w:val="clear" w:color="auto" w:fill="auto"/>
            <w:noWrap/>
            <w:vAlign w:val="bottom"/>
            <w:hideMark/>
          </w:tcPr>
          <w:p w14:paraId="76D890A3" w14:textId="77777777" w:rsidR="008430BD" w:rsidRPr="001C3EC8" w:rsidRDefault="008430BD" w:rsidP="00E077F3">
            <w:pPr>
              <w:spacing w:line="240" w:lineRule="auto"/>
              <w:jc w:val="center"/>
              <w:rPr>
                <w:color w:val="000000" w:themeColor="text1"/>
              </w:rPr>
            </w:pPr>
            <w:r w:rsidRPr="001C3EC8">
              <w:rPr>
                <w:color w:val="000000" w:themeColor="text1"/>
              </w:rPr>
              <w:t>JC</w:t>
            </w:r>
          </w:p>
        </w:tc>
        <w:tc>
          <w:tcPr>
            <w:tcW w:w="2320" w:type="dxa"/>
            <w:tcBorders>
              <w:top w:val="nil"/>
              <w:left w:val="nil"/>
              <w:bottom w:val="single" w:sz="4" w:space="0" w:color="auto"/>
              <w:right w:val="nil"/>
            </w:tcBorders>
            <w:shd w:val="clear" w:color="auto" w:fill="auto"/>
            <w:noWrap/>
            <w:vAlign w:val="bottom"/>
            <w:hideMark/>
          </w:tcPr>
          <w:p w14:paraId="6D31BC4A" w14:textId="77777777" w:rsidR="008430BD" w:rsidRPr="001C3EC8" w:rsidRDefault="008430BD" w:rsidP="00E077F3">
            <w:pPr>
              <w:spacing w:line="240" w:lineRule="auto"/>
              <w:jc w:val="left"/>
              <w:rPr>
                <w:color w:val="000000" w:themeColor="text1"/>
              </w:rPr>
            </w:pPr>
            <w:r w:rsidRPr="001C3EC8">
              <w:rPr>
                <w:color w:val="000000" w:themeColor="text1"/>
              </w:rPr>
              <w:t>Příbram</w:t>
            </w:r>
          </w:p>
        </w:tc>
        <w:tc>
          <w:tcPr>
            <w:tcW w:w="1060" w:type="dxa"/>
            <w:tcBorders>
              <w:top w:val="nil"/>
              <w:left w:val="nil"/>
              <w:bottom w:val="single" w:sz="4" w:space="0" w:color="auto"/>
              <w:right w:val="nil"/>
            </w:tcBorders>
            <w:shd w:val="clear" w:color="auto" w:fill="auto"/>
            <w:noWrap/>
            <w:vAlign w:val="bottom"/>
            <w:hideMark/>
          </w:tcPr>
          <w:p w14:paraId="2811657C" w14:textId="77777777" w:rsidR="008430BD" w:rsidRPr="001C3EC8" w:rsidRDefault="008430BD" w:rsidP="00E077F3">
            <w:pPr>
              <w:spacing w:line="240" w:lineRule="auto"/>
              <w:jc w:val="center"/>
              <w:rPr>
                <w:color w:val="000000" w:themeColor="text1"/>
              </w:rPr>
            </w:pPr>
            <w:r w:rsidRPr="001C3EC8">
              <w:rPr>
                <w:color w:val="000000" w:themeColor="text1"/>
              </w:rPr>
              <w:t>PB</w:t>
            </w:r>
          </w:p>
        </w:tc>
      </w:tr>
      <w:tr w:rsidR="008430BD" w:rsidRPr="001C3EC8" w14:paraId="6373DD3E"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45DCB385" w14:textId="77777777" w:rsidR="008430BD" w:rsidRPr="001C3EC8" w:rsidRDefault="008430BD" w:rsidP="00E077F3">
            <w:pPr>
              <w:spacing w:line="240" w:lineRule="auto"/>
              <w:jc w:val="left"/>
              <w:rPr>
                <w:color w:val="000000" w:themeColor="text1"/>
              </w:rPr>
            </w:pPr>
            <w:r w:rsidRPr="001C3EC8">
              <w:rPr>
                <w:color w:val="000000" w:themeColor="text1"/>
              </w:rPr>
              <w:t>Jihlava</w:t>
            </w:r>
          </w:p>
        </w:tc>
        <w:tc>
          <w:tcPr>
            <w:tcW w:w="1060" w:type="dxa"/>
            <w:tcBorders>
              <w:top w:val="nil"/>
              <w:left w:val="nil"/>
              <w:bottom w:val="single" w:sz="4" w:space="0" w:color="auto"/>
              <w:right w:val="single" w:sz="4" w:space="0" w:color="auto"/>
            </w:tcBorders>
            <w:shd w:val="clear" w:color="auto" w:fill="auto"/>
            <w:noWrap/>
            <w:vAlign w:val="bottom"/>
            <w:hideMark/>
          </w:tcPr>
          <w:p w14:paraId="3EDFCB69" w14:textId="77777777" w:rsidR="008430BD" w:rsidRPr="001C3EC8" w:rsidRDefault="008430BD" w:rsidP="00E077F3">
            <w:pPr>
              <w:spacing w:line="240" w:lineRule="auto"/>
              <w:jc w:val="center"/>
              <w:rPr>
                <w:color w:val="000000" w:themeColor="text1"/>
              </w:rPr>
            </w:pPr>
            <w:r w:rsidRPr="001C3EC8">
              <w:rPr>
                <w:color w:val="000000" w:themeColor="text1"/>
              </w:rPr>
              <w:t>JI</w:t>
            </w:r>
          </w:p>
        </w:tc>
        <w:tc>
          <w:tcPr>
            <w:tcW w:w="2320" w:type="dxa"/>
            <w:tcBorders>
              <w:top w:val="nil"/>
              <w:left w:val="nil"/>
              <w:bottom w:val="single" w:sz="4" w:space="0" w:color="auto"/>
              <w:right w:val="nil"/>
            </w:tcBorders>
            <w:shd w:val="clear" w:color="auto" w:fill="auto"/>
            <w:noWrap/>
            <w:vAlign w:val="bottom"/>
            <w:hideMark/>
          </w:tcPr>
          <w:p w14:paraId="2A8B49AC" w14:textId="77777777" w:rsidR="008430BD" w:rsidRPr="001C3EC8" w:rsidRDefault="008430BD" w:rsidP="00E077F3">
            <w:pPr>
              <w:spacing w:line="240" w:lineRule="auto"/>
              <w:jc w:val="left"/>
              <w:rPr>
                <w:color w:val="000000" w:themeColor="text1"/>
              </w:rPr>
            </w:pPr>
            <w:r w:rsidRPr="001C3EC8">
              <w:rPr>
                <w:color w:val="000000" w:themeColor="text1"/>
              </w:rPr>
              <w:t>Rakovník</w:t>
            </w:r>
          </w:p>
        </w:tc>
        <w:tc>
          <w:tcPr>
            <w:tcW w:w="1060" w:type="dxa"/>
            <w:tcBorders>
              <w:top w:val="nil"/>
              <w:left w:val="nil"/>
              <w:bottom w:val="single" w:sz="4" w:space="0" w:color="auto"/>
              <w:right w:val="nil"/>
            </w:tcBorders>
            <w:shd w:val="clear" w:color="auto" w:fill="auto"/>
            <w:noWrap/>
            <w:vAlign w:val="bottom"/>
            <w:hideMark/>
          </w:tcPr>
          <w:p w14:paraId="3C960CBF" w14:textId="77777777" w:rsidR="008430BD" w:rsidRPr="001C3EC8" w:rsidRDefault="008430BD" w:rsidP="00E077F3">
            <w:pPr>
              <w:spacing w:line="240" w:lineRule="auto"/>
              <w:jc w:val="center"/>
              <w:rPr>
                <w:color w:val="000000" w:themeColor="text1"/>
              </w:rPr>
            </w:pPr>
            <w:r w:rsidRPr="001C3EC8">
              <w:rPr>
                <w:color w:val="000000" w:themeColor="text1"/>
              </w:rPr>
              <w:t>RA</w:t>
            </w:r>
          </w:p>
        </w:tc>
      </w:tr>
      <w:tr w:rsidR="008430BD" w:rsidRPr="001C3EC8" w14:paraId="6A58EAB0"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EFB75E7" w14:textId="77777777" w:rsidR="008430BD" w:rsidRPr="001C3EC8" w:rsidRDefault="008430BD" w:rsidP="00E077F3">
            <w:pPr>
              <w:spacing w:line="240" w:lineRule="auto"/>
              <w:jc w:val="left"/>
              <w:rPr>
                <w:color w:val="000000" w:themeColor="text1"/>
              </w:rPr>
            </w:pPr>
            <w:r w:rsidRPr="001C3EC8">
              <w:rPr>
                <w:color w:val="000000" w:themeColor="text1"/>
              </w:rPr>
              <w:t>Jindřichův Hradec</w:t>
            </w:r>
          </w:p>
        </w:tc>
        <w:tc>
          <w:tcPr>
            <w:tcW w:w="1060" w:type="dxa"/>
            <w:tcBorders>
              <w:top w:val="nil"/>
              <w:left w:val="nil"/>
              <w:bottom w:val="single" w:sz="4" w:space="0" w:color="auto"/>
              <w:right w:val="single" w:sz="4" w:space="0" w:color="auto"/>
            </w:tcBorders>
            <w:shd w:val="clear" w:color="auto" w:fill="auto"/>
            <w:noWrap/>
            <w:vAlign w:val="bottom"/>
            <w:hideMark/>
          </w:tcPr>
          <w:p w14:paraId="3FE70BB7" w14:textId="77777777" w:rsidR="008430BD" w:rsidRPr="001C3EC8" w:rsidRDefault="008430BD" w:rsidP="00E077F3">
            <w:pPr>
              <w:spacing w:line="240" w:lineRule="auto"/>
              <w:jc w:val="center"/>
              <w:rPr>
                <w:color w:val="000000" w:themeColor="text1"/>
              </w:rPr>
            </w:pPr>
            <w:r w:rsidRPr="001C3EC8">
              <w:rPr>
                <w:color w:val="000000" w:themeColor="text1"/>
              </w:rPr>
              <w:t>JH</w:t>
            </w:r>
          </w:p>
        </w:tc>
        <w:tc>
          <w:tcPr>
            <w:tcW w:w="2320" w:type="dxa"/>
            <w:tcBorders>
              <w:top w:val="nil"/>
              <w:left w:val="nil"/>
              <w:bottom w:val="single" w:sz="4" w:space="0" w:color="auto"/>
              <w:right w:val="nil"/>
            </w:tcBorders>
            <w:shd w:val="clear" w:color="auto" w:fill="auto"/>
            <w:noWrap/>
            <w:vAlign w:val="bottom"/>
            <w:hideMark/>
          </w:tcPr>
          <w:p w14:paraId="1DB93B6E" w14:textId="77777777" w:rsidR="008430BD" w:rsidRPr="001C3EC8" w:rsidRDefault="008430BD" w:rsidP="00E077F3">
            <w:pPr>
              <w:spacing w:line="240" w:lineRule="auto"/>
              <w:jc w:val="left"/>
              <w:rPr>
                <w:color w:val="000000" w:themeColor="text1"/>
              </w:rPr>
            </w:pPr>
            <w:r w:rsidRPr="001C3EC8">
              <w:rPr>
                <w:color w:val="000000" w:themeColor="text1"/>
              </w:rPr>
              <w:t>Rokycany</w:t>
            </w:r>
          </w:p>
        </w:tc>
        <w:tc>
          <w:tcPr>
            <w:tcW w:w="1060" w:type="dxa"/>
            <w:tcBorders>
              <w:top w:val="nil"/>
              <w:left w:val="nil"/>
              <w:bottom w:val="single" w:sz="4" w:space="0" w:color="auto"/>
              <w:right w:val="nil"/>
            </w:tcBorders>
            <w:shd w:val="clear" w:color="auto" w:fill="auto"/>
            <w:noWrap/>
            <w:vAlign w:val="bottom"/>
            <w:hideMark/>
          </w:tcPr>
          <w:p w14:paraId="6629BD88" w14:textId="77777777" w:rsidR="008430BD" w:rsidRPr="001C3EC8" w:rsidRDefault="008430BD" w:rsidP="00E077F3">
            <w:pPr>
              <w:spacing w:line="240" w:lineRule="auto"/>
              <w:jc w:val="center"/>
              <w:rPr>
                <w:color w:val="000000" w:themeColor="text1"/>
              </w:rPr>
            </w:pPr>
            <w:r w:rsidRPr="001C3EC8">
              <w:rPr>
                <w:color w:val="000000" w:themeColor="text1"/>
              </w:rPr>
              <w:t>RO</w:t>
            </w:r>
          </w:p>
        </w:tc>
      </w:tr>
      <w:tr w:rsidR="008430BD" w:rsidRPr="001C3EC8" w14:paraId="7BB86B2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70304B6F" w14:textId="77777777" w:rsidR="008430BD" w:rsidRPr="001C3EC8" w:rsidRDefault="008430BD" w:rsidP="00E077F3">
            <w:pPr>
              <w:spacing w:line="240" w:lineRule="auto"/>
              <w:jc w:val="left"/>
              <w:rPr>
                <w:color w:val="000000" w:themeColor="text1"/>
              </w:rPr>
            </w:pPr>
            <w:r w:rsidRPr="001C3EC8">
              <w:rPr>
                <w:color w:val="000000" w:themeColor="text1"/>
              </w:rPr>
              <w:t>Karlovy Vary</w:t>
            </w:r>
          </w:p>
        </w:tc>
        <w:tc>
          <w:tcPr>
            <w:tcW w:w="1060" w:type="dxa"/>
            <w:tcBorders>
              <w:top w:val="nil"/>
              <w:left w:val="nil"/>
              <w:bottom w:val="single" w:sz="4" w:space="0" w:color="auto"/>
              <w:right w:val="single" w:sz="4" w:space="0" w:color="auto"/>
            </w:tcBorders>
            <w:shd w:val="clear" w:color="auto" w:fill="auto"/>
            <w:noWrap/>
            <w:vAlign w:val="bottom"/>
            <w:hideMark/>
          </w:tcPr>
          <w:p w14:paraId="07CAD7F1" w14:textId="77777777" w:rsidR="008430BD" w:rsidRPr="001C3EC8" w:rsidRDefault="008430BD" w:rsidP="00E077F3">
            <w:pPr>
              <w:spacing w:line="240" w:lineRule="auto"/>
              <w:jc w:val="center"/>
              <w:rPr>
                <w:color w:val="000000" w:themeColor="text1"/>
              </w:rPr>
            </w:pPr>
            <w:r w:rsidRPr="001C3EC8">
              <w:rPr>
                <w:color w:val="000000" w:themeColor="text1"/>
              </w:rPr>
              <w:t>KV</w:t>
            </w:r>
          </w:p>
        </w:tc>
        <w:tc>
          <w:tcPr>
            <w:tcW w:w="2320" w:type="dxa"/>
            <w:tcBorders>
              <w:top w:val="nil"/>
              <w:left w:val="nil"/>
              <w:bottom w:val="single" w:sz="4" w:space="0" w:color="auto"/>
              <w:right w:val="nil"/>
            </w:tcBorders>
            <w:shd w:val="clear" w:color="auto" w:fill="auto"/>
            <w:noWrap/>
            <w:vAlign w:val="bottom"/>
            <w:hideMark/>
          </w:tcPr>
          <w:p w14:paraId="0BCADA59" w14:textId="77777777" w:rsidR="008430BD" w:rsidRPr="001C3EC8" w:rsidRDefault="008430BD" w:rsidP="00E077F3">
            <w:pPr>
              <w:spacing w:line="240" w:lineRule="auto"/>
              <w:jc w:val="left"/>
              <w:rPr>
                <w:color w:val="000000" w:themeColor="text1"/>
              </w:rPr>
            </w:pPr>
            <w:r w:rsidRPr="001C3EC8">
              <w:rPr>
                <w:color w:val="000000" w:themeColor="text1"/>
              </w:rPr>
              <w:t>Rychnov nad Kněžnou</w:t>
            </w:r>
          </w:p>
        </w:tc>
        <w:tc>
          <w:tcPr>
            <w:tcW w:w="1060" w:type="dxa"/>
            <w:tcBorders>
              <w:top w:val="nil"/>
              <w:left w:val="nil"/>
              <w:bottom w:val="single" w:sz="4" w:space="0" w:color="auto"/>
              <w:right w:val="nil"/>
            </w:tcBorders>
            <w:shd w:val="clear" w:color="auto" w:fill="auto"/>
            <w:noWrap/>
            <w:vAlign w:val="bottom"/>
            <w:hideMark/>
          </w:tcPr>
          <w:p w14:paraId="002738BD" w14:textId="77777777" w:rsidR="008430BD" w:rsidRPr="001C3EC8" w:rsidRDefault="008430BD" w:rsidP="00E077F3">
            <w:pPr>
              <w:spacing w:line="240" w:lineRule="auto"/>
              <w:jc w:val="center"/>
              <w:rPr>
                <w:color w:val="000000" w:themeColor="text1"/>
              </w:rPr>
            </w:pPr>
            <w:r w:rsidRPr="001C3EC8">
              <w:rPr>
                <w:color w:val="000000" w:themeColor="text1"/>
              </w:rPr>
              <w:t>RK</w:t>
            </w:r>
          </w:p>
        </w:tc>
      </w:tr>
      <w:tr w:rsidR="008430BD" w:rsidRPr="001C3EC8" w14:paraId="47FDB9D2"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CF45FE2" w14:textId="77777777" w:rsidR="008430BD" w:rsidRPr="001C3EC8" w:rsidRDefault="008430BD" w:rsidP="00E077F3">
            <w:pPr>
              <w:spacing w:line="240" w:lineRule="auto"/>
              <w:jc w:val="left"/>
              <w:rPr>
                <w:color w:val="000000" w:themeColor="text1"/>
              </w:rPr>
            </w:pPr>
            <w:r w:rsidRPr="001C3EC8">
              <w:rPr>
                <w:color w:val="000000" w:themeColor="text1"/>
              </w:rPr>
              <w:t>Karviná</w:t>
            </w:r>
          </w:p>
        </w:tc>
        <w:tc>
          <w:tcPr>
            <w:tcW w:w="1060" w:type="dxa"/>
            <w:tcBorders>
              <w:top w:val="nil"/>
              <w:left w:val="nil"/>
              <w:bottom w:val="single" w:sz="4" w:space="0" w:color="auto"/>
              <w:right w:val="single" w:sz="4" w:space="0" w:color="auto"/>
            </w:tcBorders>
            <w:shd w:val="clear" w:color="auto" w:fill="auto"/>
            <w:noWrap/>
            <w:vAlign w:val="bottom"/>
            <w:hideMark/>
          </w:tcPr>
          <w:p w14:paraId="760F54B7" w14:textId="77777777" w:rsidR="008430BD" w:rsidRPr="001C3EC8" w:rsidRDefault="008430BD" w:rsidP="00E077F3">
            <w:pPr>
              <w:spacing w:line="240" w:lineRule="auto"/>
              <w:jc w:val="center"/>
              <w:rPr>
                <w:color w:val="000000" w:themeColor="text1"/>
              </w:rPr>
            </w:pPr>
            <w:r w:rsidRPr="001C3EC8">
              <w:rPr>
                <w:color w:val="000000" w:themeColor="text1"/>
              </w:rPr>
              <w:t>KA</w:t>
            </w:r>
          </w:p>
        </w:tc>
        <w:tc>
          <w:tcPr>
            <w:tcW w:w="2320" w:type="dxa"/>
            <w:tcBorders>
              <w:top w:val="nil"/>
              <w:left w:val="nil"/>
              <w:bottom w:val="single" w:sz="4" w:space="0" w:color="auto"/>
              <w:right w:val="nil"/>
            </w:tcBorders>
            <w:shd w:val="clear" w:color="auto" w:fill="auto"/>
            <w:noWrap/>
            <w:vAlign w:val="bottom"/>
            <w:hideMark/>
          </w:tcPr>
          <w:p w14:paraId="4531D4CF" w14:textId="77777777" w:rsidR="008430BD" w:rsidRPr="001C3EC8" w:rsidRDefault="008430BD" w:rsidP="00E077F3">
            <w:pPr>
              <w:spacing w:line="240" w:lineRule="auto"/>
              <w:jc w:val="left"/>
              <w:rPr>
                <w:color w:val="000000" w:themeColor="text1"/>
              </w:rPr>
            </w:pPr>
            <w:r w:rsidRPr="001C3EC8">
              <w:rPr>
                <w:color w:val="000000" w:themeColor="text1"/>
              </w:rPr>
              <w:t>Semily</w:t>
            </w:r>
          </w:p>
        </w:tc>
        <w:tc>
          <w:tcPr>
            <w:tcW w:w="1060" w:type="dxa"/>
            <w:tcBorders>
              <w:top w:val="nil"/>
              <w:left w:val="nil"/>
              <w:bottom w:val="single" w:sz="4" w:space="0" w:color="auto"/>
              <w:right w:val="nil"/>
            </w:tcBorders>
            <w:shd w:val="clear" w:color="auto" w:fill="auto"/>
            <w:noWrap/>
            <w:vAlign w:val="bottom"/>
            <w:hideMark/>
          </w:tcPr>
          <w:p w14:paraId="23BDEB6F" w14:textId="77777777" w:rsidR="008430BD" w:rsidRPr="001C3EC8" w:rsidRDefault="008430BD" w:rsidP="00E077F3">
            <w:pPr>
              <w:spacing w:line="240" w:lineRule="auto"/>
              <w:jc w:val="center"/>
              <w:rPr>
                <w:color w:val="000000" w:themeColor="text1"/>
              </w:rPr>
            </w:pPr>
            <w:r w:rsidRPr="001C3EC8">
              <w:rPr>
                <w:color w:val="000000" w:themeColor="text1"/>
              </w:rPr>
              <w:t>SM</w:t>
            </w:r>
          </w:p>
        </w:tc>
      </w:tr>
      <w:tr w:rsidR="008430BD" w:rsidRPr="001C3EC8" w14:paraId="371F4578"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BCE857A" w14:textId="77777777" w:rsidR="008430BD" w:rsidRPr="001C3EC8" w:rsidRDefault="008430BD" w:rsidP="00E077F3">
            <w:pPr>
              <w:spacing w:line="240" w:lineRule="auto"/>
              <w:jc w:val="left"/>
              <w:rPr>
                <w:color w:val="000000" w:themeColor="text1"/>
              </w:rPr>
            </w:pPr>
            <w:r w:rsidRPr="001C3EC8">
              <w:rPr>
                <w:color w:val="000000" w:themeColor="text1"/>
              </w:rPr>
              <w:t>Kladno</w:t>
            </w:r>
          </w:p>
        </w:tc>
        <w:tc>
          <w:tcPr>
            <w:tcW w:w="1060" w:type="dxa"/>
            <w:tcBorders>
              <w:top w:val="nil"/>
              <w:left w:val="nil"/>
              <w:bottom w:val="single" w:sz="4" w:space="0" w:color="auto"/>
              <w:right w:val="single" w:sz="4" w:space="0" w:color="auto"/>
            </w:tcBorders>
            <w:shd w:val="clear" w:color="auto" w:fill="auto"/>
            <w:noWrap/>
            <w:vAlign w:val="bottom"/>
            <w:hideMark/>
          </w:tcPr>
          <w:p w14:paraId="6CE39181" w14:textId="77777777" w:rsidR="008430BD" w:rsidRPr="001C3EC8" w:rsidRDefault="008430BD" w:rsidP="00E077F3">
            <w:pPr>
              <w:spacing w:line="240" w:lineRule="auto"/>
              <w:jc w:val="center"/>
              <w:rPr>
                <w:color w:val="000000" w:themeColor="text1"/>
              </w:rPr>
            </w:pPr>
            <w:r w:rsidRPr="001C3EC8">
              <w:rPr>
                <w:color w:val="000000" w:themeColor="text1"/>
              </w:rPr>
              <w:t>KL</w:t>
            </w:r>
          </w:p>
        </w:tc>
        <w:tc>
          <w:tcPr>
            <w:tcW w:w="2320" w:type="dxa"/>
            <w:tcBorders>
              <w:top w:val="nil"/>
              <w:left w:val="nil"/>
              <w:bottom w:val="single" w:sz="4" w:space="0" w:color="auto"/>
              <w:right w:val="nil"/>
            </w:tcBorders>
            <w:shd w:val="clear" w:color="auto" w:fill="auto"/>
            <w:noWrap/>
            <w:vAlign w:val="bottom"/>
            <w:hideMark/>
          </w:tcPr>
          <w:p w14:paraId="7151E930" w14:textId="77777777" w:rsidR="008430BD" w:rsidRPr="001C3EC8" w:rsidRDefault="008430BD" w:rsidP="00E077F3">
            <w:pPr>
              <w:spacing w:line="240" w:lineRule="auto"/>
              <w:jc w:val="left"/>
              <w:rPr>
                <w:color w:val="000000" w:themeColor="text1"/>
              </w:rPr>
            </w:pPr>
            <w:r w:rsidRPr="001C3EC8">
              <w:rPr>
                <w:color w:val="000000" w:themeColor="text1"/>
              </w:rPr>
              <w:t>Sokolov</w:t>
            </w:r>
          </w:p>
        </w:tc>
        <w:tc>
          <w:tcPr>
            <w:tcW w:w="1060" w:type="dxa"/>
            <w:tcBorders>
              <w:top w:val="nil"/>
              <w:left w:val="nil"/>
              <w:bottom w:val="single" w:sz="4" w:space="0" w:color="auto"/>
              <w:right w:val="nil"/>
            </w:tcBorders>
            <w:shd w:val="clear" w:color="auto" w:fill="auto"/>
            <w:noWrap/>
            <w:vAlign w:val="bottom"/>
            <w:hideMark/>
          </w:tcPr>
          <w:p w14:paraId="6E6BC2DB" w14:textId="77777777" w:rsidR="008430BD" w:rsidRPr="001C3EC8" w:rsidRDefault="008430BD" w:rsidP="00E077F3">
            <w:pPr>
              <w:spacing w:line="240" w:lineRule="auto"/>
              <w:jc w:val="center"/>
              <w:rPr>
                <w:color w:val="000000" w:themeColor="text1"/>
              </w:rPr>
            </w:pPr>
            <w:r w:rsidRPr="001C3EC8">
              <w:rPr>
                <w:color w:val="000000" w:themeColor="text1"/>
              </w:rPr>
              <w:t>SO</w:t>
            </w:r>
          </w:p>
        </w:tc>
      </w:tr>
      <w:tr w:rsidR="008430BD" w:rsidRPr="001C3EC8" w14:paraId="27952FC3"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45B8D473" w14:textId="77777777" w:rsidR="008430BD" w:rsidRPr="001C3EC8" w:rsidRDefault="008430BD" w:rsidP="00E077F3">
            <w:pPr>
              <w:spacing w:line="240" w:lineRule="auto"/>
              <w:jc w:val="left"/>
              <w:rPr>
                <w:color w:val="000000" w:themeColor="text1"/>
              </w:rPr>
            </w:pPr>
            <w:r w:rsidRPr="001C3EC8">
              <w:rPr>
                <w:color w:val="000000" w:themeColor="text1"/>
              </w:rPr>
              <w:t>Klatovy</w:t>
            </w:r>
          </w:p>
        </w:tc>
        <w:tc>
          <w:tcPr>
            <w:tcW w:w="1060" w:type="dxa"/>
            <w:tcBorders>
              <w:top w:val="nil"/>
              <w:left w:val="nil"/>
              <w:bottom w:val="single" w:sz="4" w:space="0" w:color="auto"/>
              <w:right w:val="single" w:sz="4" w:space="0" w:color="auto"/>
            </w:tcBorders>
            <w:shd w:val="clear" w:color="auto" w:fill="auto"/>
            <w:noWrap/>
            <w:vAlign w:val="bottom"/>
            <w:hideMark/>
          </w:tcPr>
          <w:p w14:paraId="5EBB2108" w14:textId="77777777" w:rsidR="008430BD" w:rsidRPr="001C3EC8" w:rsidRDefault="008430BD" w:rsidP="00E077F3">
            <w:pPr>
              <w:spacing w:line="240" w:lineRule="auto"/>
              <w:jc w:val="center"/>
              <w:rPr>
                <w:color w:val="000000" w:themeColor="text1"/>
              </w:rPr>
            </w:pPr>
            <w:r w:rsidRPr="001C3EC8">
              <w:rPr>
                <w:color w:val="000000" w:themeColor="text1"/>
              </w:rPr>
              <w:t>KT</w:t>
            </w:r>
          </w:p>
        </w:tc>
        <w:tc>
          <w:tcPr>
            <w:tcW w:w="2320" w:type="dxa"/>
            <w:tcBorders>
              <w:top w:val="nil"/>
              <w:left w:val="nil"/>
              <w:bottom w:val="single" w:sz="4" w:space="0" w:color="auto"/>
              <w:right w:val="nil"/>
            </w:tcBorders>
            <w:shd w:val="clear" w:color="auto" w:fill="auto"/>
            <w:noWrap/>
            <w:vAlign w:val="bottom"/>
            <w:hideMark/>
          </w:tcPr>
          <w:p w14:paraId="4BEF2744" w14:textId="77777777" w:rsidR="008430BD" w:rsidRPr="001C3EC8" w:rsidRDefault="008430BD" w:rsidP="00E077F3">
            <w:pPr>
              <w:spacing w:line="240" w:lineRule="auto"/>
              <w:jc w:val="left"/>
              <w:rPr>
                <w:color w:val="000000" w:themeColor="text1"/>
              </w:rPr>
            </w:pPr>
            <w:r w:rsidRPr="001C3EC8">
              <w:rPr>
                <w:color w:val="000000" w:themeColor="text1"/>
              </w:rPr>
              <w:t>Strakonice</w:t>
            </w:r>
          </w:p>
        </w:tc>
        <w:tc>
          <w:tcPr>
            <w:tcW w:w="1060" w:type="dxa"/>
            <w:tcBorders>
              <w:top w:val="nil"/>
              <w:left w:val="nil"/>
              <w:bottom w:val="single" w:sz="4" w:space="0" w:color="auto"/>
              <w:right w:val="nil"/>
            </w:tcBorders>
            <w:shd w:val="clear" w:color="auto" w:fill="auto"/>
            <w:noWrap/>
            <w:vAlign w:val="bottom"/>
            <w:hideMark/>
          </w:tcPr>
          <w:p w14:paraId="30C2431B" w14:textId="77777777" w:rsidR="008430BD" w:rsidRPr="001C3EC8" w:rsidRDefault="008430BD" w:rsidP="00E077F3">
            <w:pPr>
              <w:spacing w:line="240" w:lineRule="auto"/>
              <w:jc w:val="center"/>
              <w:rPr>
                <w:color w:val="000000" w:themeColor="text1"/>
              </w:rPr>
            </w:pPr>
            <w:r w:rsidRPr="001C3EC8">
              <w:rPr>
                <w:color w:val="000000" w:themeColor="text1"/>
              </w:rPr>
              <w:t>ST</w:t>
            </w:r>
          </w:p>
        </w:tc>
      </w:tr>
      <w:tr w:rsidR="008430BD" w:rsidRPr="001C3EC8" w14:paraId="552E0EC7"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1561439" w14:textId="77777777" w:rsidR="008430BD" w:rsidRPr="001C3EC8" w:rsidRDefault="008430BD" w:rsidP="00E077F3">
            <w:pPr>
              <w:spacing w:line="240" w:lineRule="auto"/>
              <w:jc w:val="left"/>
              <w:rPr>
                <w:color w:val="000000" w:themeColor="text1"/>
              </w:rPr>
            </w:pPr>
            <w:r w:rsidRPr="001C3EC8">
              <w:rPr>
                <w:color w:val="000000" w:themeColor="text1"/>
              </w:rPr>
              <w:t>Kolín</w:t>
            </w:r>
          </w:p>
        </w:tc>
        <w:tc>
          <w:tcPr>
            <w:tcW w:w="1060" w:type="dxa"/>
            <w:tcBorders>
              <w:top w:val="nil"/>
              <w:left w:val="nil"/>
              <w:bottom w:val="single" w:sz="4" w:space="0" w:color="auto"/>
              <w:right w:val="single" w:sz="4" w:space="0" w:color="auto"/>
            </w:tcBorders>
            <w:shd w:val="clear" w:color="auto" w:fill="auto"/>
            <w:noWrap/>
            <w:vAlign w:val="bottom"/>
            <w:hideMark/>
          </w:tcPr>
          <w:p w14:paraId="7E529403" w14:textId="77777777" w:rsidR="008430BD" w:rsidRPr="001C3EC8" w:rsidRDefault="008430BD" w:rsidP="00E077F3">
            <w:pPr>
              <w:spacing w:line="240" w:lineRule="auto"/>
              <w:jc w:val="center"/>
              <w:rPr>
                <w:color w:val="000000" w:themeColor="text1"/>
              </w:rPr>
            </w:pPr>
            <w:r w:rsidRPr="001C3EC8">
              <w:rPr>
                <w:color w:val="000000" w:themeColor="text1"/>
              </w:rPr>
              <w:t>KO</w:t>
            </w:r>
          </w:p>
        </w:tc>
        <w:tc>
          <w:tcPr>
            <w:tcW w:w="2320" w:type="dxa"/>
            <w:tcBorders>
              <w:top w:val="nil"/>
              <w:left w:val="nil"/>
              <w:bottom w:val="single" w:sz="4" w:space="0" w:color="auto"/>
              <w:right w:val="nil"/>
            </w:tcBorders>
            <w:shd w:val="clear" w:color="auto" w:fill="auto"/>
            <w:noWrap/>
            <w:vAlign w:val="bottom"/>
            <w:hideMark/>
          </w:tcPr>
          <w:p w14:paraId="410537F7" w14:textId="77777777" w:rsidR="008430BD" w:rsidRPr="001C3EC8" w:rsidRDefault="008430BD" w:rsidP="00E077F3">
            <w:pPr>
              <w:spacing w:line="240" w:lineRule="auto"/>
              <w:jc w:val="left"/>
              <w:rPr>
                <w:color w:val="000000" w:themeColor="text1"/>
              </w:rPr>
            </w:pPr>
            <w:r w:rsidRPr="001C3EC8">
              <w:rPr>
                <w:color w:val="000000" w:themeColor="text1"/>
              </w:rPr>
              <w:t>Svitavy</w:t>
            </w:r>
          </w:p>
        </w:tc>
        <w:tc>
          <w:tcPr>
            <w:tcW w:w="1060" w:type="dxa"/>
            <w:tcBorders>
              <w:top w:val="nil"/>
              <w:left w:val="nil"/>
              <w:bottom w:val="single" w:sz="4" w:space="0" w:color="auto"/>
              <w:right w:val="nil"/>
            </w:tcBorders>
            <w:shd w:val="clear" w:color="auto" w:fill="auto"/>
            <w:noWrap/>
            <w:vAlign w:val="bottom"/>
            <w:hideMark/>
          </w:tcPr>
          <w:p w14:paraId="0040E8C2" w14:textId="77777777" w:rsidR="008430BD" w:rsidRPr="001C3EC8" w:rsidRDefault="008430BD" w:rsidP="00E077F3">
            <w:pPr>
              <w:spacing w:line="240" w:lineRule="auto"/>
              <w:jc w:val="center"/>
              <w:rPr>
                <w:color w:val="000000" w:themeColor="text1"/>
              </w:rPr>
            </w:pPr>
            <w:r w:rsidRPr="001C3EC8">
              <w:rPr>
                <w:color w:val="000000" w:themeColor="text1"/>
              </w:rPr>
              <w:t>SY</w:t>
            </w:r>
          </w:p>
        </w:tc>
      </w:tr>
      <w:tr w:rsidR="008430BD" w:rsidRPr="001C3EC8" w14:paraId="10B716CD"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2F9B9E4" w14:textId="77777777" w:rsidR="008430BD" w:rsidRPr="001C3EC8" w:rsidRDefault="008430BD" w:rsidP="00E077F3">
            <w:pPr>
              <w:spacing w:line="240" w:lineRule="auto"/>
              <w:jc w:val="left"/>
              <w:rPr>
                <w:color w:val="000000" w:themeColor="text1"/>
              </w:rPr>
            </w:pPr>
            <w:r w:rsidRPr="001C3EC8">
              <w:rPr>
                <w:color w:val="000000" w:themeColor="text1"/>
              </w:rPr>
              <w:t>Kroměříž</w:t>
            </w:r>
          </w:p>
        </w:tc>
        <w:tc>
          <w:tcPr>
            <w:tcW w:w="1060" w:type="dxa"/>
            <w:tcBorders>
              <w:top w:val="nil"/>
              <w:left w:val="nil"/>
              <w:bottom w:val="single" w:sz="4" w:space="0" w:color="auto"/>
              <w:right w:val="single" w:sz="4" w:space="0" w:color="auto"/>
            </w:tcBorders>
            <w:shd w:val="clear" w:color="auto" w:fill="auto"/>
            <w:noWrap/>
            <w:vAlign w:val="bottom"/>
            <w:hideMark/>
          </w:tcPr>
          <w:p w14:paraId="215D40A3" w14:textId="77777777" w:rsidR="008430BD" w:rsidRPr="001C3EC8" w:rsidRDefault="008430BD" w:rsidP="00E077F3">
            <w:pPr>
              <w:spacing w:line="240" w:lineRule="auto"/>
              <w:jc w:val="center"/>
              <w:rPr>
                <w:color w:val="000000" w:themeColor="text1"/>
              </w:rPr>
            </w:pPr>
            <w:r w:rsidRPr="001C3EC8">
              <w:rPr>
                <w:color w:val="000000" w:themeColor="text1"/>
              </w:rPr>
              <w:t>KM</w:t>
            </w:r>
          </w:p>
        </w:tc>
        <w:tc>
          <w:tcPr>
            <w:tcW w:w="2320" w:type="dxa"/>
            <w:tcBorders>
              <w:top w:val="nil"/>
              <w:left w:val="nil"/>
              <w:bottom w:val="single" w:sz="4" w:space="0" w:color="auto"/>
              <w:right w:val="nil"/>
            </w:tcBorders>
            <w:shd w:val="clear" w:color="auto" w:fill="auto"/>
            <w:noWrap/>
            <w:vAlign w:val="bottom"/>
            <w:hideMark/>
          </w:tcPr>
          <w:p w14:paraId="11857AC5" w14:textId="77777777" w:rsidR="008430BD" w:rsidRPr="001C3EC8" w:rsidRDefault="008430BD" w:rsidP="00E077F3">
            <w:pPr>
              <w:spacing w:line="240" w:lineRule="auto"/>
              <w:jc w:val="left"/>
              <w:rPr>
                <w:color w:val="000000" w:themeColor="text1"/>
              </w:rPr>
            </w:pPr>
            <w:r w:rsidRPr="001C3EC8">
              <w:rPr>
                <w:color w:val="000000" w:themeColor="text1"/>
              </w:rPr>
              <w:t>Šumperk</w:t>
            </w:r>
          </w:p>
        </w:tc>
        <w:tc>
          <w:tcPr>
            <w:tcW w:w="1060" w:type="dxa"/>
            <w:tcBorders>
              <w:top w:val="nil"/>
              <w:left w:val="nil"/>
              <w:bottom w:val="single" w:sz="4" w:space="0" w:color="auto"/>
              <w:right w:val="nil"/>
            </w:tcBorders>
            <w:shd w:val="clear" w:color="auto" w:fill="auto"/>
            <w:noWrap/>
            <w:vAlign w:val="bottom"/>
            <w:hideMark/>
          </w:tcPr>
          <w:p w14:paraId="48C38AF8" w14:textId="77777777" w:rsidR="008430BD" w:rsidRPr="001C3EC8" w:rsidRDefault="008430BD" w:rsidP="00E077F3">
            <w:pPr>
              <w:spacing w:line="240" w:lineRule="auto"/>
              <w:jc w:val="center"/>
              <w:rPr>
                <w:color w:val="000000" w:themeColor="text1"/>
              </w:rPr>
            </w:pPr>
            <w:r w:rsidRPr="001C3EC8">
              <w:rPr>
                <w:color w:val="000000" w:themeColor="text1"/>
              </w:rPr>
              <w:t>SU</w:t>
            </w:r>
          </w:p>
        </w:tc>
      </w:tr>
      <w:tr w:rsidR="008430BD" w:rsidRPr="001C3EC8" w14:paraId="2D86CC2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AF26D9E" w14:textId="77777777" w:rsidR="008430BD" w:rsidRPr="001C3EC8" w:rsidRDefault="008430BD" w:rsidP="00E077F3">
            <w:pPr>
              <w:spacing w:line="240" w:lineRule="auto"/>
              <w:jc w:val="left"/>
              <w:rPr>
                <w:color w:val="000000" w:themeColor="text1"/>
              </w:rPr>
            </w:pPr>
            <w:r w:rsidRPr="001C3EC8">
              <w:rPr>
                <w:color w:val="000000" w:themeColor="text1"/>
              </w:rPr>
              <w:t>Kutná Hora</w:t>
            </w:r>
          </w:p>
        </w:tc>
        <w:tc>
          <w:tcPr>
            <w:tcW w:w="1060" w:type="dxa"/>
            <w:tcBorders>
              <w:top w:val="nil"/>
              <w:left w:val="nil"/>
              <w:bottom w:val="single" w:sz="4" w:space="0" w:color="auto"/>
              <w:right w:val="single" w:sz="4" w:space="0" w:color="auto"/>
            </w:tcBorders>
            <w:shd w:val="clear" w:color="auto" w:fill="auto"/>
            <w:noWrap/>
            <w:vAlign w:val="bottom"/>
            <w:hideMark/>
          </w:tcPr>
          <w:p w14:paraId="21643A9D" w14:textId="77777777" w:rsidR="008430BD" w:rsidRPr="001C3EC8" w:rsidRDefault="008430BD" w:rsidP="00E077F3">
            <w:pPr>
              <w:spacing w:line="240" w:lineRule="auto"/>
              <w:jc w:val="center"/>
              <w:rPr>
                <w:color w:val="000000" w:themeColor="text1"/>
              </w:rPr>
            </w:pPr>
            <w:r w:rsidRPr="001C3EC8">
              <w:rPr>
                <w:color w:val="000000" w:themeColor="text1"/>
              </w:rPr>
              <w:t>KH</w:t>
            </w:r>
          </w:p>
        </w:tc>
        <w:tc>
          <w:tcPr>
            <w:tcW w:w="2320" w:type="dxa"/>
            <w:tcBorders>
              <w:top w:val="nil"/>
              <w:left w:val="nil"/>
              <w:bottom w:val="single" w:sz="4" w:space="0" w:color="auto"/>
              <w:right w:val="nil"/>
            </w:tcBorders>
            <w:shd w:val="clear" w:color="auto" w:fill="auto"/>
            <w:noWrap/>
            <w:vAlign w:val="bottom"/>
            <w:hideMark/>
          </w:tcPr>
          <w:p w14:paraId="1D296850" w14:textId="77777777" w:rsidR="008430BD" w:rsidRPr="001C3EC8" w:rsidRDefault="008430BD" w:rsidP="00E077F3">
            <w:pPr>
              <w:spacing w:line="240" w:lineRule="auto"/>
              <w:jc w:val="left"/>
              <w:rPr>
                <w:color w:val="000000" w:themeColor="text1"/>
              </w:rPr>
            </w:pPr>
            <w:r w:rsidRPr="001C3EC8">
              <w:rPr>
                <w:color w:val="000000" w:themeColor="text1"/>
              </w:rPr>
              <w:t>Tábor</w:t>
            </w:r>
          </w:p>
        </w:tc>
        <w:tc>
          <w:tcPr>
            <w:tcW w:w="1060" w:type="dxa"/>
            <w:tcBorders>
              <w:top w:val="nil"/>
              <w:left w:val="nil"/>
              <w:bottom w:val="single" w:sz="4" w:space="0" w:color="auto"/>
              <w:right w:val="nil"/>
            </w:tcBorders>
            <w:shd w:val="clear" w:color="auto" w:fill="auto"/>
            <w:noWrap/>
            <w:vAlign w:val="bottom"/>
            <w:hideMark/>
          </w:tcPr>
          <w:p w14:paraId="58937F48" w14:textId="77777777" w:rsidR="008430BD" w:rsidRPr="001C3EC8" w:rsidRDefault="008430BD" w:rsidP="00E077F3">
            <w:pPr>
              <w:spacing w:line="240" w:lineRule="auto"/>
              <w:jc w:val="center"/>
              <w:rPr>
                <w:color w:val="000000" w:themeColor="text1"/>
              </w:rPr>
            </w:pPr>
            <w:r w:rsidRPr="001C3EC8">
              <w:rPr>
                <w:color w:val="000000" w:themeColor="text1"/>
              </w:rPr>
              <w:t>TA</w:t>
            </w:r>
          </w:p>
        </w:tc>
      </w:tr>
      <w:tr w:rsidR="008430BD" w:rsidRPr="001C3EC8" w14:paraId="01277BA1"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7534D63" w14:textId="77777777" w:rsidR="008430BD" w:rsidRPr="001C3EC8" w:rsidRDefault="008430BD" w:rsidP="00E077F3">
            <w:pPr>
              <w:spacing w:line="240" w:lineRule="auto"/>
              <w:jc w:val="left"/>
              <w:rPr>
                <w:color w:val="000000" w:themeColor="text1"/>
              </w:rPr>
            </w:pPr>
            <w:r w:rsidRPr="001C3EC8">
              <w:rPr>
                <w:color w:val="000000" w:themeColor="text1"/>
              </w:rPr>
              <w:t>Liberec</w:t>
            </w:r>
          </w:p>
        </w:tc>
        <w:tc>
          <w:tcPr>
            <w:tcW w:w="1060" w:type="dxa"/>
            <w:tcBorders>
              <w:top w:val="nil"/>
              <w:left w:val="nil"/>
              <w:bottom w:val="single" w:sz="4" w:space="0" w:color="auto"/>
              <w:right w:val="single" w:sz="4" w:space="0" w:color="auto"/>
            </w:tcBorders>
            <w:shd w:val="clear" w:color="auto" w:fill="auto"/>
            <w:noWrap/>
            <w:vAlign w:val="bottom"/>
            <w:hideMark/>
          </w:tcPr>
          <w:p w14:paraId="41CC988B" w14:textId="77777777" w:rsidR="008430BD" w:rsidRPr="001C3EC8" w:rsidRDefault="008430BD" w:rsidP="00E077F3">
            <w:pPr>
              <w:spacing w:line="240" w:lineRule="auto"/>
              <w:jc w:val="center"/>
              <w:rPr>
                <w:color w:val="000000" w:themeColor="text1"/>
              </w:rPr>
            </w:pPr>
            <w:r w:rsidRPr="001C3EC8">
              <w:rPr>
                <w:color w:val="000000" w:themeColor="text1"/>
              </w:rPr>
              <w:t>LB</w:t>
            </w:r>
          </w:p>
        </w:tc>
        <w:tc>
          <w:tcPr>
            <w:tcW w:w="2320" w:type="dxa"/>
            <w:tcBorders>
              <w:top w:val="nil"/>
              <w:left w:val="nil"/>
              <w:bottom w:val="single" w:sz="4" w:space="0" w:color="auto"/>
              <w:right w:val="nil"/>
            </w:tcBorders>
            <w:shd w:val="clear" w:color="auto" w:fill="auto"/>
            <w:noWrap/>
            <w:vAlign w:val="bottom"/>
            <w:hideMark/>
          </w:tcPr>
          <w:p w14:paraId="6104F492" w14:textId="77777777" w:rsidR="008430BD" w:rsidRPr="001C3EC8" w:rsidRDefault="008430BD" w:rsidP="00E077F3">
            <w:pPr>
              <w:spacing w:line="240" w:lineRule="auto"/>
              <w:jc w:val="left"/>
              <w:rPr>
                <w:color w:val="000000" w:themeColor="text1"/>
              </w:rPr>
            </w:pPr>
            <w:r w:rsidRPr="001C3EC8">
              <w:rPr>
                <w:color w:val="000000" w:themeColor="text1"/>
              </w:rPr>
              <w:t>Tachov</w:t>
            </w:r>
          </w:p>
        </w:tc>
        <w:tc>
          <w:tcPr>
            <w:tcW w:w="1060" w:type="dxa"/>
            <w:tcBorders>
              <w:top w:val="nil"/>
              <w:left w:val="nil"/>
              <w:bottom w:val="single" w:sz="4" w:space="0" w:color="auto"/>
              <w:right w:val="nil"/>
            </w:tcBorders>
            <w:shd w:val="clear" w:color="auto" w:fill="auto"/>
            <w:noWrap/>
            <w:vAlign w:val="bottom"/>
            <w:hideMark/>
          </w:tcPr>
          <w:p w14:paraId="16276A58" w14:textId="77777777" w:rsidR="008430BD" w:rsidRPr="001C3EC8" w:rsidRDefault="008430BD" w:rsidP="00E077F3">
            <w:pPr>
              <w:spacing w:line="240" w:lineRule="auto"/>
              <w:jc w:val="center"/>
              <w:rPr>
                <w:color w:val="000000" w:themeColor="text1"/>
              </w:rPr>
            </w:pPr>
            <w:r w:rsidRPr="001C3EC8">
              <w:rPr>
                <w:color w:val="000000" w:themeColor="text1"/>
              </w:rPr>
              <w:t>TC</w:t>
            </w:r>
          </w:p>
        </w:tc>
      </w:tr>
      <w:tr w:rsidR="008430BD" w:rsidRPr="001C3EC8" w14:paraId="61233D1F"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2BE71CE" w14:textId="77777777" w:rsidR="008430BD" w:rsidRPr="001C3EC8" w:rsidRDefault="008430BD" w:rsidP="00E077F3">
            <w:pPr>
              <w:spacing w:line="240" w:lineRule="auto"/>
              <w:jc w:val="left"/>
              <w:rPr>
                <w:color w:val="000000" w:themeColor="text1"/>
              </w:rPr>
            </w:pPr>
            <w:r w:rsidRPr="001C3EC8">
              <w:rPr>
                <w:color w:val="000000" w:themeColor="text1"/>
              </w:rPr>
              <w:t>Litoměřice</w:t>
            </w:r>
          </w:p>
        </w:tc>
        <w:tc>
          <w:tcPr>
            <w:tcW w:w="1060" w:type="dxa"/>
            <w:tcBorders>
              <w:top w:val="nil"/>
              <w:left w:val="nil"/>
              <w:bottom w:val="single" w:sz="4" w:space="0" w:color="auto"/>
              <w:right w:val="single" w:sz="4" w:space="0" w:color="auto"/>
            </w:tcBorders>
            <w:shd w:val="clear" w:color="auto" w:fill="auto"/>
            <w:noWrap/>
            <w:vAlign w:val="bottom"/>
            <w:hideMark/>
          </w:tcPr>
          <w:p w14:paraId="3F20CD05" w14:textId="77777777" w:rsidR="008430BD" w:rsidRPr="001C3EC8" w:rsidRDefault="008430BD" w:rsidP="00E077F3">
            <w:pPr>
              <w:spacing w:line="240" w:lineRule="auto"/>
              <w:jc w:val="center"/>
              <w:rPr>
                <w:color w:val="000000" w:themeColor="text1"/>
              </w:rPr>
            </w:pPr>
            <w:r w:rsidRPr="001C3EC8">
              <w:rPr>
                <w:color w:val="000000" w:themeColor="text1"/>
              </w:rPr>
              <w:t>LT</w:t>
            </w:r>
          </w:p>
        </w:tc>
        <w:tc>
          <w:tcPr>
            <w:tcW w:w="2320" w:type="dxa"/>
            <w:tcBorders>
              <w:top w:val="nil"/>
              <w:left w:val="nil"/>
              <w:bottom w:val="single" w:sz="4" w:space="0" w:color="auto"/>
              <w:right w:val="nil"/>
            </w:tcBorders>
            <w:shd w:val="clear" w:color="auto" w:fill="auto"/>
            <w:noWrap/>
            <w:vAlign w:val="bottom"/>
            <w:hideMark/>
          </w:tcPr>
          <w:p w14:paraId="68660E4F" w14:textId="77777777" w:rsidR="008430BD" w:rsidRPr="001C3EC8" w:rsidRDefault="008430BD" w:rsidP="00E077F3">
            <w:pPr>
              <w:spacing w:line="240" w:lineRule="auto"/>
              <w:jc w:val="left"/>
              <w:rPr>
                <w:color w:val="000000" w:themeColor="text1"/>
              </w:rPr>
            </w:pPr>
            <w:r w:rsidRPr="001C3EC8">
              <w:rPr>
                <w:color w:val="000000" w:themeColor="text1"/>
              </w:rPr>
              <w:t>Teplice</w:t>
            </w:r>
          </w:p>
        </w:tc>
        <w:tc>
          <w:tcPr>
            <w:tcW w:w="1060" w:type="dxa"/>
            <w:tcBorders>
              <w:top w:val="nil"/>
              <w:left w:val="nil"/>
              <w:bottom w:val="single" w:sz="4" w:space="0" w:color="auto"/>
              <w:right w:val="nil"/>
            </w:tcBorders>
            <w:shd w:val="clear" w:color="auto" w:fill="auto"/>
            <w:noWrap/>
            <w:vAlign w:val="bottom"/>
            <w:hideMark/>
          </w:tcPr>
          <w:p w14:paraId="2E3FD035" w14:textId="77777777" w:rsidR="008430BD" w:rsidRPr="001C3EC8" w:rsidRDefault="008430BD" w:rsidP="00E077F3">
            <w:pPr>
              <w:spacing w:line="240" w:lineRule="auto"/>
              <w:jc w:val="center"/>
              <w:rPr>
                <w:color w:val="000000" w:themeColor="text1"/>
              </w:rPr>
            </w:pPr>
            <w:r w:rsidRPr="001C3EC8">
              <w:rPr>
                <w:color w:val="000000" w:themeColor="text1"/>
              </w:rPr>
              <w:t>TP</w:t>
            </w:r>
          </w:p>
        </w:tc>
      </w:tr>
      <w:tr w:rsidR="008430BD" w:rsidRPr="001C3EC8" w14:paraId="24845FA6"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FECAD20" w14:textId="77777777" w:rsidR="008430BD" w:rsidRPr="001C3EC8" w:rsidRDefault="008430BD" w:rsidP="00E077F3">
            <w:pPr>
              <w:spacing w:line="240" w:lineRule="auto"/>
              <w:jc w:val="left"/>
              <w:rPr>
                <w:color w:val="000000" w:themeColor="text1"/>
              </w:rPr>
            </w:pPr>
            <w:r w:rsidRPr="001C3EC8">
              <w:rPr>
                <w:color w:val="000000" w:themeColor="text1"/>
              </w:rPr>
              <w:t>Louny</w:t>
            </w:r>
          </w:p>
        </w:tc>
        <w:tc>
          <w:tcPr>
            <w:tcW w:w="1060" w:type="dxa"/>
            <w:tcBorders>
              <w:top w:val="nil"/>
              <w:left w:val="nil"/>
              <w:bottom w:val="single" w:sz="4" w:space="0" w:color="auto"/>
              <w:right w:val="single" w:sz="4" w:space="0" w:color="auto"/>
            </w:tcBorders>
            <w:shd w:val="clear" w:color="auto" w:fill="auto"/>
            <w:noWrap/>
            <w:vAlign w:val="bottom"/>
            <w:hideMark/>
          </w:tcPr>
          <w:p w14:paraId="55BA5674" w14:textId="77777777" w:rsidR="008430BD" w:rsidRPr="001C3EC8" w:rsidRDefault="008430BD" w:rsidP="00E077F3">
            <w:pPr>
              <w:spacing w:line="240" w:lineRule="auto"/>
              <w:jc w:val="center"/>
              <w:rPr>
                <w:color w:val="000000" w:themeColor="text1"/>
              </w:rPr>
            </w:pPr>
            <w:r w:rsidRPr="001C3EC8">
              <w:rPr>
                <w:color w:val="000000" w:themeColor="text1"/>
              </w:rPr>
              <w:t>LN</w:t>
            </w:r>
          </w:p>
        </w:tc>
        <w:tc>
          <w:tcPr>
            <w:tcW w:w="2320" w:type="dxa"/>
            <w:tcBorders>
              <w:top w:val="nil"/>
              <w:left w:val="nil"/>
              <w:bottom w:val="single" w:sz="4" w:space="0" w:color="auto"/>
              <w:right w:val="nil"/>
            </w:tcBorders>
            <w:shd w:val="clear" w:color="auto" w:fill="auto"/>
            <w:noWrap/>
            <w:vAlign w:val="bottom"/>
            <w:hideMark/>
          </w:tcPr>
          <w:p w14:paraId="689371F6" w14:textId="77777777" w:rsidR="008430BD" w:rsidRPr="001C3EC8" w:rsidRDefault="008430BD" w:rsidP="00E077F3">
            <w:pPr>
              <w:spacing w:line="240" w:lineRule="auto"/>
              <w:jc w:val="left"/>
              <w:rPr>
                <w:color w:val="000000" w:themeColor="text1"/>
              </w:rPr>
            </w:pPr>
            <w:r w:rsidRPr="001C3EC8">
              <w:rPr>
                <w:color w:val="000000" w:themeColor="text1"/>
              </w:rPr>
              <w:t>Trutnov</w:t>
            </w:r>
          </w:p>
        </w:tc>
        <w:tc>
          <w:tcPr>
            <w:tcW w:w="1060" w:type="dxa"/>
            <w:tcBorders>
              <w:top w:val="nil"/>
              <w:left w:val="nil"/>
              <w:bottom w:val="single" w:sz="4" w:space="0" w:color="auto"/>
              <w:right w:val="nil"/>
            </w:tcBorders>
            <w:shd w:val="clear" w:color="auto" w:fill="auto"/>
            <w:noWrap/>
            <w:vAlign w:val="bottom"/>
            <w:hideMark/>
          </w:tcPr>
          <w:p w14:paraId="7B87D1B1" w14:textId="77777777" w:rsidR="008430BD" w:rsidRPr="001C3EC8" w:rsidRDefault="008430BD" w:rsidP="00E077F3">
            <w:pPr>
              <w:spacing w:line="240" w:lineRule="auto"/>
              <w:jc w:val="center"/>
              <w:rPr>
                <w:color w:val="000000" w:themeColor="text1"/>
              </w:rPr>
            </w:pPr>
            <w:r w:rsidRPr="001C3EC8">
              <w:rPr>
                <w:color w:val="000000" w:themeColor="text1"/>
              </w:rPr>
              <w:t>TU</w:t>
            </w:r>
          </w:p>
        </w:tc>
      </w:tr>
      <w:tr w:rsidR="008430BD" w:rsidRPr="001C3EC8" w14:paraId="4EE20BF6"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05562FF6" w14:textId="77777777" w:rsidR="008430BD" w:rsidRPr="001C3EC8" w:rsidRDefault="008430BD" w:rsidP="00E077F3">
            <w:pPr>
              <w:spacing w:line="240" w:lineRule="auto"/>
              <w:jc w:val="left"/>
              <w:rPr>
                <w:color w:val="000000" w:themeColor="text1"/>
              </w:rPr>
            </w:pPr>
            <w:r w:rsidRPr="001C3EC8">
              <w:rPr>
                <w:color w:val="000000" w:themeColor="text1"/>
              </w:rPr>
              <w:t>Mělník</w:t>
            </w:r>
          </w:p>
        </w:tc>
        <w:tc>
          <w:tcPr>
            <w:tcW w:w="1060" w:type="dxa"/>
            <w:tcBorders>
              <w:top w:val="nil"/>
              <w:left w:val="nil"/>
              <w:bottom w:val="single" w:sz="4" w:space="0" w:color="auto"/>
              <w:right w:val="single" w:sz="4" w:space="0" w:color="auto"/>
            </w:tcBorders>
            <w:shd w:val="clear" w:color="auto" w:fill="auto"/>
            <w:noWrap/>
            <w:vAlign w:val="bottom"/>
            <w:hideMark/>
          </w:tcPr>
          <w:p w14:paraId="567A9CE0" w14:textId="77777777" w:rsidR="008430BD" w:rsidRPr="001C3EC8" w:rsidRDefault="008430BD" w:rsidP="00E077F3">
            <w:pPr>
              <w:spacing w:line="240" w:lineRule="auto"/>
              <w:jc w:val="center"/>
              <w:rPr>
                <w:color w:val="000000" w:themeColor="text1"/>
              </w:rPr>
            </w:pPr>
            <w:r w:rsidRPr="001C3EC8">
              <w:rPr>
                <w:color w:val="000000" w:themeColor="text1"/>
              </w:rPr>
              <w:t>ME</w:t>
            </w:r>
          </w:p>
        </w:tc>
        <w:tc>
          <w:tcPr>
            <w:tcW w:w="2320" w:type="dxa"/>
            <w:tcBorders>
              <w:top w:val="nil"/>
              <w:left w:val="nil"/>
              <w:bottom w:val="single" w:sz="4" w:space="0" w:color="auto"/>
              <w:right w:val="nil"/>
            </w:tcBorders>
            <w:shd w:val="clear" w:color="auto" w:fill="auto"/>
            <w:noWrap/>
            <w:vAlign w:val="bottom"/>
            <w:hideMark/>
          </w:tcPr>
          <w:p w14:paraId="38E1132B" w14:textId="77777777" w:rsidR="008430BD" w:rsidRPr="001C3EC8" w:rsidRDefault="008430BD" w:rsidP="00E077F3">
            <w:pPr>
              <w:spacing w:line="240" w:lineRule="auto"/>
              <w:jc w:val="left"/>
              <w:rPr>
                <w:color w:val="000000" w:themeColor="text1"/>
              </w:rPr>
            </w:pPr>
            <w:r w:rsidRPr="001C3EC8">
              <w:rPr>
                <w:color w:val="000000" w:themeColor="text1"/>
              </w:rPr>
              <w:t>Třebíč</w:t>
            </w:r>
          </w:p>
        </w:tc>
        <w:tc>
          <w:tcPr>
            <w:tcW w:w="1060" w:type="dxa"/>
            <w:tcBorders>
              <w:top w:val="nil"/>
              <w:left w:val="nil"/>
              <w:bottom w:val="single" w:sz="4" w:space="0" w:color="auto"/>
              <w:right w:val="nil"/>
            </w:tcBorders>
            <w:shd w:val="clear" w:color="auto" w:fill="auto"/>
            <w:noWrap/>
            <w:vAlign w:val="bottom"/>
            <w:hideMark/>
          </w:tcPr>
          <w:p w14:paraId="2DA931A3" w14:textId="77777777" w:rsidR="008430BD" w:rsidRPr="001C3EC8" w:rsidRDefault="008430BD" w:rsidP="00E077F3">
            <w:pPr>
              <w:spacing w:line="240" w:lineRule="auto"/>
              <w:jc w:val="center"/>
              <w:rPr>
                <w:color w:val="000000" w:themeColor="text1"/>
              </w:rPr>
            </w:pPr>
            <w:r w:rsidRPr="001C3EC8">
              <w:rPr>
                <w:color w:val="000000" w:themeColor="text1"/>
              </w:rPr>
              <w:t>TR</w:t>
            </w:r>
          </w:p>
        </w:tc>
      </w:tr>
      <w:tr w:rsidR="008430BD" w:rsidRPr="001C3EC8" w14:paraId="0FC29413"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0F1BCB9" w14:textId="77777777" w:rsidR="008430BD" w:rsidRPr="001C3EC8" w:rsidRDefault="008430BD" w:rsidP="00E077F3">
            <w:pPr>
              <w:spacing w:line="240" w:lineRule="auto"/>
              <w:jc w:val="left"/>
              <w:rPr>
                <w:color w:val="000000" w:themeColor="text1"/>
              </w:rPr>
            </w:pPr>
            <w:r w:rsidRPr="001C3EC8">
              <w:rPr>
                <w:color w:val="000000" w:themeColor="text1"/>
              </w:rPr>
              <w:t>Mladá Boleslav</w:t>
            </w:r>
          </w:p>
        </w:tc>
        <w:tc>
          <w:tcPr>
            <w:tcW w:w="1060" w:type="dxa"/>
            <w:tcBorders>
              <w:top w:val="nil"/>
              <w:left w:val="nil"/>
              <w:bottom w:val="single" w:sz="4" w:space="0" w:color="auto"/>
              <w:right w:val="single" w:sz="4" w:space="0" w:color="auto"/>
            </w:tcBorders>
            <w:shd w:val="clear" w:color="auto" w:fill="auto"/>
            <w:noWrap/>
            <w:vAlign w:val="bottom"/>
            <w:hideMark/>
          </w:tcPr>
          <w:p w14:paraId="64E1F5AC" w14:textId="77777777" w:rsidR="008430BD" w:rsidRPr="001C3EC8" w:rsidRDefault="008430BD" w:rsidP="00E077F3">
            <w:pPr>
              <w:spacing w:line="240" w:lineRule="auto"/>
              <w:jc w:val="center"/>
              <w:rPr>
                <w:color w:val="000000" w:themeColor="text1"/>
              </w:rPr>
            </w:pPr>
            <w:r w:rsidRPr="001C3EC8">
              <w:rPr>
                <w:color w:val="000000" w:themeColor="text1"/>
              </w:rPr>
              <w:t>MB</w:t>
            </w:r>
          </w:p>
        </w:tc>
        <w:tc>
          <w:tcPr>
            <w:tcW w:w="2320" w:type="dxa"/>
            <w:tcBorders>
              <w:top w:val="nil"/>
              <w:left w:val="nil"/>
              <w:bottom w:val="single" w:sz="4" w:space="0" w:color="auto"/>
              <w:right w:val="nil"/>
            </w:tcBorders>
            <w:shd w:val="clear" w:color="auto" w:fill="auto"/>
            <w:noWrap/>
            <w:vAlign w:val="bottom"/>
            <w:hideMark/>
          </w:tcPr>
          <w:p w14:paraId="4B9AB9F9" w14:textId="77777777" w:rsidR="008430BD" w:rsidRPr="001C3EC8" w:rsidRDefault="008430BD" w:rsidP="00E077F3">
            <w:pPr>
              <w:spacing w:line="240" w:lineRule="auto"/>
              <w:jc w:val="left"/>
              <w:rPr>
                <w:color w:val="000000" w:themeColor="text1"/>
              </w:rPr>
            </w:pPr>
            <w:r w:rsidRPr="001C3EC8">
              <w:rPr>
                <w:color w:val="000000" w:themeColor="text1"/>
              </w:rPr>
              <w:t>Uherské Hradiště</w:t>
            </w:r>
          </w:p>
        </w:tc>
        <w:tc>
          <w:tcPr>
            <w:tcW w:w="1060" w:type="dxa"/>
            <w:tcBorders>
              <w:top w:val="nil"/>
              <w:left w:val="nil"/>
              <w:bottom w:val="single" w:sz="4" w:space="0" w:color="auto"/>
              <w:right w:val="nil"/>
            </w:tcBorders>
            <w:shd w:val="clear" w:color="auto" w:fill="auto"/>
            <w:noWrap/>
            <w:vAlign w:val="bottom"/>
            <w:hideMark/>
          </w:tcPr>
          <w:p w14:paraId="09DD7448" w14:textId="77777777" w:rsidR="008430BD" w:rsidRPr="001C3EC8" w:rsidRDefault="008430BD" w:rsidP="00E077F3">
            <w:pPr>
              <w:spacing w:line="240" w:lineRule="auto"/>
              <w:jc w:val="center"/>
              <w:rPr>
                <w:color w:val="000000" w:themeColor="text1"/>
              </w:rPr>
            </w:pPr>
            <w:r w:rsidRPr="001C3EC8">
              <w:rPr>
                <w:color w:val="000000" w:themeColor="text1"/>
              </w:rPr>
              <w:t>UH</w:t>
            </w:r>
          </w:p>
        </w:tc>
      </w:tr>
      <w:tr w:rsidR="008430BD" w:rsidRPr="001C3EC8" w14:paraId="310D41E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36B74CEF" w14:textId="77777777" w:rsidR="008430BD" w:rsidRPr="001C3EC8" w:rsidRDefault="008430BD" w:rsidP="00E077F3">
            <w:pPr>
              <w:spacing w:line="240" w:lineRule="auto"/>
              <w:jc w:val="left"/>
              <w:rPr>
                <w:color w:val="000000" w:themeColor="text1"/>
              </w:rPr>
            </w:pPr>
            <w:r w:rsidRPr="001C3EC8">
              <w:rPr>
                <w:color w:val="000000" w:themeColor="text1"/>
              </w:rPr>
              <w:t>Most</w:t>
            </w:r>
          </w:p>
        </w:tc>
        <w:tc>
          <w:tcPr>
            <w:tcW w:w="1060" w:type="dxa"/>
            <w:tcBorders>
              <w:top w:val="nil"/>
              <w:left w:val="nil"/>
              <w:bottom w:val="single" w:sz="4" w:space="0" w:color="auto"/>
              <w:right w:val="single" w:sz="4" w:space="0" w:color="auto"/>
            </w:tcBorders>
            <w:shd w:val="clear" w:color="auto" w:fill="auto"/>
            <w:noWrap/>
            <w:vAlign w:val="bottom"/>
            <w:hideMark/>
          </w:tcPr>
          <w:p w14:paraId="310F30DC" w14:textId="77777777" w:rsidR="008430BD" w:rsidRPr="001C3EC8" w:rsidRDefault="008430BD" w:rsidP="00E077F3">
            <w:pPr>
              <w:spacing w:line="240" w:lineRule="auto"/>
              <w:jc w:val="center"/>
              <w:rPr>
                <w:color w:val="000000" w:themeColor="text1"/>
              </w:rPr>
            </w:pPr>
            <w:r w:rsidRPr="001C3EC8">
              <w:rPr>
                <w:color w:val="000000" w:themeColor="text1"/>
              </w:rPr>
              <w:t>MO</w:t>
            </w:r>
          </w:p>
        </w:tc>
        <w:tc>
          <w:tcPr>
            <w:tcW w:w="2320" w:type="dxa"/>
            <w:tcBorders>
              <w:top w:val="nil"/>
              <w:left w:val="nil"/>
              <w:bottom w:val="single" w:sz="4" w:space="0" w:color="auto"/>
              <w:right w:val="nil"/>
            </w:tcBorders>
            <w:shd w:val="clear" w:color="auto" w:fill="auto"/>
            <w:noWrap/>
            <w:vAlign w:val="bottom"/>
            <w:hideMark/>
          </w:tcPr>
          <w:p w14:paraId="2ED23F11" w14:textId="77777777" w:rsidR="008430BD" w:rsidRPr="001C3EC8" w:rsidRDefault="008430BD" w:rsidP="00E077F3">
            <w:pPr>
              <w:spacing w:line="240" w:lineRule="auto"/>
              <w:jc w:val="left"/>
              <w:rPr>
                <w:color w:val="000000" w:themeColor="text1"/>
              </w:rPr>
            </w:pPr>
            <w:r w:rsidRPr="001C3EC8">
              <w:rPr>
                <w:color w:val="000000" w:themeColor="text1"/>
              </w:rPr>
              <w:t>Ústí nad Labem</w:t>
            </w:r>
          </w:p>
        </w:tc>
        <w:tc>
          <w:tcPr>
            <w:tcW w:w="1060" w:type="dxa"/>
            <w:tcBorders>
              <w:top w:val="nil"/>
              <w:left w:val="nil"/>
              <w:bottom w:val="single" w:sz="4" w:space="0" w:color="auto"/>
              <w:right w:val="nil"/>
            </w:tcBorders>
            <w:shd w:val="clear" w:color="auto" w:fill="auto"/>
            <w:noWrap/>
            <w:vAlign w:val="bottom"/>
            <w:hideMark/>
          </w:tcPr>
          <w:p w14:paraId="52CA2C2B" w14:textId="77777777" w:rsidR="008430BD" w:rsidRPr="001C3EC8" w:rsidRDefault="008430BD" w:rsidP="00E077F3">
            <w:pPr>
              <w:spacing w:line="240" w:lineRule="auto"/>
              <w:jc w:val="center"/>
              <w:rPr>
                <w:color w:val="000000" w:themeColor="text1"/>
              </w:rPr>
            </w:pPr>
            <w:r w:rsidRPr="001C3EC8">
              <w:rPr>
                <w:color w:val="000000" w:themeColor="text1"/>
              </w:rPr>
              <w:t>UL</w:t>
            </w:r>
          </w:p>
        </w:tc>
      </w:tr>
      <w:tr w:rsidR="008430BD" w:rsidRPr="001C3EC8" w14:paraId="21C66E2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64A6951B" w14:textId="77777777" w:rsidR="008430BD" w:rsidRPr="001C3EC8" w:rsidRDefault="008430BD" w:rsidP="00E077F3">
            <w:pPr>
              <w:spacing w:line="240" w:lineRule="auto"/>
              <w:jc w:val="left"/>
              <w:rPr>
                <w:color w:val="000000" w:themeColor="text1"/>
              </w:rPr>
            </w:pPr>
            <w:r w:rsidRPr="001C3EC8">
              <w:rPr>
                <w:color w:val="000000" w:themeColor="text1"/>
              </w:rPr>
              <w:t>Náchod</w:t>
            </w:r>
          </w:p>
        </w:tc>
        <w:tc>
          <w:tcPr>
            <w:tcW w:w="1060" w:type="dxa"/>
            <w:tcBorders>
              <w:top w:val="nil"/>
              <w:left w:val="nil"/>
              <w:bottom w:val="single" w:sz="4" w:space="0" w:color="auto"/>
              <w:right w:val="single" w:sz="4" w:space="0" w:color="auto"/>
            </w:tcBorders>
            <w:shd w:val="clear" w:color="auto" w:fill="auto"/>
            <w:noWrap/>
            <w:vAlign w:val="bottom"/>
            <w:hideMark/>
          </w:tcPr>
          <w:p w14:paraId="65B32A9C" w14:textId="77777777" w:rsidR="008430BD" w:rsidRPr="001C3EC8" w:rsidRDefault="008430BD" w:rsidP="00E077F3">
            <w:pPr>
              <w:spacing w:line="240" w:lineRule="auto"/>
              <w:jc w:val="center"/>
              <w:rPr>
                <w:color w:val="000000" w:themeColor="text1"/>
              </w:rPr>
            </w:pPr>
            <w:r w:rsidRPr="001C3EC8">
              <w:rPr>
                <w:color w:val="000000" w:themeColor="text1"/>
              </w:rPr>
              <w:t>NA</w:t>
            </w:r>
          </w:p>
        </w:tc>
        <w:tc>
          <w:tcPr>
            <w:tcW w:w="2320" w:type="dxa"/>
            <w:tcBorders>
              <w:top w:val="nil"/>
              <w:left w:val="nil"/>
              <w:bottom w:val="single" w:sz="4" w:space="0" w:color="auto"/>
              <w:right w:val="nil"/>
            </w:tcBorders>
            <w:shd w:val="clear" w:color="auto" w:fill="auto"/>
            <w:noWrap/>
            <w:vAlign w:val="bottom"/>
            <w:hideMark/>
          </w:tcPr>
          <w:p w14:paraId="2576A1E7" w14:textId="77777777" w:rsidR="008430BD" w:rsidRPr="001C3EC8" w:rsidRDefault="008430BD" w:rsidP="00E077F3">
            <w:pPr>
              <w:spacing w:line="240" w:lineRule="auto"/>
              <w:jc w:val="left"/>
              <w:rPr>
                <w:color w:val="000000" w:themeColor="text1"/>
              </w:rPr>
            </w:pPr>
            <w:r w:rsidRPr="001C3EC8">
              <w:rPr>
                <w:color w:val="000000" w:themeColor="text1"/>
              </w:rPr>
              <w:t>Ústí nad Orlicí</w:t>
            </w:r>
          </w:p>
        </w:tc>
        <w:tc>
          <w:tcPr>
            <w:tcW w:w="1060" w:type="dxa"/>
            <w:tcBorders>
              <w:top w:val="nil"/>
              <w:left w:val="nil"/>
              <w:bottom w:val="single" w:sz="4" w:space="0" w:color="auto"/>
              <w:right w:val="nil"/>
            </w:tcBorders>
            <w:shd w:val="clear" w:color="auto" w:fill="auto"/>
            <w:noWrap/>
            <w:vAlign w:val="bottom"/>
            <w:hideMark/>
          </w:tcPr>
          <w:p w14:paraId="532DDEBA" w14:textId="77777777" w:rsidR="008430BD" w:rsidRPr="001C3EC8" w:rsidRDefault="008430BD" w:rsidP="00E077F3">
            <w:pPr>
              <w:spacing w:line="240" w:lineRule="auto"/>
              <w:jc w:val="center"/>
              <w:rPr>
                <w:color w:val="000000" w:themeColor="text1"/>
              </w:rPr>
            </w:pPr>
            <w:r w:rsidRPr="001C3EC8">
              <w:rPr>
                <w:color w:val="000000" w:themeColor="text1"/>
              </w:rPr>
              <w:t>UO</w:t>
            </w:r>
          </w:p>
        </w:tc>
      </w:tr>
      <w:tr w:rsidR="008430BD" w:rsidRPr="001C3EC8" w14:paraId="0922E1C9"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47D5757" w14:textId="77777777" w:rsidR="008430BD" w:rsidRPr="001C3EC8" w:rsidRDefault="008430BD" w:rsidP="00E077F3">
            <w:pPr>
              <w:spacing w:line="240" w:lineRule="auto"/>
              <w:jc w:val="left"/>
              <w:rPr>
                <w:color w:val="000000" w:themeColor="text1"/>
              </w:rPr>
            </w:pPr>
            <w:r w:rsidRPr="001C3EC8">
              <w:rPr>
                <w:color w:val="000000" w:themeColor="text1"/>
              </w:rPr>
              <w:t>Nový Jičín</w:t>
            </w:r>
          </w:p>
        </w:tc>
        <w:tc>
          <w:tcPr>
            <w:tcW w:w="1060" w:type="dxa"/>
            <w:tcBorders>
              <w:top w:val="nil"/>
              <w:left w:val="nil"/>
              <w:bottom w:val="single" w:sz="4" w:space="0" w:color="auto"/>
              <w:right w:val="single" w:sz="4" w:space="0" w:color="auto"/>
            </w:tcBorders>
            <w:shd w:val="clear" w:color="auto" w:fill="auto"/>
            <w:noWrap/>
            <w:vAlign w:val="bottom"/>
            <w:hideMark/>
          </w:tcPr>
          <w:p w14:paraId="678C77C6" w14:textId="77777777" w:rsidR="008430BD" w:rsidRPr="001C3EC8" w:rsidRDefault="008430BD" w:rsidP="00E077F3">
            <w:pPr>
              <w:spacing w:line="240" w:lineRule="auto"/>
              <w:jc w:val="center"/>
              <w:rPr>
                <w:color w:val="000000" w:themeColor="text1"/>
              </w:rPr>
            </w:pPr>
            <w:r w:rsidRPr="001C3EC8">
              <w:rPr>
                <w:color w:val="000000" w:themeColor="text1"/>
              </w:rPr>
              <w:t>NJ</w:t>
            </w:r>
          </w:p>
        </w:tc>
        <w:tc>
          <w:tcPr>
            <w:tcW w:w="2320" w:type="dxa"/>
            <w:tcBorders>
              <w:top w:val="nil"/>
              <w:left w:val="nil"/>
              <w:bottom w:val="single" w:sz="4" w:space="0" w:color="auto"/>
              <w:right w:val="nil"/>
            </w:tcBorders>
            <w:shd w:val="clear" w:color="auto" w:fill="auto"/>
            <w:noWrap/>
            <w:vAlign w:val="bottom"/>
            <w:hideMark/>
          </w:tcPr>
          <w:p w14:paraId="12DBD899" w14:textId="77777777" w:rsidR="008430BD" w:rsidRPr="001C3EC8" w:rsidRDefault="008430BD" w:rsidP="00E077F3">
            <w:pPr>
              <w:spacing w:line="240" w:lineRule="auto"/>
              <w:jc w:val="left"/>
              <w:rPr>
                <w:color w:val="000000" w:themeColor="text1"/>
              </w:rPr>
            </w:pPr>
            <w:r w:rsidRPr="001C3EC8">
              <w:rPr>
                <w:color w:val="000000" w:themeColor="text1"/>
              </w:rPr>
              <w:t>Vsetín</w:t>
            </w:r>
          </w:p>
        </w:tc>
        <w:tc>
          <w:tcPr>
            <w:tcW w:w="1060" w:type="dxa"/>
            <w:tcBorders>
              <w:top w:val="nil"/>
              <w:left w:val="nil"/>
              <w:bottom w:val="single" w:sz="4" w:space="0" w:color="auto"/>
              <w:right w:val="nil"/>
            </w:tcBorders>
            <w:shd w:val="clear" w:color="auto" w:fill="auto"/>
            <w:noWrap/>
            <w:vAlign w:val="bottom"/>
            <w:hideMark/>
          </w:tcPr>
          <w:p w14:paraId="17112E1E" w14:textId="77777777" w:rsidR="008430BD" w:rsidRPr="001C3EC8" w:rsidRDefault="008430BD" w:rsidP="00E077F3">
            <w:pPr>
              <w:spacing w:line="240" w:lineRule="auto"/>
              <w:jc w:val="center"/>
              <w:rPr>
                <w:color w:val="000000" w:themeColor="text1"/>
              </w:rPr>
            </w:pPr>
            <w:r w:rsidRPr="001C3EC8">
              <w:rPr>
                <w:color w:val="000000" w:themeColor="text1"/>
              </w:rPr>
              <w:t>VS</w:t>
            </w:r>
          </w:p>
        </w:tc>
      </w:tr>
      <w:tr w:rsidR="008430BD" w:rsidRPr="001C3EC8" w14:paraId="636C961C"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1A3C87EE" w14:textId="77777777" w:rsidR="008430BD" w:rsidRPr="001C3EC8" w:rsidRDefault="008430BD" w:rsidP="00E077F3">
            <w:pPr>
              <w:spacing w:line="240" w:lineRule="auto"/>
              <w:jc w:val="left"/>
              <w:rPr>
                <w:color w:val="000000" w:themeColor="text1"/>
              </w:rPr>
            </w:pPr>
            <w:r w:rsidRPr="001C3EC8">
              <w:rPr>
                <w:color w:val="000000" w:themeColor="text1"/>
              </w:rPr>
              <w:t>Nymburk</w:t>
            </w:r>
          </w:p>
        </w:tc>
        <w:tc>
          <w:tcPr>
            <w:tcW w:w="1060" w:type="dxa"/>
            <w:tcBorders>
              <w:top w:val="nil"/>
              <w:left w:val="nil"/>
              <w:bottom w:val="single" w:sz="4" w:space="0" w:color="auto"/>
              <w:right w:val="single" w:sz="4" w:space="0" w:color="auto"/>
            </w:tcBorders>
            <w:shd w:val="clear" w:color="auto" w:fill="auto"/>
            <w:noWrap/>
            <w:vAlign w:val="bottom"/>
            <w:hideMark/>
          </w:tcPr>
          <w:p w14:paraId="1F3779DF" w14:textId="77777777" w:rsidR="008430BD" w:rsidRPr="001C3EC8" w:rsidRDefault="008430BD" w:rsidP="00E077F3">
            <w:pPr>
              <w:spacing w:line="240" w:lineRule="auto"/>
              <w:jc w:val="center"/>
              <w:rPr>
                <w:color w:val="000000" w:themeColor="text1"/>
              </w:rPr>
            </w:pPr>
            <w:r w:rsidRPr="001C3EC8">
              <w:rPr>
                <w:color w:val="000000" w:themeColor="text1"/>
              </w:rPr>
              <w:t>NB</w:t>
            </w:r>
          </w:p>
        </w:tc>
        <w:tc>
          <w:tcPr>
            <w:tcW w:w="2320" w:type="dxa"/>
            <w:tcBorders>
              <w:top w:val="nil"/>
              <w:left w:val="nil"/>
              <w:bottom w:val="single" w:sz="4" w:space="0" w:color="auto"/>
              <w:right w:val="nil"/>
            </w:tcBorders>
            <w:shd w:val="clear" w:color="auto" w:fill="auto"/>
            <w:noWrap/>
            <w:vAlign w:val="bottom"/>
            <w:hideMark/>
          </w:tcPr>
          <w:p w14:paraId="2E4B33A2" w14:textId="77777777" w:rsidR="008430BD" w:rsidRPr="001C3EC8" w:rsidRDefault="008430BD" w:rsidP="00E077F3">
            <w:pPr>
              <w:spacing w:line="240" w:lineRule="auto"/>
              <w:jc w:val="left"/>
              <w:rPr>
                <w:color w:val="000000" w:themeColor="text1"/>
              </w:rPr>
            </w:pPr>
            <w:r w:rsidRPr="001C3EC8">
              <w:rPr>
                <w:color w:val="000000" w:themeColor="text1"/>
              </w:rPr>
              <w:t>Vyškov</w:t>
            </w:r>
          </w:p>
        </w:tc>
        <w:tc>
          <w:tcPr>
            <w:tcW w:w="1060" w:type="dxa"/>
            <w:tcBorders>
              <w:top w:val="nil"/>
              <w:left w:val="nil"/>
              <w:bottom w:val="single" w:sz="4" w:space="0" w:color="auto"/>
              <w:right w:val="nil"/>
            </w:tcBorders>
            <w:shd w:val="clear" w:color="auto" w:fill="auto"/>
            <w:noWrap/>
            <w:vAlign w:val="bottom"/>
            <w:hideMark/>
          </w:tcPr>
          <w:p w14:paraId="16089C9B" w14:textId="77777777" w:rsidR="008430BD" w:rsidRPr="001C3EC8" w:rsidRDefault="008430BD" w:rsidP="00E077F3">
            <w:pPr>
              <w:spacing w:line="240" w:lineRule="auto"/>
              <w:jc w:val="center"/>
              <w:rPr>
                <w:color w:val="000000" w:themeColor="text1"/>
              </w:rPr>
            </w:pPr>
            <w:r w:rsidRPr="001C3EC8">
              <w:rPr>
                <w:color w:val="000000" w:themeColor="text1"/>
              </w:rPr>
              <w:t>VY</w:t>
            </w:r>
          </w:p>
        </w:tc>
      </w:tr>
      <w:tr w:rsidR="008430BD" w:rsidRPr="001C3EC8" w14:paraId="5DE121AB"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57C7AC07" w14:textId="77777777" w:rsidR="008430BD" w:rsidRPr="001C3EC8" w:rsidRDefault="008430BD" w:rsidP="00E077F3">
            <w:pPr>
              <w:spacing w:line="240" w:lineRule="auto"/>
              <w:jc w:val="left"/>
              <w:rPr>
                <w:color w:val="000000" w:themeColor="text1"/>
              </w:rPr>
            </w:pPr>
            <w:r w:rsidRPr="001C3EC8">
              <w:rPr>
                <w:color w:val="000000" w:themeColor="text1"/>
              </w:rPr>
              <w:t>Olomouc</w:t>
            </w:r>
          </w:p>
        </w:tc>
        <w:tc>
          <w:tcPr>
            <w:tcW w:w="1060" w:type="dxa"/>
            <w:tcBorders>
              <w:top w:val="nil"/>
              <w:left w:val="nil"/>
              <w:bottom w:val="single" w:sz="4" w:space="0" w:color="auto"/>
              <w:right w:val="single" w:sz="4" w:space="0" w:color="auto"/>
            </w:tcBorders>
            <w:shd w:val="clear" w:color="auto" w:fill="auto"/>
            <w:noWrap/>
            <w:vAlign w:val="bottom"/>
            <w:hideMark/>
          </w:tcPr>
          <w:p w14:paraId="221F6C0D" w14:textId="77777777" w:rsidR="008430BD" w:rsidRPr="001C3EC8" w:rsidRDefault="008430BD" w:rsidP="00E077F3">
            <w:pPr>
              <w:spacing w:line="240" w:lineRule="auto"/>
              <w:jc w:val="center"/>
              <w:rPr>
                <w:color w:val="000000" w:themeColor="text1"/>
              </w:rPr>
            </w:pPr>
            <w:r w:rsidRPr="001C3EC8">
              <w:rPr>
                <w:color w:val="000000" w:themeColor="text1"/>
              </w:rPr>
              <w:t>OC</w:t>
            </w:r>
          </w:p>
        </w:tc>
        <w:tc>
          <w:tcPr>
            <w:tcW w:w="2320" w:type="dxa"/>
            <w:tcBorders>
              <w:top w:val="nil"/>
              <w:left w:val="nil"/>
              <w:bottom w:val="single" w:sz="4" w:space="0" w:color="auto"/>
              <w:right w:val="nil"/>
            </w:tcBorders>
            <w:shd w:val="clear" w:color="auto" w:fill="auto"/>
            <w:noWrap/>
            <w:vAlign w:val="bottom"/>
            <w:hideMark/>
          </w:tcPr>
          <w:p w14:paraId="2A80EA98" w14:textId="77777777" w:rsidR="008430BD" w:rsidRPr="001C3EC8" w:rsidRDefault="008430BD" w:rsidP="00E077F3">
            <w:pPr>
              <w:spacing w:line="240" w:lineRule="auto"/>
              <w:jc w:val="left"/>
              <w:rPr>
                <w:color w:val="000000" w:themeColor="text1"/>
              </w:rPr>
            </w:pPr>
            <w:r w:rsidRPr="001C3EC8">
              <w:rPr>
                <w:color w:val="000000" w:themeColor="text1"/>
              </w:rPr>
              <w:t>Zlín</w:t>
            </w:r>
          </w:p>
        </w:tc>
        <w:tc>
          <w:tcPr>
            <w:tcW w:w="1060" w:type="dxa"/>
            <w:tcBorders>
              <w:top w:val="nil"/>
              <w:left w:val="nil"/>
              <w:bottom w:val="single" w:sz="4" w:space="0" w:color="auto"/>
              <w:right w:val="nil"/>
            </w:tcBorders>
            <w:shd w:val="clear" w:color="auto" w:fill="auto"/>
            <w:noWrap/>
            <w:vAlign w:val="bottom"/>
            <w:hideMark/>
          </w:tcPr>
          <w:p w14:paraId="2EB481B7" w14:textId="77777777" w:rsidR="008430BD" w:rsidRPr="001C3EC8" w:rsidRDefault="008430BD" w:rsidP="00E077F3">
            <w:pPr>
              <w:spacing w:line="240" w:lineRule="auto"/>
              <w:jc w:val="center"/>
              <w:rPr>
                <w:color w:val="000000" w:themeColor="text1"/>
              </w:rPr>
            </w:pPr>
            <w:r w:rsidRPr="001C3EC8">
              <w:rPr>
                <w:color w:val="000000" w:themeColor="text1"/>
              </w:rPr>
              <w:t>ZL</w:t>
            </w:r>
          </w:p>
        </w:tc>
      </w:tr>
      <w:tr w:rsidR="008430BD" w:rsidRPr="001C3EC8" w14:paraId="37AC1FFA" w14:textId="77777777" w:rsidTr="00E077F3">
        <w:trPr>
          <w:trHeight w:val="285"/>
          <w:jc w:val="center"/>
        </w:trPr>
        <w:tc>
          <w:tcPr>
            <w:tcW w:w="2320" w:type="dxa"/>
            <w:tcBorders>
              <w:top w:val="nil"/>
              <w:left w:val="nil"/>
              <w:bottom w:val="single" w:sz="4" w:space="0" w:color="auto"/>
              <w:right w:val="nil"/>
            </w:tcBorders>
            <w:shd w:val="clear" w:color="auto" w:fill="auto"/>
            <w:noWrap/>
            <w:vAlign w:val="bottom"/>
            <w:hideMark/>
          </w:tcPr>
          <w:p w14:paraId="20D5954F" w14:textId="77777777" w:rsidR="008430BD" w:rsidRPr="001C3EC8" w:rsidRDefault="008430BD" w:rsidP="00E077F3">
            <w:pPr>
              <w:spacing w:line="240" w:lineRule="auto"/>
              <w:jc w:val="left"/>
              <w:rPr>
                <w:color w:val="000000" w:themeColor="text1"/>
              </w:rPr>
            </w:pPr>
            <w:r w:rsidRPr="001C3EC8">
              <w:rPr>
                <w:color w:val="000000" w:themeColor="text1"/>
              </w:rPr>
              <w:t>Opava</w:t>
            </w:r>
          </w:p>
        </w:tc>
        <w:tc>
          <w:tcPr>
            <w:tcW w:w="1060" w:type="dxa"/>
            <w:tcBorders>
              <w:top w:val="nil"/>
              <w:left w:val="nil"/>
              <w:bottom w:val="single" w:sz="4" w:space="0" w:color="auto"/>
              <w:right w:val="single" w:sz="4" w:space="0" w:color="auto"/>
            </w:tcBorders>
            <w:shd w:val="clear" w:color="auto" w:fill="auto"/>
            <w:noWrap/>
            <w:vAlign w:val="bottom"/>
            <w:hideMark/>
          </w:tcPr>
          <w:p w14:paraId="3CCDB8AA" w14:textId="77777777" w:rsidR="008430BD" w:rsidRPr="001C3EC8" w:rsidRDefault="008430BD" w:rsidP="00E077F3">
            <w:pPr>
              <w:spacing w:line="240" w:lineRule="auto"/>
              <w:jc w:val="center"/>
              <w:rPr>
                <w:color w:val="000000" w:themeColor="text1"/>
              </w:rPr>
            </w:pPr>
            <w:r w:rsidRPr="001C3EC8">
              <w:rPr>
                <w:color w:val="000000" w:themeColor="text1"/>
              </w:rPr>
              <w:t>OP</w:t>
            </w:r>
          </w:p>
        </w:tc>
        <w:tc>
          <w:tcPr>
            <w:tcW w:w="2320" w:type="dxa"/>
            <w:tcBorders>
              <w:top w:val="nil"/>
              <w:left w:val="nil"/>
              <w:bottom w:val="single" w:sz="4" w:space="0" w:color="auto"/>
              <w:right w:val="nil"/>
            </w:tcBorders>
            <w:shd w:val="clear" w:color="auto" w:fill="auto"/>
            <w:noWrap/>
            <w:vAlign w:val="bottom"/>
            <w:hideMark/>
          </w:tcPr>
          <w:p w14:paraId="3B3217BE" w14:textId="77777777" w:rsidR="008430BD" w:rsidRPr="001C3EC8" w:rsidRDefault="008430BD" w:rsidP="00E077F3">
            <w:pPr>
              <w:spacing w:line="240" w:lineRule="auto"/>
              <w:jc w:val="left"/>
              <w:rPr>
                <w:color w:val="000000" w:themeColor="text1"/>
              </w:rPr>
            </w:pPr>
            <w:r w:rsidRPr="001C3EC8">
              <w:rPr>
                <w:color w:val="000000" w:themeColor="text1"/>
              </w:rPr>
              <w:t>Znojmo</w:t>
            </w:r>
          </w:p>
        </w:tc>
        <w:tc>
          <w:tcPr>
            <w:tcW w:w="1060" w:type="dxa"/>
            <w:tcBorders>
              <w:top w:val="nil"/>
              <w:left w:val="nil"/>
              <w:bottom w:val="single" w:sz="4" w:space="0" w:color="auto"/>
              <w:right w:val="nil"/>
            </w:tcBorders>
            <w:shd w:val="clear" w:color="auto" w:fill="auto"/>
            <w:noWrap/>
            <w:vAlign w:val="bottom"/>
            <w:hideMark/>
          </w:tcPr>
          <w:p w14:paraId="0BC5A087" w14:textId="77777777" w:rsidR="008430BD" w:rsidRPr="001C3EC8" w:rsidRDefault="008430BD" w:rsidP="00E077F3">
            <w:pPr>
              <w:spacing w:line="240" w:lineRule="auto"/>
              <w:jc w:val="center"/>
              <w:rPr>
                <w:color w:val="000000" w:themeColor="text1"/>
              </w:rPr>
            </w:pPr>
            <w:r w:rsidRPr="001C3EC8">
              <w:rPr>
                <w:color w:val="000000" w:themeColor="text1"/>
              </w:rPr>
              <w:t>ZN</w:t>
            </w:r>
          </w:p>
        </w:tc>
      </w:tr>
      <w:tr w:rsidR="008430BD" w:rsidRPr="001C3EC8" w14:paraId="4AC7F755" w14:textId="77777777" w:rsidTr="00E077F3">
        <w:trPr>
          <w:trHeight w:val="285"/>
          <w:jc w:val="center"/>
        </w:trPr>
        <w:tc>
          <w:tcPr>
            <w:tcW w:w="2320" w:type="dxa"/>
            <w:tcBorders>
              <w:top w:val="nil"/>
              <w:left w:val="nil"/>
              <w:bottom w:val="double" w:sz="6" w:space="0" w:color="auto"/>
              <w:right w:val="nil"/>
            </w:tcBorders>
            <w:shd w:val="clear" w:color="auto" w:fill="auto"/>
            <w:noWrap/>
            <w:vAlign w:val="bottom"/>
            <w:hideMark/>
          </w:tcPr>
          <w:p w14:paraId="615397DB" w14:textId="77777777" w:rsidR="008430BD" w:rsidRPr="001C3EC8" w:rsidRDefault="008430BD" w:rsidP="00E077F3">
            <w:pPr>
              <w:spacing w:line="240" w:lineRule="auto"/>
              <w:jc w:val="left"/>
              <w:rPr>
                <w:color w:val="000000" w:themeColor="text1"/>
              </w:rPr>
            </w:pPr>
            <w:r w:rsidRPr="001C3EC8">
              <w:rPr>
                <w:color w:val="000000" w:themeColor="text1"/>
              </w:rPr>
              <w:t>Ostrava</w:t>
            </w:r>
          </w:p>
        </w:tc>
        <w:tc>
          <w:tcPr>
            <w:tcW w:w="1060" w:type="dxa"/>
            <w:tcBorders>
              <w:top w:val="nil"/>
              <w:left w:val="nil"/>
              <w:bottom w:val="double" w:sz="6" w:space="0" w:color="auto"/>
              <w:right w:val="single" w:sz="4" w:space="0" w:color="auto"/>
            </w:tcBorders>
            <w:shd w:val="clear" w:color="auto" w:fill="auto"/>
            <w:noWrap/>
            <w:vAlign w:val="bottom"/>
            <w:hideMark/>
          </w:tcPr>
          <w:p w14:paraId="5EF584D3" w14:textId="77777777" w:rsidR="008430BD" w:rsidRPr="001C3EC8" w:rsidRDefault="008430BD" w:rsidP="00E077F3">
            <w:pPr>
              <w:spacing w:line="240" w:lineRule="auto"/>
              <w:jc w:val="center"/>
              <w:rPr>
                <w:color w:val="000000" w:themeColor="text1"/>
              </w:rPr>
            </w:pPr>
            <w:r w:rsidRPr="001C3EC8">
              <w:rPr>
                <w:color w:val="000000" w:themeColor="text1"/>
              </w:rPr>
              <w:t>OS</w:t>
            </w:r>
          </w:p>
        </w:tc>
        <w:tc>
          <w:tcPr>
            <w:tcW w:w="2320" w:type="dxa"/>
            <w:tcBorders>
              <w:top w:val="nil"/>
              <w:left w:val="nil"/>
              <w:bottom w:val="double" w:sz="6" w:space="0" w:color="auto"/>
              <w:right w:val="nil"/>
            </w:tcBorders>
            <w:shd w:val="clear" w:color="auto" w:fill="auto"/>
            <w:noWrap/>
            <w:vAlign w:val="bottom"/>
            <w:hideMark/>
          </w:tcPr>
          <w:p w14:paraId="0BF56B72" w14:textId="77777777" w:rsidR="008430BD" w:rsidRPr="001C3EC8" w:rsidRDefault="008430BD" w:rsidP="00E077F3">
            <w:pPr>
              <w:spacing w:line="240" w:lineRule="auto"/>
              <w:jc w:val="left"/>
              <w:rPr>
                <w:color w:val="000000" w:themeColor="text1"/>
              </w:rPr>
            </w:pPr>
            <w:r w:rsidRPr="001C3EC8">
              <w:rPr>
                <w:color w:val="000000" w:themeColor="text1"/>
              </w:rPr>
              <w:t>Žďár nad Sázavou</w:t>
            </w:r>
          </w:p>
        </w:tc>
        <w:tc>
          <w:tcPr>
            <w:tcW w:w="1060" w:type="dxa"/>
            <w:tcBorders>
              <w:top w:val="nil"/>
              <w:left w:val="nil"/>
              <w:bottom w:val="double" w:sz="6" w:space="0" w:color="auto"/>
              <w:right w:val="nil"/>
            </w:tcBorders>
            <w:shd w:val="clear" w:color="auto" w:fill="auto"/>
            <w:noWrap/>
            <w:vAlign w:val="bottom"/>
            <w:hideMark/>
          </w:tcPr>
          <w:p w14:paraId="6127B141" w14:textId="77777777" w:rsidR="008430BD" w:rsidRPr="001C3EC8" w:rsidRDefault="008430BD" w:rsidP="00E077F3">
            <w:pPr>
              <w:spacing w:line="240" w:lineRule="auto"/>
              <w:jc w:val="center"/>
              <w:rPr>
                <w:color w:val="000000" w:themeColor="text1"/>
              </w:rPr>
            </w:pPr>
            <w:r w:rsidRPr="001C3EC8">
              <w:rPr>
                <w:color w:val="000000" w:themeColor="text1"/>
              </w:rPr>
              <w:t>ZR</w:t>
            </w:r>
          </w:p>
        </w:tc>
      </w:tr>
    </w:tbl>
    <w:p w14:paraId="74686738" w14:textId="77777777" w:rsidR="008430BD" w:rsidRPr="001C3EC8" w:rsidRDefault="008430BD" w:rsidP="008430BD">
      <w:pPr>
        <w:pStyle w:val="Nadpis2"/>
        <w:ind w:left="578" w:hanging="578"/>
      </w:pPr>
      <w:bookmarkStart w:id="943" w:name="_Toc487791321"/>
      <w:bookmarkStart w:id="944" w:name="_Toc75952175"/>
      <w:r w:rsidRPr="001C3EC8">
        <w:lastRenderedPageBreak/>
        <w:t>Příloha C – seznam vybraných rejstříků soudů</w:t>
      </w:r>
      <w:bookmarkEnd w:id="943"/>
      <w:bookmarkEnd w:id="944"/>
    </w:p>
    <w:p w14:paraId="644CCC66" w14:textId="77777777" w:rsidR="008430BD" w:rsidRPr="001C3EC8" w:rsidRDefault="008430BD" w:rsidP="008430BD">
      <w:pPr>
        <w:rPr>
          <w:color w:val="000000" w:themeColor="text1"/>
        </w:rPr>
      </w:pPr>
    </w:p>
    <w:tbl>
      <w:tblPr>
        <w:tblW w:w="9100" w:type="dxa"/>
        <w:tblInd w:w="55" w:type="dxa"/>
        <w:tblCellMar>
          <w:left w:w="70" w:type="dxa"/>
          <w:right w:w="70" w:type="dxa"/>
        </w:tblCellMar>
        <w:tblLook w:val="04A0" w:firstRow="1" w:lastRow="0" w:firstColumn="1" w:lastColumn="0" w:noHBand="0" w:noVBand="1"/>
      </w:tblPr>
      <w:tblGrid>
        <w:gridCol w:w="960"/>
        <w:gridCol w:w="8140"/>
      </w:tblGrid>
      <w:tr w:rsidR="008430BD" w:rsidRPr="001C3EC8" w14:paraId="51F7EAB5" w14:textId="77777777" w:rsidTr="00E077F3">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714A4509" w14:textId="77777777" w:rsidR="008430BD" w:rsidRPr="001C3EC8" w:rsidRDefault="008430BD" w:rsidP="00E077F3">
            <w:pPr>
              <w:spacing w:line="240" w:lineRule="auto"/>
              <w:jc w:val="left"/>
              <w:rPr>
                <w:rFonts w:eastAsia="Times New Roman"/>
                <w:b/>
                <w:bCs/>
                <w:color w:val="000000" w:themeColor="text1"/>
                <w:szCs w:val="24"/>
                <w:lang w:eastAsia="cs-CZ"/>
              </w:rPr>
            </w:pPr>
            <w:bookmarkStart w:id="945" w:name="_Toc487791322"/>
            <w:r w:rsidRPr="001C3EC8">
              <w:rPr>
                <w:rFonts w:eastAsia="Times New Roman"/>
                <w:b/>
                <w:bCs/>
                <w:color w:val="000000" w:themeColor="text1"/>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9475E42" w14:textId="77777777" w:rsidR="008430BD" w:rsidRPr="001C3EC8" w:rsidRDefault="008430BD" w:rsidP="00E077F3">
            <w:pPr>
              <w:spacing w:line="240" w:lineRule="auto"/>
              <w:jc w:val="left"/>
              <w:rPr>
                <w:rFonts w:eastAsia="Times New Roman"/>
                <w:b/>
                <w:bCs/>
                <w:color w:val="000000" w:themeColor="text1"/>
                <w:szCs w:val="24"/>
                <w:lang w:eastAsia="cs-CZ"/>
              </w:rPr>
            </w:pPr>
            <w:r w:rsidRPr="001C3EC8">
              <w:rPr>
                <w:rFonts w:eastAsia="Times New Roman"/>
                <w:b/>
                <w:bCs/>
                <w:color w:val="000000" w:themeColor="text1"/>
                <w:szCs w:val="24"/>
                <w:lang w:eastAsia="cs-CZ"/>
              </w:rPr>
              <w:t>Popis</w:t>
            </w:r>
          </w:p>
        </w:tc>
      </w:tr>
      <w:tr w:rsidR="008430BD" w:rsidRPr="001C3EC8" w14:paraId="5AAFC9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EF40EB3"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A (KS)</w:t>
            </w:r>
          </w:p>
        </w:tc>
        <w:tc>
          <w:tcPr>
            <w:tcW w:w="8140" w:type="dxa"/>
            <w:tcBorders>
              <w:top w:val="nil"/>
              <w:left w:val="nil"/>
              <w:bottom w:val="single" w:sz="4" w:space="0" w:color="auto"/>
              <w:right w:val="nil"/>
            </w:tcBorders>
            <w:shd w:val="clear" w:color="auto" w:fill="auto"/>
            <w:vAlign w:val="center"/>
            <w:hideMark/>
          </w:tcPr>
          <w:p w14:paraId="63E4C6E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Ostatní návrhy ve věcech správního soudnictví (od roku 2010)</w:t>
            </w:r>
          </w:p>
        </w:tc>
      </w:tr>
      <w:tr w:rsidR="008430BD" w:rsidRPr="001C3EC8" w14:paraId="392C25D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4CBC947"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38F564E3"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Převzatá agenda z vrchních soudů (dříve)</w:t>
            </w:r>
          </w:p>
        </w:tc>
      </w:tr>
      <w:tr w:rsidR="008430BD" w:rsidRPr="001C3EC8" w14:paraId="7625258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DB5817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Ad</w:t>
            </w:r>
          </w:p>
        </w:tc>
        <w:tc>
          <w:tcPr>
            <w:tcW w:w="8140" w:type="dxa"/>
            <w:tcBorders>
              <w:top w:val="nil"/>
              <w:left w:val="nil"/>
              <w:bottom w:val="single" w:sz="4" w:space="0" w:color="auto"/>
              <w:right w:val="nil"/>
            </w:tcBorders>
            <w:shd w:val="clear" w:color="auto" w:fill="auto"/>
            <w:vAlign w:val="center"/>
            <w:hideMark/>
          </w:tcPr>
          <w:p w14:paraId="6734F844"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Správní žaloby ve věcech sociální a důchodové správy (od roku 2010)</w:t>
            </w:r>
          </w:p>
        </w:tc>
      </w:tr>
      <w:tr w:rsidR="008430BD" w:rsidRPr="001C3EC8" w14:paraId="2866C8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DFB00"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Ads</w:t>
            </w:r>
            <w:proofErr w:type="spellEnd"/>
          </w:p>
        </w:tc>
        <w:tc>
          <w:tcPr>
            <w:tcW w:w="8140" w:type="dxa"/>
            <w:tcBorders>
              <w:top w:val="nil"/>
              <w:left w:val="nil"/>
              <w:bottom w:val="single" w:sz="4" w:space="0" w:color="auto"/>
              <w:right w:val="nil"/>
            </w:tcBorders>
            <w:shd w:val="clear" w:color="auto" w:fill="auto"/>
            <w:vAlign w:val="center"/>
            <w:hideMark/>
          </w:tcPr>
          <w:p w14:paraId="3B32D6C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sociální a důchodové správy</w:t>
            </w:r>
          </w:p>
        </w:tc>
      </w:tr>
      <w:tr w:rsidR="008430BD" w:rsidRPr="001C3EC8" w14:paraId="603B0CB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9E9B9"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Af</w:t>
            </w:r>
            <w:proofErr w:type="spellEnd"/>
          </w:p>
        </w:tc>
        <w:tc>
          <w:tcPr>
            <w:tcW w:w="8140" w:type="dxa"/>
            <w:tcBorders>
              <w:top w:val="nil"/>
              <w:left w:val="nil"/>
              <w:bottom w:val="single" w:sz="4" w:space="0" w:color="auto"/>
              <w:right w:val="nil"/>
            </w:tcBorders>
            <w:shd w:val="clear" w:color="auto" w:fill="auto"/>
            <w:vAlign w:val="center"/>
            <w:hideMark/>
          </w:tcPr>
          <w:p w14:paraId="1F28185B"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Správní žaloby ve věcech finanční správy (od roku 2010)</w:t>
            </w:r>
          </w:p>
        </w:tc>
      </w:tr>
      <w:tr w:rsidR="008430BD" w:rsidRPr="001C3EC8" w14:paraId="72730768"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5464728B"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Afs</w:t>
            </w:r>
            <w:proofErr w:type="spellEnd"/>
          </w:p>
        </w:tc>
        <w:tc>
          <w:tcPr>
            <w:tcW w:w="8140" w:type="dxa"/>
            <w:tcBorders>
              <w:top w:val="nil"/>
              <w:left w:val="nil"/>
              <w:bottom w:val="single" w:sz="4" w:space="0" w:color="auto"/>
              <w:right w:val="nil"/>
            </w:tcBorders>
            <w:shd w:val="clear" w:color="auto" w:fill="auto"/>
            <w:vAlign w:val="center"/>
            <w:hideMark/>
          </w:tcPr>
          <w:p w14:paraId="2C8B2E11"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finanční správy</w:t>
            </w:r>
          </w:p>
        </w:tc>
      </w:tr>
      <w:tr w:rsidR="008430BD" w:rsidRPr="001C3EC8" w14:paraId="3CA49FC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1F01AB1"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Ans</w:t>
            </w:r>
            <w:proofErr w:type="spellEnd"/>
          </w:p>
        </w:tc>
        <w:tc>
          <w:tcPr>
            <w:tcW w:w="8140" w:type="dxa"/>
            <w:tcBorders>
              <w:top w:val="nil"/>
              <w:left w:val="nil"/>
              <w:bottom w:val="single" w:sz="4" w:space="0" w:color="auto"/>
              <w:right w:val="nil"/>
            </w:tcBorders>
            <w:shd w:val="clear" w:color="auto" w:fill="auto"/>
            <w:vAlign w:val="center"/>
            <w:hideMark/>
          </w:tcPr>
          <w:p w14:paraId="333CC028"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ochrany proti nečinnosti správního orgánu (dříve)</w:t>
            </w:r>
          </w:p>
        </w:tc>
      </w:tr>
      <w:tr w:rsidR="008430BD" w:rsidRPr="001C3EC8" w14:paraId="6D3E7187"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292D962"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Aos</w:t>
            </w:r>
            <w:proofErr w:type="spellEnd"/>
          </w:p>
        </w:tc>
        <w:tc>
          <w:tcPr>
            <w:tcW w:w="8140" w:type="dxa"/>
            <w:tcBorders>
              <w:top w:val="nil"/>
              <w:left w:val="nil"/>
              <w:bottom w:val="single" w:sz="4" w:space="0" w:color="auto"/>
              <w:right w:val="nil"/>
            </w:tcBorders>
            <w:shd w:val="clear" w:color="auto" w:fill="auto"/>
            <w:vAlign w:val="center"/>
            <w:hideMark/>
          </w:tcPr>
          <w:p w14:paraId="26AA45A4"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opatření obecné povahy (dříve)</w:t>
            </w:r>
          </w:p>
        </w:tc>
      </w:tr>
      <w:tr w:rsidR="008430BD" w:rsidRPr="001C3EC8" w14:paraId="4A1A288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F9636CA"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Aps</w:t>
            </w:r>
            <w:proofErr w:type="spellEnd"/>
          </w:p>
        </w:tc>
        <w:tc>
          <w:tcPr>
            <w:tcW w:w="8140" w:type="dxa"/>
            <w:tcBorders>
              <w:top w:val="nil"/>
              <w:left w:val="nil"/>
              <w:bottom w:val="single" w:sz="4" w:space="0" w:color="auto"/>
              <w:right w:val="nil"/>
            </w:tcBorders>
            <w:shd w:val="clear" w:color="auto" w:fill="auto"/>
            <w:vAlign w:val="center"/>
            <w:hideMark/>
          </w:tcPr>
          <w:p w14:paraId="10C0A8D8"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ochrany před nezákonným zásahem, pokynem nebo donucením správního orgánu (dříve)</w:t>
            </w:r>
          </w:p>
        </w:tc>
      </w:tr>
      <w:tr w:rsidR="008430BD" w:rsidRPr="001C3EC8" w14:paraId="6A8BE4D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892B15D"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Ars</w:t>
            </w:r>
            <w:proofErr w:type="spellEnd"/>
          </w:p>
        </w:tc>
        <w:tc>
          <w:tcPr>
            <w:tcW w:w="8140" w:type="dxa"/>
            <w:tcBorders>
              <w:top w:val="nil"/>
              <w:left w:val="nil"/>
              <w:bottom w:val="single" w:sz="4" w:space="0" w:color="auto"/>
              <w:right w:val="nil"/>
            </w:tcBorders>
            <w:shd w:val="clear" w:color="auto" w:fill="auto"/>
            <w:vAlign w:val="center"/>
            <w:hideMark/>
          </w:tcPr>
          <w:p w14:paraId="5EAB3E8F"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8430BD" w:rsidRPr="001C3EC8" w14:paraId="30FC8F0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D7E83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As</w:t>
            </w:r>
          </w:p>
        </w:tc>
        <w:tc>
          <w:tcPr>
            <w:tcW w:w="8140" w:type="dxa"/>
            <w:tcBorders>
              <w:top w:val="nil"/>
              <w:left w:val="nil"/>
              <w:bottom w:val="single" w:sz="4" w:space="0" w:color="auto"/>
              <w:right w:val="nil"/>
            </w:tcBorders>
            <w:shd w:val="clear" w:color="auto" w:fill="auto"/>
            <w:vAlign w:val="center"/>
            <w:hideMark/>
          </w:tcPr>
          <w:p w14:paraId="5CF4A8CC"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 ostatních věcech</w:t>
            </w:r>
          </w:p>
        </w:tc>
      </w:tr>
      <w:tr w:rsidR="008430BD" w:rsidRPr="001C3EC8" w14:paraId="219770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406B443"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Az</w:t>
            </w:r>
            <w:proofErr w:type="spellEnd"/>
          </w:p>
        </w:tc>
        <w:tc>
          <w:tcPr>
            <w:tcW w:w="8140" w:type="dxa"/>
            <w:tcBorders>
              <w:top w:val="nil"/>
              <w:left w:val="nil"/>
              <w:bottom w:val="single" w:sz="4" w:space="0" w:color="auto"/>
              <w:right w:val="nil"/>
            </w:tcBorders>
            <w:shd w:val="clear" w:color="auto" w:fill="auto"/>
            <w:vAlign w:val="center"/>
            <w:hideMark/>
          </w:tcPr>
          <w:p w14:paraId="703E5032"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Správní žaloby ve věcech mezinárodní ochrany</w:t>
            </w:r>
          </w:p>
        </w:tc>
      </w:tr>
      <w:tr w:rsidR="008430BD" w:rsidRPr="001C3EC8" w14:paraId="72782C9F"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9C5715E"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Azs</w:t>
            </w:r>
            <w:proofErr w:type="spellEnd"/>
          </w:p>
        </w:tc>
        <w:tc>
          <w:tcPr>
            <w:tcW w:w="8140" w:type="dxa"/>
            <w:tcBorders>
              <w:top w:val="nil"/>
              <w:left w:val="nil"/>
              <w:bottom w:val="single" w:sz="4" w:space="0" w:color="auto"/>
              <w:right w:val="nil"/>
            </w:tcBorders>
            <w:shd w:val="clear" w:color="auto" w:fill="auto"/>
            <w:vAlign w:val="center"/>
            <w:hideMark/>
          </w:tcPr>
          <w:p w14:paraId="369AFA11"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o kasačních stížnostech ve věcech mezinárodní ochrany a zákona o pobytu cizinců</w:t>
            </w:r>
          </w:p>
        </w:tc>
      </w:tr>
      <w:tr w:rsidR="008430BD" w:rsidRPr="001C3EC8" w14:paraId="644B94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754D6C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w:t>
            </w:r>
          </w:p>
        </w:tc>
        <w:tc>
          <w:tcPr>
            <w:tcW w:w="8140" w:type="dxa"/>
            <w:tcBorders>
              <w:top w:val="nil"/>
              <w:left w:val="nil"/>
              <w:bottom w:val="single" w:sz="4" w:space="0" w:color="auto"/>
              <w:right w:val="nil"/>
            </w:tcBorders>
            <w:shd w:val="clear" w:color="auto" w:fill="auto"/>
            <w:vAlign w:val="center"/>
            <w:hideMark/>
          </w:tcPr>
          <w:p w14:paraId="5CC09CC8"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Občanskoprávní věci</w:t>
            </w:r>
          </w:p>
        </w:tc>
      </w:tr>
      <w:tr w:rsidR="008430BD" w:rsidRPr="001C3EC8" w14:paraId="4A1757E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29099A8"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Ca</w:t>
            </w:r>
          </w:p>
        </w:tc>
        <w:tc>
          <w:tcPr>
            <w:tcW w:w="8140" w:type="dxa"/>
            <w:tcBorders>
              <w:top w:val="nil"/>
              <w:left w:val="nil"/>
              <w:bottom w:val="single" w:sz="4" w:space="0" w:color="auto"/>
              <w:right w:val="nil"/>
            </w:tcBorders>
            <w:shd w:val="clear" w:color="auto" w:fill="auto"/>
            <w:vAlign w:val="center"/>
            <w:hideMark/>
          </w:tcPr>
          <w:p w14:paraId="4063A756"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Ostatní návrhy ve věcech správního soudnictví (před rokem 2010)</w:t>
            </w:r>
          </w:p>
        </w:tc>
      </w:tr>
      <w:tr w:rsidR="008430BD" w:rsidRPr="001C3EC8" w14:paraId="0EDE004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C93DB3B"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Cad</w:t>
            </w:r>
            <w:proofErr w:type="spellEnd"/>
          </w:p>
        </w:tc>
        <w:tc>
          <w:tcPr>
            <w:tcW w:w="8140" w:type="dxa"/>
            <w:tcBorders>
              <w:top w:val="nil"/>
              <w:left w:val="nil"/>
              <w:bottom w:val="single" w:sz="4" w:space="0" w:color="auto"/>
              <w:right w:val="nil"/>
            </w:tcBorders>
            <w:shd w:val="clear" w:color="auto" w:fill="auto"/>
            <w:vAlign w:val="center"/>
            <w:hideMark/>
          </w:tcPr>
          <w:p w14:paraId="4F4E6DF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Správní žaloby ve věcech sociální a důchodové správy (před rokem 2010)</w:t>
            </w:r>
          </w:p>
        </w:tc>
      </w:tr>
      <w:tr w:rsidR="008430BD" w:rsidRPr="001C3EC8" w14:paraId="6560713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5BDE302"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Cdo</w:t>
            </w:r>
            <w:proofErr w:type="spellEnd"/>
          </w:p>
        </w:tc>
        <w:tc>
          <w:tcPr>
            <w:tcW w:w="8140" w:type="dxa"/>
            <w:tcBorders>
              <w:top w:val="nil"/>
              <w:left w:val="nil"/>
              <w:bottom w:val="single" w:sz="4" w:space="0" w:color="auto"/>
              <w:right w:val="nil"/>
            </w:tcBorders>
            <w:shd w:val="clear" w:color="auto" w:fill="auto"/>
            <w:vAlign w:val="center"/>
            <w:hideMark/>
          </w:tcPr>
          <w:p w14:paraId="10BAB28C"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Dovolání proti rozhodnutím odvolacích soudů ve věcech občanskoprávních a obchodních</w:t>
            </w:r>
          </w:p>
        </w:tc>
      </w:tr>
      <w:tr w:rsidR="008430BD" w:rsidRPr="001C3EC8" w14:paraId="33EC28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FE401F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Cm</w:t>
            </w:r>
          </w:p>
        </w:tc>
        <w:tc>
          <w:tcPr>
            <w:tcW w:w="8140" w:type="dxa"/>
            <w:tcBorders>
              <w:top w:val="nil"/>
              <w:left w:val="nil"/>
              <w:bottom w:val="single" w:sz="4" w:space="0" w:color="auto"/>
              <w:right w:val="nil"/>
            </w:tcBorders>
            <w:shd w:val="clear" w:color="auto" w:fill="auto"/>
            <w:vAlign w:val="center"/>
            <w:hideMark/>
          </w:tcPr>
          <w:p w14:paraId="292CBA1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Obchodní věci</w:t>
            </w:r>
          </w:p>
        </w:tc>
      </w:tr>
      <w:tr w:rsidR="008430BD" w:rsidRPr="001C3EC8" w14:paraId="6598BBE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5DE556B"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Cmo</w:t>
            </w:r>
            <w:proofErr w:type="spellEnd"/>
          </w:p>
        </w:tc>
        <w:tc>
          <w:tcPr>
            <w:tcW w:w="8140" w:type="dxa"/>
            <w:tcBorders>
              <w:top w:val="nil"/>
              <w:left w:val="nil"/>
              <w:bottom w:val="single" w:sz="4" w:space="0" w:color="auto"/>
              <w:right w:val="nil"/>
            </w:tcBorders>
            <w:shd w:val="clear" w:color="auto" w:fill="auto"/>
            <w:vAlign w:val="center"/>
            <w:hideMark/>
          </w:tcPr>
          <w:p w14:paraId="3D7FA990"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Odvolací civilní agenda v obchodních věcech</w:t>
            </w:r>
          </w:p>
        </w:tc>
      </w:tr>
      <w:tr w:rsidR="008430BD" w:rsidRPr="001C3EC8" w14:paraId="15DBB48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F6E38EF"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Co</w:t>
            </w:r>
          </w:p>
        </w:tc>
        <w:tc>
          <w:tcPr>
            <w:tcW w:w="8140" w:type="dxa"/>
            <w:tcBorders>
              <w:top w:val="nil"/>
              <w:left w:val="nil"/>
              <w:bottom w:val="single" w:sz="4" w:space="0" w:color="auto"/>
              <w:right w:val="nil"/>
            </w:tcBorders>
            <w:shd w:val="clear" w:color="auto" w:fill="auto"/>
            <w:vAlign w:val="center"/>
            <w:hideMark/>
          </w:tcPr>
          <w:p w14:paraId="328AE764"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Odvolací civilní agenda</w:t>
            </w:r>
          </w:p>
        </w:tc>
      </w:tr>
      <w:tr w:rsidR="008430BD" w:rsidRPr="001C3EC8" w14:paraId="7F71A7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8A89627"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66950F1D"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Převedené věci z rejstříku EPR – občanskoprávní věci</w:t>
            </w:r>
          </w:p>
        </w:tc>
      </w:tr>
      <w:tr w:rsidR="008430BD" w:rsidRPr="001C3EC8" w14:paraId="39E5BB1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6272271"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66132C6"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Návrhy na vydání elektronického platebního rozkazu (před rejstříkem EPR)</w:t>
            </w:r>
          </w:p>
        </w:tc>
      </w:tr>
      <w:tr w:rsidR="008430BD" w:rsidRPr="001C3EC8" w14:paraId="765DE11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D46F6B6"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ECm</w:t>
            </w:r>
            <w:proofErr w:type="spellEnd"/>
          </w:p>
        </w:tc>
        <w:tc>
          <w:tcPr>
            <w:tcW w:w="8140" w:type="dxa"/>
            <w:tcBorders>
              <w:top w:val="nil"/>
              <w:left w:val="nil"/>
              <w:bottom w:val="single" w:sz="4" w:space="0" w:color="auto"/>
              <w:right w:val="nil"/>
            </w:tcBorders>
            <w:shd w:val="clear" w:color="auto" w:fill="auto"/>
            <w:vAlign w:val="center"/>
            <w:hideMark/>
          </w:tcPr>
          <w:p w14:paraId="6673750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Převedené věci z rejstříku EPR – obchodní věci</w:t>
            </w:r>
          </w:p>
        </w:tc>
      </w:tr>
      <w:tr w:rsidR="008430BD" w:rsidRPr="001C3EC8" w14:paraId="58AD59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901A40"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EPR</w:t>
            </w:r>
          </w:p>
        </w:tc>
        <w:tc>
          <w:tcPr>
            <w:tcW w:w="8140" w:type="dxa"/>
            <w:tcBorders>
              <w:top w:val="nil"/>
              <w:left w:val="nil"/>
              <w:bottom w:val="single" w:sz="4" w:space="0" w:color="auto"/>
              <w:right w:val="nil"/>
            </w:tcBorders>
            <w:shd w:val="clear" w:color="auto" w:fill="auto"/>
            <w:vAlign w:val="center"/>
            <w:hideMark/>
          </w:tcPr>
          <w:p w14:paraId="554BD168"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Návrhy na vydání elektronického platebního rozkazu</w:t>
            </w:r>
          </w:p>
        </w:tc>
      </w:tr>
      <w:tr w:rsidR="008430BD" w:rsidRPr="001C3EC8" w14:paraId="45C06A6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D5136BD"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EVC</w:t>
            </w:r>
          </w:p>
        </w:tc>
        <w:tc>
          <w:tcPr>
            <w:tcW w:w="8140" w:type="dxa"/>
            <w:tcBorders>
              <w:top w:val="nil"/>
              <w:left w:val="nil"/>
              <w:bottom w:val="single" w:sz="4" w:space="0" w:color="auto"/>
              <w:right w:val="nil"/>
            </w:tcBorders>
            <w:shd w:val="clear" w:color="auto" w:fill="auto"/>
            <w:vAlign w:val="center"/>
            <w:hideMark/>
          </w:tcPr>
          <w:p w14:paraId="7FADB331"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Návrhy na vydání evropského platebního rozkazu</w:t>
            </w:r>
          </w:p>
        </w:tc>
      </w:tr>
      <w:tr w:rsidR="008430BD" w:rsidRPr="001C3EC8" w14:paraId="3A90E75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BE6775"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EVCm</w:t>
            </w:r>
            <w:proofErr w:type="spellEnd"/>
          </w:p>
        </w:tc>
        <w:tc>
          <w:tcPr>
            <w:tcW w:w="8140" w:type="dxa"/>
            <w:tcBorders>
              <w:top w:val="nil"/>
              <w:left w:val="nil"/>
              <w:bottom w:val="single" w:sz="4" w:space="0" w:color="auto"/>
              <w:right w:val="nil"/>
            </w:tcBorders>
            <w:shd w:val="clear" w:color="auto" w:fill="auto"/>
            <w:vAlign w:val="center"/>
            <w:hideMark/>
          </w:tcPr>
          <w:p w14:paraId="0093A0E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Návrhy na vydání evropského platebního rozkazu v obchodních věcech</w:t>
            </w:r>
          </w:p>
        </w:tc>
      </w:tr>
      <w:tr w:rsidR="008430BD" w:rsidRPr="001C3EC8" w14:paraId="02DEB95C" w14:textId="77777777" w:rsidTr="00E077F3">
        <w:trPr>
          <w:trHeight w:val="340"/>
        </w:trPr>
        <w:tc>
          <w:tcPr>
            <w:tcW w:w="960" w:type="dxa"/>
            <w:tcBorders>
              <w:top w:val="nil"/>
              <w:left w:val="nil"/>
              <w:bottom w:val="single" w:sz="4" w:space="0" w:color="auto"/>
              <w:right w:val="nil"/>
            </w:tcBorders>
            <w:shd w:val="clear" w:color="auto" w:fill="auto"/>
            <w:vAlign w:val="center"/>
          </w:tcPr>
          <w:p w14:paraId="64078CCD"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ICdo</w:t>
            </w:r>
            <w:proofErr w:type="spellEnd"/>
          </w:p>
        </w:tc>
        <w:tc>
          <w:tcPr>
            <w:tcW w:w="8140" w:type="dxa"/>
            <w:tcBorders>
              <w:top w:val="nil"/>
              <w:left w:val="nil"/>
              <w:bottom w:val="single" w:sz="4" w:space="0" w:color="auto"/>
              <w:right w:val="nil"/>
            </w:tcBorders>
            <w:shd w:val="clear" w:color="auto" w:fill="auto"/>
            <w:vAlign w:val="center"/>
          </w:tcPr>
          <w:p w14:paraId="10B174E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Věci předložené Nejvyššímu soudu k rozhodnutí pro incidenční spory vyvolané v průběhu insolvenčního řízení</w:t>
            </w:r>
          </w:p>
        </w:tc>
      </w:tr>
      <w:tr w:rsidR="008430BD" w:rsidRPr="001C3EC8" w14:paraId="5DDBAD7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579A011"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ICm</w:t>
            </w:r>
            <w:proofErr w:type="spellEnd"/>
          </w:p>
        </w:tc>
        <w:tc>
          <w:tcPr>
            <w:tcW w:w="8140" w:type="dxa"/>
            <w:tcBorders>
              <w:top w:val="nil"/>
              <w:left w:val="nil"/>
              <w:bottom w:val="single" w:sz="4" w:space="0" w:color="auto"/>
              <w:right w:val="nil"/>
            </w:tcBorders>
            <w:shd w:val="clear" w:color="auto" w:fill="auto"/>
            <w:vAlign w:val="center"/>
            <w:hideMark/>
          </w:tcPr>
          <w:p w14:paraId="15FE7503"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Incidenční spory</w:t>
            </w:r>
          </w:p>
        </w:tc>
      </w:tr>
      <w:tr w:rsidR="008430BD" w:rsidRPr="001C3EC8" w14:paraId="3370897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F9B4D21"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INS</w:t>
            </w:r>
          </w:p>
        </w:tc>
        <w:tc>
          <w:tcPr>
            <w:tcW w:w="8140" w:type="dxa"/>
            <w:tcBorders>
              <w:top w:val="nil"/>
              <w:left w:val="nil"/>
              <w:bottom w:val="single" w:sz="4" w:space="0" w:color="auto"/>
              <w:right w:val="nil"/>
            </w:tcBorders>
            <w:shd w:val="clear" w:color="auto" w:fill="auto"/>
            <w:vAlign w:val="center"/>
            <w:hideMark/>
          </w:tcPr>
          <w:p w14:paraId="13EAD816"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Insolvenční řízení</w:t>
            </w:r>
          </w:p>
        </w:tc>
      </w:tr>
      <w:tr w:rsidR="008430BD" w:rsidRPr="001C3EC8" w14:paraId="642881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F55E939"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Kss</w:t>
            </w:r>
            <w:proofErr w:type="spellEnd"/>
          </w:p>
        </w:tc>
        <w:tc>
          <w:tcPr>
            <w:tcW w:w="8140" w:type="dxa"/>
            <w:tcBorders>
              <w:top w:val="nil"/>
              <w:left w:val="nil"/>
              <w:bottom w:val="single" w:sz="4" w:space="0" w:color="auto"/>
              <w:right w:val="nil"/>
            </w:tcBorders>
            <w:shd w:val="clear" w:color="auto" w:fill="auto"/>
            <w:vAlign w:val="center"/>
            <w:hideMark/>
          </w:tcPr>
          <w:p w14:paraId="1DE137DB"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Řízení ve věcech soudců</w:t>
            </w:r>
          </w:p>
        </w:tc>
      </w:tr>
      <w:tr w:rsidR="008430BD" w:rsidRPr="001C3EC8" w14:paraId="2AF8A83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03E81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L</w:t>
            </w:r>
          </w:p>
        </w:tc>
        <w:tc>
          <w:tcPr>
            <w:tcW w:w="8140" w:type="dxa"/>
            <w:tcBorders>
              <w:top w:val="nil"/>
              <w:left w:val="nil"/>
              <w:bottom w:val="single" w:sz="4" w:space="0" w:color="auto"/>
              <w:right w:val="nil"/>
            </w:tcBorders>
            <w:shd w:val="clear" w:color="auto" w:fill="auto"/>
            <w:vAlign w:val="center"/>
            <w:hideMark/>
          </w:tcPr>
          <w:p w14:paraId="0DEBD28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Detenční řízení</w:t>
            </w:r>
          </w:p>
        </w:tc>
      </w:tr>
      <w:tr w:rsidR="008430BD" w:rsidRPr="001C3EC8" w14:paraId="3F7CDAB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05B02AB"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5E82156D"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Věci předložené Nejvyššímu soudu k rozhodnutí v insolvenčním řízení</w:t>
            </w:r>
          </w:p>
        </w:tc>
      </w:tr>
      <w:tr w:rsidR="008430BD" w:rsidRPr="001C3EC8" w14:paraId="5F65169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3E0689E"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14:paraId="431A34B7"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Dovolání proti rozhodnutím odvolacích soudů ve věcech obchodních (dříve)</w:t>
            </w:r>
          </w:p>
        </w:tc>
      </w:tr>
      <w:tr w:rsidR="008430BD" w:rsidRPr="001C3EC8" w14:paraId="1266B9E1"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4215F7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P a </w:t>
            </w:r>
            <w:proofErr w:type="spellStart"/>
            <w:r w:rsidRPr="001C3EC8">
              <w:rPr>
                <w:rFonts w:eastAsia="Times New Roman"/>
                <w:color w:val="000000" w:themeColor="text1"/>
                <w:szCs w:val="24"/>
                <w:lang w:eastAsia="cs-CZ"/>
              </w:rPr>
              <w:t>Nc</w:t>
            </w:r>
            <w:proofErr w:type="spellEnd"/>
          </w:p>
        </w:tc>
        <w:tc>
          <w:tcPr>
            <w:tcW w:w="8140" w:type="dxa"/>
            <w:tcBorders>
              <w:top w:val="nil"/>
              <w:left w:val="nil"/>
              <w:bottom w:val="single" w:sz="4" w:space="0" w:color="auto"/>
              <w:right w:val="nil"/>
            </w:tcBorders>
            <w:shd w:val="clear" w:color="auto" w:fill="auto"/>
            <w:vAlign w:val="center"/>
            <w:hideMark/>
          </w:tcPr>
          <w:p w14:paraId="4F588803"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Opatrovnické řízení</w:t>
            </w:r>
          </w:p>
        </w:tc>
      </w:tr>
      <w:tr w:rsidR="008430BD" w:rsidRPr="001C3EC8" w14:paraId="115F61A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9F5979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w:t>
            </w:r>
          </w:p>
        </w:tc>
        <w:tc>
          <w:tcPr>
            <w:tcW w:w="8140" w:type="dxa"/>
            <w:tcBorders>
              <w:top w:val="nil"/>
              <w:left w:val="nil"/>
              <w:bottom w:val="single" w:sz="4" w:space="0" w:color="auto"/>
              <w:right w:val="nil"/>
            </w:tcBorders>
            <w:shd w:val="clear" w:color="auto" w:fill="auto"/>
            <w:vAlign w:val="center"/>
            <w:hideMark/>
          </w:tcPr>
          <w:p w14:paraId="2DC59E87"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Trestní věci</w:t>
            </w:r>
          </w:p>
        </w:tc>
      </w:tr>
      <w:tr w:rsidR="008430BD" w:rsidRPr="001C3EC8" w14:paraId="4DDB9D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314D5C"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Tdo</w:t>
            </w:r>
            <w:proofErr w:type="spellEnd"/>
          </w:p>
        </w:tc>
        <w:tc>
          <w:tcPr>
            <w:tcW w:w="8140" w:type="dxa"/>
            <w:tcBorders>
              <w:top w:val="nil"/>
              <w:left w:val="nil"/>
              <w:bottom w:val="single" w:sz="4" w:space="0" w:color="auto"/>
              <w:right w:val="nil"/>
            </w:tcBorders>
            <w:shd w:val="clear" w:color="auto" w:fill="auto"/>
            <w:vAlign w:val="center"/>
            <w:hideMark/>
          </w:tcPr>
          <w:p w14:paraId="65717D2A"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Dovolání proti rozhodnutím soudů druhého stupně ve věcech trestních</w:t>
            </w:r>
          </w:p>
        </w:tc>
      </w:tr>
      <w:tr w:rsidR="008430BD" w:rsidRPr="001C3EC8" w14:paraId="5B16B4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D3D0BDA"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Tm</w:t>
            </w:r>
            <w:proofErr w:type="spellEnd"/>
          </w:p>
        </w:tc>
        <w:tc>
          <w:tcPr>
            <w:tcW w:w="8140" w:type="dxa"/>
            <w:tcBorders>
              <w:top w:val="nil"/>
              <w:left w:val="nil"/>
              <w:bottom w:val="single" w:sz="4" w:space="0" w:color="auto"/>
              <w:right w:val="nil"/>
            </w:tcBorders>
            <w:shd w:val="clear" w:color="auto" w:fill="auto"/>
            <w:vAlign w:val="center"/>
            <w:hideMark/>
          </w:tcPr>
          <w:p w14:paraId="29FC9CC3"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Trestní věci mládeže</w:t>
            </w:r>
          </w:p>
        </w:tc>
      </w:tr>
      <w:tr w:rsidR="008430BD" w:rsidRPr="001C3EC8" w14:paraId="6CDDA90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1113CBC"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Tmo</w:t>
            </w:r>
          </w:p>
        </w:tc>
        <w:tc>
          <w:tcPr>
            <w:tcW w:w="8140" w:type="dxa"/>
            <w:tcBorders>
              <w:top w:val="nil"/>
              <w:left w:val="nil"/>
              <w:bottom w:val="single" w:sz="4" w:space="0" w:color="auto"/>
              <w:right w:val="nil"/>
            </w:tcBorders>
            <w:shd w:val="clear" w:color="auto" w:fill="auto"/>
            <w:vAlign w:val="center"/>
            <w:hideMark/>
          </w:tcPr>
          <w:p w14:paraId="5D53A494"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Trestní agenda odvolací – mladiství</w:t>
            </w:r>
          </w:p>
        </w:tc>
      </w:tr>
      <w:tr w:rsidR="008430BD" w:rsidRPr="001C3EC8" w14:paraId="6B3251C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EA9E3D6"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To</w:t>
            </w:r>
          </w:p>
        </w:tc>
        <w:tc>
          <w:tcPr>
            <w:tcW w:w="8140" w:type="dxa"/>
            <w:tcBorders>
              <w:top w:val="nil"/>
              <w:left w:val="nil"/>
              <w:bottom w:val="single" w:sz="4" w:space="0" w:color="auto"/>
              <w:right w:val="nil"/>
            </w:tcBorders>
            <w:shd w:val="clear" w:color="auto" w:fill="auto"/>
            <w:vAlign w:val="center"/>
            <w:hideMark/>
          </w:tcPr>
          <w:p w14:paraId="26963314"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Trestní agenda odvolací</w:t>
            </w:r>
          </w:p>
        </w:tc>
      </w:tr>
      <w:tr w:rsidR="008430BD" w:rsidRPr="001C3EC8" w14:paraId="4D923D45" w14:textId="77777777" w:rsidTr="00E077F3">
        <w:trPr>
          <w:trHeight w:val="340"/>
        </w:trPr>
        <w:tc>
          <w:tcPr>
            <w:tcW w:w="960" w:type="dxa"/>
            <w:tcBorders>
              <w:top w:val="nil"/>
              <w:left w:val="nil"/>
              <w:bottom w:val="double" w:sz="6" w:space="0" w:color="auto"/>
              <w:right w:val="nil"/>
            </w:tcBorders>
            <w:shd w:val="clear" w:color="auto" w:fill="auto"/>
            <w:vAlign w:val="center"/>
            <w:hideMark/>
          </w:tcPr>
          <w:p w14:paraId="0478B630" w14:textId="77777777" w:rsidR="008430BD" w:rsidRPr="001C3EC8" w:rsidRDefault="008430BD" w:rsidP="00E077F3">
            <w:pPr>
              <w:spacing w:before="14" w:after="14" w:line="240" w:lineRule="auto"/>
              <w:jc w:val="left"/>
              <w:rPr>
                <w:rFonts w:eastAsia="Times New Roman"/>
                <w:color w:val="000000" w:themeColor="text1"/>
                <w:szCs w:val="24"/>
                <w:lang w:eastAsia="cs-CZ"/>
              </w:rPr>
            </w:pPr>
            <w:proofErr w:type="spellStart"/>
            <w:r w:rsidRPr="001C3EC8">
              <w:rPr>
                <w:rFonts w:eastAsia="Times New Roman"/>
                <w:color w:val="000000" w:themeColor="text1"/>
                <w:szCs w:val="24"/>
                <w:lang w:eastAsia="cs-CZ"/>
              </w:rPr>
              <w:t>Tz</w:t>
            </w:r>
            <w:proofErr w:type="spellEnd"/>
          </w:p>
        </w:tc>
        <w:tc>
          <w:tcPr>
            <w:tcW w:w="8140" w:type="dxa"/>
            <w:tcBorders>
              <w:top w:val="nil"/>
              <w:left w:val="nil"/>
              <w:bottom w:val="double" w:sz="6" w:space="0" w:color="auto"/>
              <w:right w:val="nil"/>
            </w:tcBorders>
            <w:shd w:val="clear" w:color="auto" w:fill="auto"/>
            <w:vAlign w:val="center"/>
            <w:hideMark/>
          </w:tcPr>
          <w:p w14:paraId="25F1F009" w14:textId="77777777" w:rsidR="008430BD" w:rsidRPr="001C3EC8" w:rsidRDefault="008430BD" w:rsidP="00E077F3">
            <w:pPr>
              <w:spacing w:before="14" w:after="14" w:line="240" w:lineRule="auto"/>
              <w:jc w:val="left"/>
              <w:rPr>
                <w:rFonts w:eastAsia="Times New Roman"/>
                <w:color w:val="000000" w:themeColor="text1"/>
                <w:szCs w:val="24"/>
                <w:lang w:eastAsia="cs-CZ"/>
              </w:rPr>
            </w:pPr>
            <w:r w:rsidRPr="001C3EC8">
              <w:rPr>
                <w:rFonts w:eastAsia="Times New Roman"/>
                <w:color w:val="000000" w:themeColor="text1"/>
                <w:szCs w:val="24"/>
                <w:lang w:eastAsia="cs-CZ"/>
              </w:rPr>
              <w:t>Stížnosti pro porušení zákona</w:t>
            </w:r>
          </w:p>
        </w:tc>
      </w:tr>
    </w:tbl>
    <w:p w14:paraId="7E455C26" w14:textId="77777777" w:rsidR="008430BD" w:rsidRPr="001C3EC8" w:rsidRDefault="008430BD" w:rsidP="008430BD">
      <w:pPr>
        <w:rPr>
          <w:color w:val="000000" w:themeColor="text1"/>
        </w:rPr>
      </w:pPr>
    </w:p>
    <w:bookmarkEnd w:id="945"/>
    <w:p w14:paraId="45ED2713" w14:textId="77777777" w:rsidR="008430BD" w:rsidRPr="001C3EC8" w:rsidRDefault="008430BD" w:rsidP="008430BD">
      <w:pPr>
        <w:spacing w:line="240" w:lineRule="auto"/>
        <w:rPr>
          <w:rFonts w:eastAsia="Times New Roman"/>
          <w:b/>
          <w:bCs/>
          <w:iCs/>
          <w:color w:val="000000" w:themeColor="text1"/>
          <w:sz w:val="28"/>
          <w:szCs w:val="28"/>
        </w:rPr>
      </w:pPr>
      <w:r w:rsidRPr="001C3EC8">
        <w:rPr>
          <w:color w:val="000000" w:themeColor="text1"/>
        </w:rPr>
        <w:br w:type="page"/>
      </w:r>
    </w:p>
    <w:p w14:paraId="3600D4C0" w14:textId="77777777" w:rsidR="008430BD" w:rsidRPr="001C3EC8" w:rsidRDefault="008430BD" w:rsidP="008430BD">
      <w:pPr>
        <w:pStyle w:val="Nadpis2"/>
        <w:ind w:left="578" w:hanging="578"/>
      </w:pPr>
      <w:bookmarkStart w:id="946" w:name="_Toc75952176"/>
      <w:r w:rsidRPr="001C3EC8">
        <w:lastRenderedPageBreak/>
        <w:t>Příloha D – přehledové listy s daty soudů</w:t>
      </w:r>
      <w:bookmarkEnd w:id="946"/>
    </w:p>
    <w:p w14:paraId="58EEA337" w14:textId="223B1C6C" w:rsidR="008430BD" w:rsidRPr="001C3EC8" w:rsidRDefault="00EC44A7" w:rsidP="008430BD">
      <w:pPr>
        <w:spacing w:line="240" w:lineRule="auto"/>
        <w:jc w:val="left"/>
        <w:rPr>
          <w:color w:val="000000" w:themeColor="text1"/>
        </w:rPr>
      </w:pPr>
      <w:r>
        <w:object w:dxaOrig="1539" w:dyaOrig="997" w14:anchorId="37F3E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52" o:title=""/>
          </v:shape>
          <o:OLEObject Type="Embed" ProgID="Excel.SheetMacroEnabled.12" ShapeID="_x0000_i1025" DrawAspect="Icon" ObjectID="_1687766061" r:id="rId153"/>
        </w:object>
      </w:r>
    </w:p>
    <w:p w14:paraId="314267FB" w14:textId="77777777" w:rsidR="008430BD" w:rsidRPr="001C3EC8" w:rsidRDefault="008430BD" w:rsidP="008430BD">
      <w:pPr>
        <w:spacing w:line="240" w:lineRule="auto"/>
        <w:jc w:val="left"/>
        <w:rPr>
          <w:rFonts w:eastAsia="Times New Roman"/>
          <w:b/>
          <w:bCs/>
          <w:iCs/>
          <w:color w:val="000000" w:themeColor="text1"/>
          <w:sz w:val="28"/>
          <w:szCs w:val="28"/>
        </w:rPr>
      </w:pPr>
      <w:r w:rsidRPr="001C3EC8">
        <w:rPr>
          <w:color w:val="000000" w:themeColor="text1"/>
        </w:rPr>
        <w:br w:type="page"/>
      </w:r>
    </w:p>
    <w:p w14:paraId="5B9BD489" w14:textId="77777777" w:rsidR="008430BD" w:rsidRPr="001C3EC8" w:rsidRDefault="008430BD" w:rsidP="008430BD">
      <w:pPr>
        <w:pStyle w:val="Nadpis2"/>
      </w:pPr>
      <w:bookmarkStart w:id="947" w:name="_Toc515871322"/>
      <w:bookmarkStart w:id="948" w:name="_Toc75952177"/>
      <w:r w:rsidRPr="001C3EC8">
        <w:lastRenderedPageBreak/>
        <w:t>Příloha E – detailnější popis DEA</w:t>
      </w:r>
      <w:bookmarkEnd w:id="947"/>
      <w:bookmarkEnd w:id="948"/>
    </w:p>
    <w:p w14:paraId="04356922" w14:textId="77777777" w:rsidR="008430BD" w:rsidRPr="001C3EC8" w:rsidRDefault="008430BD" w:rsidP="008430BD">
      <w:pPr>
        <w:pStyle w:val="OdstavecASR"/>
        <w:rPr>
          <w:color w:val="000000" w:themeColor="text1"/>
        </w:rPr>
      </w:pPr>
      <w:r w:rsidRPr="001C3EC8">
        <w:rPr>
          <w:color w:val="000000" w:themeColor="text1"/>
        </w:rPr>
        <w:t>Metoda je zde stručně popsána, popis však nezabíhá do větších detailů, jako je odvození použitých rovnic nebo podrobné vysvětlení všech pojmů. V případě většího zájmu odkazujeme na odbornou literaturu, jejíž stručný seznam uvádíme na konci této přílohy.</w:t>
      </w:r>
    </w:p>
    <w:p w14:paraId="100EFD45" w14:textId="62B6C9F1" w:rsidR="008430BD" w:rsidRPr="001C3EC8" w:rsidRDefault="008430BD" w:rsidP="008430BD">
      <w:pPr>
        <w:pStyle w:val="OdstavecASR"/>
        <w:rPr>
          <w:color w:val="000000" w:themeColor="text1"/>
        </w:rPr>
      </w:pPr>
      <w:r w:rsidRPr="001C3EC8">
        <w:rPr>
          <w:color w:val="000000" w:themeColor="text1"/>
        </w:rPr>
        <w:t xml:space="preserve">V první části stručně vysvětlujeme teoretické základy a shrnujeme vybranou literaturu, ve které byla DEA aplikována na soudnictví. V druhé části popisujeme, jak konkrétně byla DEA použita na české soudy (tj. specifikace modelu). Výsledky jsou uvedeny v podkapitole </w:t>
      </w:r>
      <w:r w:rsidRPr="001C3EC8">
        <w:rPr>
          <w:color w:val="000000" w:themeColor="text1"/>
        </w:rPr>
        <w:fldChar w:fldCharType="begin"/>
      </w:r>
      <w:r w:rsidRPr="001C3EC8">
        <w:rPr>
          <w:color w:val="000000" w:themeColor="text1"/>
        </w:rPr>
        <w:instrText xml:space="preserve"> REF _Ref43838090 \n \h </w:instrText>
      </w:r>
      <w:r w:rsidRPr="001C3EC8">
        <w:rPr>
          <w:color w:val="000000" w:themeColor="text1"/>
        </w:rPr>
      </w:r>
      <w:r w:rsidRPr="001C3EC8">
        <w:rPr>
          <w:color w:val="000000" w:themeColor="text1"/>
        </w:rPr>
        <w:fldChar w:fldCharType="separate"/>
      </w:r>
      <w:r w:rsidR="009C575D">
        <w:rPr>
          <w:color w:val="000000" w:themeColor="text1"/>
        </w:rPr>
        <w:t>2.6.1</w:t>
      </w:r>
      <w:r w:rsidRPr="001C3EC8">
        <w:rPr>
          <w:color w:val="000000" w:themeColor="text1"/>
        </w:rPr>
        <w:fldChar w:fldCharType="end"/>
      </w:r>
      <w:r w:rsidRPr="001C3EC8">
        <w:rPr>
          <w:color w:val="000000" w:themeColor="text1"/>
        </w:rPr>
        <w:t>.</w:t>
      </w:r>
    </w:p>
    <w:p w14:paraId="2A16F139" w14:textId="77777777" w:rsidR="008430BD" w:rsidRPr="001C3EC8" w:rsidRDefault="008430BD" w:rsidP="008430BD">
      <w:pPr>
        <w:pStyle w:val="Nadpis3"/>
        <w:rPr>
          <w:color w:val="000000" w:themeColor="text1"/>
        </w:rPr>
      </w:pPr>
      <w:bookmarkStart w:id="949" w:name="_Toc487791323"/>
      <w:bookmarkStart w:id="950" w:name="_Toc515871323"/>
      <w:bookmarkStart w:id="951" w:name="_Toc75952178"/>
      <w:r w:rsidRPr="001C3EC8">
        <w:rPr>
          <w:color w:val="000000" w:themeColor="text1"/>
        </w:rPr>
        <w:t>Teorie a literatura</w:t>
      </w:r>
      <w:bookmarkEnd w:id="949"/>
      <w:bookmarkEnd w:id="950"/>
      <w:bookmarkEnd w:id="951"/>
    </w:p>
    <w:p w14:paraId="4D30D12D" w14:textId="77777777" w:rsidR="008430BD" w:rsidRPr="001C3EC8" w:rsidRDefault="008430BD" w:rsidP="008430BD">
      <w:pPr>
        <w:pStyle w:val="OdstavecASR"/>
        <w:rPr>
          <w:color w:val="000000" w:themeColor="text1"/>
        </w:rPr>
      </w:pPr>
      <w:r w:rsidRPr="001C3EC8">
        <w:rPr>
          <w:color w:val="000000" w:themeColor="text1"/>
        </w:rPr>
        <w:t>DEA je neparametrická metoda lineárního programování. Lineární programování je metoda, která se snaží dosáhnout nejlepšího výstupu (např. minimálních nákladů) v matematickém modelu, jehož požadavky jsou reprezentovány lineárními vztahy. Jinak řečeno hledá maximum (minimum) dané funkce za daných podmínek.</w:t>
      </w:r>
    </w:p>
    <w:p w14:paraId="64D59166" w14:textId="77777777" w:rsidR="008430BD" w:rsidRPr="001C3EC8" w:rsidRDefault="008430BD" w:rsidP="008430BD">
      <w:pPr>
        <w:pStyle w:val="OdstavecASR"/>
        <w:rPr>
          <w:color w:val="000000" w:themeColor="text1"/>
        </w:rPr>
      </w:pPr>
      <w:r w:rsidRPr="001C3EC8">
        <w:rPr>
          <w:color w:val="000000" w:themeColor="text1"/>
        </w:rPr>
        <w:t xml:space="preserve">DEA je využívána k analýze technické efektivnosti tzv. DMU (z anglického </w:t>
      </w:r>
      <w:proofErr w:type="spellStart"/>
      <w:r w:rsidRPr="001C3EC8">
        <w:rPr>
          <w:color w:val="000000" w:themeColor="text1"/>
        </w:rPr>
        <w:t>Decision</w:t>
      </w:r>
      <w:proofErr w:type="spellEnd"/>
      <w:r w:rsidRPr="001C3EC8">
        <w:rPr>
          <w:color w:val="000000" w:themeColor="text1"/>
        </w:rPr>
        <w:t xml:space="preserve"> </w:t>
      </w:r>
      <w:proofErr w:type="spellStart"/>
      <w:r w:rsidRPr="001C3EC8">
        <w:rPr>
          <w:color w:val="000000" w:themeColor="text1"/>
        </w:rPr>
        <w:t>Making</w:t>
      </w:r>
      <w:proofErr w:type="spellEnd"/>
      <w:r w:rsidRPr="001C3EC8">
        <w:rPr>
          <w:color w:val="000000" w:themeColor="text1"/>
        </w:rPr>
        <w:t xml:space="preserve"> </w:t>
      </w:r>
      <w:proofErr w:type="spellStart"/>
      <w:r w:rsidRPr="001C3EC8">
        <w:rPr>
          <w:color w:val="000000" w:themeColor="text1"/>
        </w:rPr>
        <w:t>Units</w:t>
      </w:r>
      <w:proofErr w:type="spellEnd"/>
      <w:r w:rsidRPr="001C3EC8">
        <w:rPr>
          <w:color w:val="000000" w:themeColor="text1"/>
        </w:rPr>
        <w:t>, rozhodovací jednotky). Porovnává mezi sebou rozhodovací jednotky, které vytváří podobný produkt, využívají podobné vstupy a spadají pod jednu organizaci. Jedná se například o několik továren spadajících pod jednu společnost nebo právě o soudy. V našem případě tedy analyzujeme technickou efektivnost 86 okresních soudů (DMU) v ČR.</w:t>
      </w:r>
    </w:p>
    <w:p w14:paraId="7037DF07" w14:textId="77777777" w:rsidR="008430BD" w:rsidRPr="001C3EC8" w:rsidRDefault="008430BD" w:rsidP="008430BD">
      <w:pPr>
        <w:pStyle w:val="OdstavecASR"/>
        <w:rPr>
          <w:color w:val="000000" w:themeColor="text1"/>
        </w:rPr>
      </w:pPr>
      <w:r w:rsidRPr="001C3EC8">
        <w:rPr>
          <w:color w:val="000000" w:themeColor="text1"/>
        </w:rPr>
        <w:t>Hlavním výstupem DEA je skóre efektivnosti (</w:t>
      </w:r>
      <w:proofErr w:type="spellStart"/>
      <w:r w:rsidRPr="001C3EC8">
        <w:rPr>
          <w:color w:val="000000" w:themeColor="text1"/>
        </w:rPr>
        <w:t>theta</w:t>
      </w:r>
      <w:proofErr w:type="spellEnd"/>
      <w:r w:rsidRPr="001C3EC8">
        <w:rPr>
          <w:color w:val="000000" w:themeColor="text1"/>
        </w:rPr>
        <w:t>) od 0 do 1. Skóre 1 značí, že DMU je efektivní. Čím nižší je vyprodukované skóre, tím si soud počíná méně efektivně. Například skóre 0,6 značí, že soud si počíná efektivně jen z 60 %, tedy že s danými vstupy produkuje pouze 60 % možných výstupů nebo, že za daných vstupů je možné výstupy navýšit o (</w:t>
      </w:r>
      <w:proofErr w:type="gramStart"/>
      <w:r w:rsidRPr="001C3EC8">
        <w:rPr>
          <w:color w:val="000000" w:themeColor="text1"/>
        </w:rPr>
        <w:t>100 – 60</w:t>
      </w:r>
      <w:proofErr w:type="gramEnd"/>
      <w:r w:rsidRPr="001C3EC8">
        <w:rPr>
          <w:color w:val="000000" w:themeColor="text1"/>
        </w:rPr>
        <w:t>) = 40 %. Konkrétní interpretace závisí na druhu modelu (viz dále).</w:t>
      </w:r>
    </w:p>
    <w:p w14:paraId="2A73FBBE" w14:textId="77777777" w:rsidR="008430BD" w:rsidRPr="001C3EC8" w:rsidRDefault="008430BD" w:rsidP="008430BD">
      <w:pPr>
        <w:pStyle w:val="OdstavecASR"/>
        <w:rPr>
          <w:color w:val="000000" w:themeColor="text1"/>
        </w:rPr>
      </w:pPr>
      <w:r w:rsidRPr="001C3EC8">
        <w:rPr>
          <w:color w:val="000000" w:themeColor="text1"/>
        </w:rPr>
        <w:t xml:space="preserve">Základy konceptu technické efektivnosti, ze kterého DEA vychází a který je popsán níže, položil v roce 1957 M. J. </w:t>
      </w:r>
      <w:proofErr w:type="spellStart"/>
      <w:r w:rsidRPr="001C3EC8">
        <w:rPr>
          <w:color w:val="000000" w:themeColor="text1"/>
        </w:rPr>
        <w:t>Farell</w:t>
      </w:r>
      <w:proofErr w:type="spellEnd"/>
      <w:r w:rsidRPr="001C3EC8">
        <w:rPr>
          <w:color w:val="000000" w:themeColor="text1"/>
        </w:rPr>
        <w:t xml:space="preserve">. Na základech tohoto konceptu pak vytvořili </w:t>
      </w:r>
      <w:proofErr w:type="spellStart"/>
      <w:r w:rsidRPr="001C3EC8">
        <w:rPr>
          <w:color w:val="000000" w:themeColor="text1"/>
        </w:rPr>
        <w:t>Charnes</w:t>
      </w:r>
      <w:proofErr w:type="spellEnd"/>
      <w:r w:rsidRPr="001C3EC8">
        <w:rPr>
          <w:color w:val="000000" w:themeColor="text1"/>
        </w:rPr>
        <w:t>, Cooper a </w:t>
      </w:r>
      <w:proofErr w:type="spellStart"/>
      <w:r w:rsidRPr="001C3EC8">
        <w:rPr>
          <w:color w:val="000000" w:themeColor="text1"/>
        </w:rPr>
        <w:t>Rhodes</w:t>
      </w:r>
      <w:proofErr w:type="spellEnd"/>
      <w:r w:rsidRPr="001C3EC8">
        <w:rPr>
          <w:color w:val="000000" w:themeColor="text1"/>
        </w:rPr>
        <w:t xml:space="preserve"> (1978) model DEA s konstantními výnosy z rozsahu (CRS). Jedná se o tzv. CCR model. Předpoklad konstantních výnosů z rozsahu později uvolnili </w:t>
      </w:r>
      <w:proofErr w:type="spellStart"/>
      <w:r w:rsidRPr="001C3EC8">
        <w:rPr>
          <w:color w:val="000000" w:themeColor="text1"/>
        </w:rPr>
        <w:t>Banker</w:t>
      </w:r>
      <w:proofErr w:type="spellEnd"/>
      <w:r w:rsidRPr="001C3EC8">
        <w:rPr>
          <w:color w:val="000000" w:themeColor="text1"/>
        </w:rPr>
        <w:t xml:space="preserve">, </w:t>
      </w:r>
      <w:proofErr w:type="spellStart"/>
      <w:r w:rsidRPr="001C3EC8">
        <w:rPr>
          <w:color w:val="000000" w:themeColor="text1"/>
        </w:rPr>
        <w:t>Charnes</w:t>
      </w:r>
      <w:proofErr w:type="spellEnd"/>
      <w:r w:rsidRPr="001C3EC8">
        <w:rPr>
          <w:color w:val="000000" w:themeColor="text1"/>
        </w:rPr>
        <w:t xml:space="preserve"> a Cooper (1984). Jejich model již pracuje s různými výnosy z rozsahu (VRS). Jedná se o tzv. BCC model.</w:t>
      </w:r>
    </w:p>
    <w:p w14:paraId="3E8D6697" w14:textId="77777777" w:rsidR="008430BD" w:rsidRPr="001C3EC8" w:rsidRDefault="008430BD" w:rsidP="008430BD">
      <w:pPr>
        <w:pStyle w:val="OdstavecASR"/>
        <w:rPr>
          <w:color w:val="000000" w:themeColor="text1"/>
        </w:rPr>
      </w:pPr>
      <w:r w:rsidRPr="001C3EC8">
        <w:rPr>
          <w:color w:val="000000" w:themeColor="text1"/>
        </w:rPr>
        <w:t>Výnosy z rozsahu jsou ekonomický pojem, který udává, jak se mění výstupy při proporcionální změně všech vstupů. Výnosy z rozsahu lze dělit takto:</w:t>
      </w:r>
    </w:p>
    <w:p w14:paraId="51A57C08" w14:textId="77777777" w:rsidR="008430BD" w:rsidRPr="001C3EC8" w:rsidRDefault="008430BD" w:rsidP="008430BD">
      <w:pPr>
        <w:pStyle w:val="OdstavecASR"/>
        <w:numPr>
          <w:ilvl w:val="0"/>
          <w:numId w:val="6"/>
        </w:numPr>
        <w:rPr>
          <w:color w:val="000000" w:themeColor="text1"/>
        </w:rPr>
      </w:pPr>
      <w:r w:rsidRPr="001C3EC8">
        <w:rPr>
          <w:color w:val="000000" w:themeColor="text1"/>
        </w:rPr>
        <w:t>Klesající výnosy z rozsahu (DRS): zvýšení všech vstupů o 1 % vede ke zvýšení výstupů o méně než 1 %.</w:t>
      </w:r>
    </w:p>
    <w:p w14:paraId="54941C31" w14:textId="77777777" w:rsidR="008430BD" w:rsidRPr="001C3EC8" w:rsidRDefault="008430BD" w:rsidP="008430BD">
      <w:pPr>
        <w:pStyle w:val="OdstavecASR"/>
        <w:numPr>
          <w:ilvl w:val="0"/>
          <w:numId w:val="6"/>
        </w:numPr>
        <w:rPr>
          <w:color w:val="000000" w:themeColor="text1"/>
        </w:rPr>
      </w:pPr>
      <w:r w:rsidRPr="001C3EC8">
        <w:rPr>
          <w:color w:val="000000" w:themeColor="text1"/>
        </w:rPr>
        <w:t>Konstantní výnosy z rozsahu (CRS). V tom případě je velikost zkoumané DMU ideální. Zvýšení všech vstupů o 1 % vede ke zvýšení výstupů přesně o 1 %.</w:t>
      </w:r>
    </w:p>
    <w:p w14:paraId="510A631C" w14:textId="77777777" w:rsidR="008430BD" w:rsidRPr="001C3EC8" w:rsidRDefault="008430BD" w:rsidP="008430BD">
      <w:pPr>
        <w:pStyle w:val="OdstavecASR"/>
        <w:numPr>
          <w:ilvl w:val="0"/>
          <w:numId w:val="6"/>
        </w:numPr>
        <w:rPr>
          <w:color w:val="000000" w:themeColor="text1"/>
        </w:rPr>
      </w:pPr>
      <w:r w:rsidRPr="001C3EC8">
        <w:rPr>
          <w:color w:val="000000" w:themeColor="text1"/>
        </w:rPr>
        <w:t>Rostoucí výnosy z rozsahu (IRS): zvýšení všech vstupů o 1 % vede ke zvýšení výstupů o více než 1 %.</w:t>
      </w:r>
    </w:p>
    <w:p w14:paraId="168904D0" w14:textId="77777777" w:rsidR="008430BD" w:rsidRPr="001C3EC8" w:rsidRDefault="008430BD" w:rsidP="008430BD">
      <w:pPr>
        <w:pStyle w:val="OdstavecASR"/>
        <w:rPr>
          <w:color w:val="000000" w:themeColor="text1"/>
        </w:rPr>
      </w:pPr>
      <w:r w:rsidRPr="001C3EC8">
        <w:rPr>
          <w:color w:val="000000" w:themeColor="text1"/>
        </w:rPr>
        <w:t xml:space="preserve">Z hlediska této zprávy je podstatné to, co z konceptu výnosů z rozsahu plyne. </w:t>
      </w:r>
      <w:proofErr w:type="spellStart"/>
      <w:r w:rsidRPr="001C3EC8">
        <w:rPr>
          <w:color w:val="000000" w:themeColor="text1"/>
        </w:rPr>
        <w:t>Charnes</w:t>
      </w:r>
      <w:proofErr w:type="spellEnd"/>
      <w:r w:rsidRPr="001C3EC8">
        <w:rPr>
          <w:color w:val="000000" w:themeColor="text1"/>
        </w:rPr>
        <w:t>, Cooper a </w:t>
      </w:r>
      <w:proofErr w:type="spellStart"/>
      <w:r w:rsidRPr="001C3EC8">
        <w:rPr>
          <w:color w:val="000000" w:themeColor="text1"/>
        </w:rPr>
        <w:t>Rhodes</w:t>
      </w:r>
      <w:proofErr w:type="spellEnd"/>
      <w:r w:rsidRPr="001C3EC8">
        <w:rPr>
          <w:color w:val="000000" w:themeColor="text1"/>
        </w:rPr>
        <w:t xml:space="preserve"> (1978) předpokládají CRS, tedy předpokládají, že DMU je ideálně veliká. Neefektivnost ve výrobě tedy nemůže plynout z nevhodné velikosti DMU. Naopak </w:t>
      </w:r>
      <w:proofErr w:type="spellStart"/>
      <w:r w:rsidRPr="001C3EC8">
        <w:rPr>
          <w:color w:val="000000" w:themeColor="text1"/>
        </w:rPr>
        <w:t>Banker</w:t>
      </w:r>
      <w:proofErr w:type="spellEnd"/>
      <w:r w:rsidRPr="001C3EC8">
        <w:rPr>
          <w:color w:val="000000" w:themeColor="text1"/>
        </w:rPr>
        <w:t xml:space="preserve">, </w:t>
      </w:r>
      <w:proofErr w:type="spellStart"/>
      <w:r w:rsidRPr="001C3EC8">
        <w:rPr>
          <w:color w:val="000000" w:themeColor="text1"/>
        </w:rPr>
        <w:t>Charnes</w:t>
      </w:r>
      <w:proofErr w:type="spellEnd"/>
      <w:r w:rsidRPr="001C3EC8">
        <w:rPr>
          <w:color w:val="000000" w:themeColor="text1"/>
        </w:rPr>
        <w:t xml:space="preserve"> a Cooper (1984) předpokládají VRS, což znamená, že soudy mohou být neefektivní i kvůli tomu, že jsou příliš velké nebo malé.</w:t>
      </w:r>
    </w:p>
    <w:p w14:paraId="218A58A9" w14:textId="77777777" w:rsidR="008430BD" w:rsidRPr="001C3EC8" w:rsidRDefault="008430BD" w:rsidP="008430BD">
      <w:pPr>
        <w:pStyle w:val="OdstavecASR"/>
        <w:rPr>
          <w:color w:val="000000" w:themeColor="text1"/>
        </w:rPr>
      </w:pPr>
      <w:r w:rsidRPr="001C3EC8">
        <w:rPr>
          <w:color w:val="000000" w:themeColor="text1"/>
        </w:rPr>
        <w:lastRenderedPageBreak/>
        <w:t xml:space="preserve">Dále můžeme DEA dělit na </w:t>
      </w:r>
      <w:proofErr w:type="spellStart"/>
      <w:r w:rsidRPr="001C3EC8">
        <w:rPr>
          <w:color w:val="000000" w:themeColor="text1"/>
        </w:rPr>
        <w:t>vstupově</w:t>
      </w:r>
      <w:proofErr w:type="spellEnd"/>
      <w:r w:rsidRPr="001C3EC8">
        <w:rPr>
          <w:color w:val="000000" w:themeColor="text1"/>
        </w:rPr>
        <w:t xml:space="preserve"> orientovanou (z anglického input-</w:t>
      </w:r>
      <w:proofErr w:type="spellStart"/>
      <w:r w:rsidRPr="001C3EC8">
        <w:rPr>
          <w:color w:val="000000" w:themeColor="text1"/>
        </w:rPr>
        <w:t>oriented</w:t>
      </w:r>
      <w:proofErr w:type="spellEnd"/>
      <w:r w:rsidRPr="001C3EC8">
        <w:rPr>
          <w:color w:val="000000" w:themeColor="text1"/>
        </w:rPr>
        <w:t>) a výstupově orientovanou (z anglického output-</w:t>
      </w:r>
      <w:proofErr w:type="spellStart"/>
      <w:r w:rsidRPr="001C3EC8">
        <w:rPr>
          <w:color w:val="000000" w:themeColor="text1"/>
        </w:rPr>
        <w:t>oriented</w:t>
      </w:r>
      <w:proofErr w:type="spellEnd"/>
      <w:r w:rsidRPr="001C3EC8">
        <w:rPr>
          <w:color w:val="000000" w:themeColor="text1"/>
        </w:rPr>
        <w:t xml:space="preserve">). </w:t>
      </w:r>
      <w:proofErr w:type="spellStart"/>
      <w:r w:rsidRPr="001C3EC8">
        <w:rPr>
          <w:color w:val="000000" w:themeColor="text1"/>
        </w:rPr>
        <w:t>Vstupově</w:t>
      </w:r>
      <w:proofErr w:type="spellEnd"/>
      <w:r w:rsidRPr="001C3EC8">
        <w:rPr>
          <w:color w:val="000000" w:themeColor="text1"/>
        </w:rPr>
        <w:t xml:space="preserve"> orientovaná DEA zkoumá, o kolik by soud mohl snížit své vstupy, aniž by se změnila velikost výstupů, pokud by soud fungoval efektivně. Výstupově orientovaná DEA zkoumá, o kolik by soud mohl zvýšit své výstupy, aniž by se změnila velikost vstupů, pokud by soud fungoval efektivně.</w:t>
      </w:r>
    </w:p>
    <w:p w14:paraId="53780E9B" w14:textId="77777777" w:rsidR="008430BD" w:rsidRPr="001C3EC8" w:rsidRDefault="008430BD" w:rsidP="008430BD">
      <w:pPr>
        <w:pStyle w:val="Nadpis4"/>
        <w:rPr>
          <w:color w:val="000000" w:themeColor="text1"/>
        </w:rPr>
      </w:pPr>
      <w:r w:rsidRPr="001C3EC8">
        <w:rPr>
          <w:color w:val="000000" w:themeColor="text1"/>
        </w:rPr>
        <w:t>Koncept technické neefektivnosti</w:t>
      </w:r>
    </w:p>
    <w:p w14:paraId="3FD52787" w14:textId="77777777" w:rsidR="008430BD" w:rsidRPr="001C3EC8" w:rsidRDefault="008430BD" w:rsidP="008430BD">
      <w:pPr>
        <w:pStyle w:val="OdstavecASR"/>
        <w:rPr>
          <w:color w:val="000000" w:themeColor="text1"/>
        </w:rPr>
      </w:pPr>
      <w:r w:rsidRPr="001C3EC8">
        <w:rPr>
          <w:color w:val="000000" w:themeColor="text1"/>
        </w:rPr>
        <w:t xml:space="preserve">Technicky efektivní DMU můžeme definovat jako DMU, která produkuje maximální možný výstup z daných vstupů nebo daný výstup z minimálního množství vstupů. Koncept měření technické neefektivnosti, jak ho definoval </w:t>
      </w:r>
      <w:proofErr w:type="spellStart"/>
      <w:r w:rsidRPr="001C3EC8">
        <w:rPr>
          <w:color w:val="000000" w:themeColor="text1"/>
        </w:rPr>
        <w:t>Farrell</w:t>
      </w:r>
      <w:proofErr w:type="spellEnd"/>
      <w:r w:rsidRPr="001C3EC8">
        <w:rPr>
          <w:color w:val="000000" w:themeColor="text1"/>
        </w:rPr>
        <w:t>, a tedy i koncept DEA, je nejlépe pochopitelný z příkladu na grafu 111.</w:t>
      </w:r>
    </w:p>
    <w:p w14:paraId="6F5A2A00" w14:textId="6C05CF52" w:rsidR="008430BD" w:rsidRPr="001C3EC8" w:rsidRDefault="008430BD" w:rsidP="008430BD">
      <w:pPr>
        <w:pStyle w:val="Podnadpis"/>
        <w:rPr>
          <w:color w:val="000000" w:themeColor="text1"/>
        </w:rPr>
      </w:pPr>
      <w:bookmarkStart w:id="952" w:name="_Toc485734497"/>
      <w:bookmarkStart w:id="953" w:name="_Toc487792813"/>
      <w:bookmarkStart w:id="954" w:name="_Toc515871434"/>
      <w:bookmarkStart w:id="955" w:name="_Toc75952302"/>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122</w:t>
      </w:r>
      <w:r w:rsidRPr="001C3EC8">
        <w:rPr>
          <w:noProof/>
          <w:color w:val="000000" w:themeColor="text1"/>
        </w:rPr>
        <w:fldChar w:fldCharType="end"/>
      </w:r>
      <w:r w:rsidRPr="001C3EC8">
        <w:rPr>
          <w:color w:val="000000" w:themeColor="text1"/>
        </w:rPr>
        <w:t>: Koncept technické efektivnosti</w:t>
      </w:r>
      <w:bookmarkEnd w:id="952"/>
      <w:bookmarkEnd w:id="953"/>
      <w:bookmarkEnd w:id="954"/>
      <w:bookmarkEnd w:id="955"/>
    </w:p>
    <w:p w14:paraId="710A3889" w14:textId="77777777" w:rsidR="008430BD" w:rsidRPr="001C3EC8" w:rsidRDefault="008430BD" w:rsidP="008430BD">
      <w:pPr>
        <w:rPr>
          <w:color w:val="000000" w:themeColor="text1"/>
        </w:rPr>
      </w:pPr>
      <w:r w:rsidRPr="001C3EC8">
        <w:rPr>
          <w:noProof/>
          <w:color w:val="000000" w:themeColor="text1"/>
          <w:lang w:eastAsia="cs-CZ"/>
        </w:rPr>
        <w:drawing>
          <wp:inline distT="0" distB="0" distL="0" distR="0" wp14:anchorId="439926F5" wp14:editId="657858D9">
            <wp:extent cx="5438775" cy="3628851"/>
            <wp:effectExtent l="0" t="0" r="0" b="0"/>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43487" cy="3631995"/>
                    </a:xfrm>
                    <a:prstGeom prst="rect">
                      <a:avLst/>
                    </a:prstGeom>
                    <a:noFill/>
                    <a:ln>
                      <a:noFill/>
                    </a:ln>
                  </pic:spPr>
                </pic:pic>
              </a:graphicData>
            </a:graphic>
          </wp:inline>
        </w:drawing>
      </w:r>
    </w:p>
    <w:p w14:paraId="3027C766" w14:textId="77777777" w:rsidR="008430BD" w:rsidRPr="001C3EC8" w:rsidRDefault="008430BD" w:rsidP="008430BD">
      <w:pPr>
        <w:spacing w:line="360" w:lineRule="auto"/>
        <w:rPr>
          <w:color w:val="000000" w:themeColor="text1"/>
          <w:sz w:val="20"/>
        </w:rPr>
      </w:pPr>
      <w:r w:rsidRPr="001C3EC8">
        <w:rPr>
          <w:color w:val="000000" w:themeColor="text1"/>
          <w:sz w:val="20"/>
        </w:rPr>
        <w:t>Zdroj: Y. Ji, C. Lee (2010), str. 269</w:t>
      </w:r>
      <w:r w:rsidRPr="001C3EC8">
        <w:rPr>
          <w:color w:val="000000" w:themeColor="text1"/>
        </w:rPr>
        <w:t>.</w:t>
      </w:r>
    </w:p>
    <w:p w14:paraId="01194FA0" w14:textId="77777777" w:rsidR="008430BD" w:rsidRPr="001C3EC8" w:rsidRDefault="008430BD" w:rsidP="008430BD">
      <w:pPr>
        <w:pStyle w:val="OdstavecASR"/>
        <w:rPr>
          <w:color w:val="000000" w:themeColor="text1"/>
        </w:rPr>
      </w:pPr>
      <w:r w:rsidRPr="001C3EC8">
        <w:rPr>
          <w:rStyle w:val="OdstavecASRChar"/>
          <w:color w:val="000000" w:themeColor="text1"/>
        </w:rPr>
        <w:t>Na ose </w:t>
      </w:r>
      <w:r w:rsidRPr="001C3EC8">
        <w:rPr>
          <w:rStyle w:val="OdstavecASRChar"/>
          <w:i/>
          <w:color w:val="000000" w:themeColor="text1"/>
        </w:rPr>
        <w:t>Y</w:t>
      </w:r>
      <w:r w:rsidRPr="001C3EC8">
        <w:rPr>
          <w:rStyle w:val="OdstavecASRChar"/>
          <w:color w:val="000000" w:themeColor="text1"/>
        </w:rPr>
        <w:t xml:space="preserve"> je množství vyprodukovaného výstupu, na ose </w:t>
      </w:r>
      <w:r w:rsidRPr="001C3EC8">
        <w:rPr>
          <w:rStyle w:val="OdstavecASRChar"/>
          <w:i/>
          <w:color w:val="000000" w:themeColor="text1"/>
        </w:rPr>
        <w:t>X</w:t>
      </w:r>
      <w:r w:rsidRPr="001C3EC8">
        <w:rPr>
          <w:rStyle w:val="OdstavecASRChar"/>
          <w:color w:val="000000" w:themeColor="text1"/>
        </w:rPr>
        <w:t xml:space="preserve"> je vložené množství vstupu. Na příkladu na grafu je zaneseno pět DMU. DMU C leží na tzv. efektivní hranici</w:t>
      </w:r>
      <w:r w:rsidRPr="001C3EC8">
        <w:rPr>
          <w:color w:val="000000" w:themeColor="text1"/>
        </w:rPr>
        <w:t xml:space="preserve"> CRS (CRS </w:t>
      </w:r>
      <w:proofErr w:type="spellStart"/>
      <w:r w:rsidRPr="001C3EC8">
        <w:rPr>
          <w:color w:val="000000" w:themeColor="text1"/>
        </w:rPr>
        <w:t>frontier</w:t>
      </w:r>
      <w:proofErr w:type="spellEnd"/>
      <w:r w:rsidRPr="001C3EC8">
        <w:rPr>
          <w:color w:val="000000" w:themeColor="text1"/>
        </w:rPr>
        <w:t>). Tato hranice udává nejlepší možnou kombinaci vstupů a výstupů za předpokladu CRS. CCR model ji tedy vyhodnotí jako zcela efektivní (</w:t>
      </w:r>
      <w:proofErr w:type="spellStart"/>
      <w:r w:rsidRPr="001C3EC8">
        <w:rPr>
          <w:color w:val="000000" w:themeColor="text1"/>
        </w:rPr>
        <w:t>theta</w:t>
      </w:r>
      <w:proofErr w:type="spellEnd"/>
      <w:r w:rsidRPr="001C3EC8">
        <w:rPr>
          <w:color w:val="000000" w:themeColor="text1"/>
        </w:rPr>
        <w:t xml:space="preserve"> = 1). Jednotky A, C a E leží na efektivní hranici VRS (křivka označená jako VRS </w:t>
      </w:r>
      <w:proofErr w:type="spellStart"/>
      <w:r w:rsidRPr="001C3EC8">
        <w:rPr>
          <w:color w:val="000000" w:themeColor="text1"/>
        </w:rPr>
        <w:t>frontier</w:t>
      </w:r>
      <w:proofErr w:type="spellEnd"/>
      <w:r w:rsidRPr="001C3EC8">
        <w:rPr>
          <w:color w:val="000000" w:themeColor="text1"/>
        </w:rPr>
        <w:t>). BCC model je tedy vyhodnotí jako zcela efektivní. Dále je na grafu zobrazena „</w:t>
      </w:r>
      <w:proofErr w:type="spellStart"/>
      <w:r w:rsidRPr="001C3EC8">
        <w:rPr>
          <w:color w:val="000000" w:themeColor="text1"/>
        </w:rPr>
        <w:t>efektivnostní</w:t>
      </w:r>
      <w:proofErr w:type="spellEnd"/>
      <w:r w:rsidRPr="001C3EC8">
        <w:rPr>
          <w:color w:val="000000" w:themeColor="text1"/>
        </w:rPr>
        <w:t xml:space="preserve"> hranice“ NIRS (nerostoucí výnosy z rozsahu), která ale v rámci této analýzy není potřebná.</w:t>
      </w:r>
    </w:p>
    <w:p w14:paraId="4310701C" w14:textId="77777777" w:rsidR="008430BD" w:rsidRPr="001C3EC8" w:rsidRDefault="008430BD" w:rsidP="008430BD">
      <w:pPr>
        <w:pStyle w:val="OdstavecASR"/>
        <w:rPr>
          <w:color w:val="000000" w:themeColor="text1"/>
        </w:rPr>
      </w:pPr>
      <w:r w:rsidRPr="001C3EC8">
        <w:rPr>
          <w:color w:val="000000" w:themeColor="text1"/>
        </w:rPr>
        <w:t>Na efektivní hranici VRS lze také velmi dobře demonstrovat výnosy z rozsahu. Od bodu A do bodu C vykazuje křivka rostoucí výnosy z rozsahu (sklon k ose </w:t>
      </w:r>
      <w:r w:rsidRPr="001C3EC8">
        <w:rPr>
          <w:i/>
          <w:color w:val="000000" w:themeColor="text1"/>
        </w:rPr>
        <w:t>X</w:t>
      </w:r>
      <w:r w:rsidRPr="001C3EC8">
        <w:rPr>
          <w:color w:val="000000" w:themeColor="text1"/>
        </w:rPr>
        <w:t xml:space="preserve"> je vysoký, výstup tedy roste rychleji než vstup). Od bodu C dál vykazuje křivka klesající výnosy z rozsahu (sklon k ose </w:t>
      </w:r>
      <w:r w:rsidRPr="001C3EC8">
        <w:rPr>
          <w:i/>
          <w:color w:val="000000" w:themeColor="text1"/>
        </w:rPr>
        <w:t>X</w:t>
      </w:r>
      <w:r w:rsidRPr="001C3EC8">
        <w:rPr>
          <w:color w:val="000000" w:themeColor="text1"/>
        </w:rPr>
        <w:t xml:space="preserve"> je malý, výstup tedy roste pomaleji než vstup). Pouze bod C vykazuje CRS – je to průsečík efektivních hranic VRS a CRS. Například DMU B je neefektivní. Její přesnou míru efektivnosti (tedy </w:t>
      </w:r>
      <w:proofErr w:type="spellStart"/>
      <w:r w:rsidRPr="001C3EC8">
        <w:rPr>
          <w:color w:val="000000" w:themeColor="text1"/>
        </w:rPr>
        <w:t>theta</w:t>
      </w:r>
      <w:proofErr w:type="spellEnd"/>
      <w:r w:rsidRPr="001C3EC8">
        <w:rPr>
          <w:color w:val="000000" w:themeColor="text1"/>
        </w:rPr>
        <w:t xml:space="preserve">) lze </w:t>
      </w:r>
      <w:r w:rsidRPr="001C3EC8">
        <w:rPr>
          <w:color w:val="000000" w:themeColor="text1"/>
        </w:rPr>
        <w:lastRenderedPageBreak/>
        <w:t xml:space="preserve">snadno určit. V případě </w:t>
      </w:r>
      <w:proofErr w:type="spellStart"/>
      <w:r w:rsidRPr="001C3EC8">
        <w:rPr>
          <w:color w:val="000000" w:themeColor="text1"/>
        </w:rPr>
        <w:t>vstupově</w:t>
      </w:r>
      <w:proofErr w:type="spellEnd"/>
      <w:r w:rsidRPr="001C3EC8">
        <w:rPr>
          <w:color w:val="000000" w:themeColor="text1"/>
        </w:rPr>
        <w:t xml:space="preserve"> orientovaného CCR modelu to je poměr vzdáleností na grafu (B</w:t>
      </w:r>
      <w:r w:rsidRPr="001C3EC8">
        <w:rPr>
          <w:color w:val="000000" w:themeColor="text1"/>
          <w:vertAlign w:val="subscript"/>
        </w:rPr>
        <w:t>0</w:t>
      </w:r>
      <w:r w:rsidRPr="001C3EC8">
        <w:rPr>
          <w:color w:val="000000" w:themeColor="text1"/>
        </w:rPr>
        <w:t>B</w:t>
      </w:r>
      <w:r w:rsidRPr="001C3EC8">
        <w:rPr>
          <w:color w:val="000000" w:themeColor="text1"/>
          <w:vertAlign w:val="subscript"/>
        </w:rPr>
        <w:t>1</w:t>
      </w:r>
      <w:r w:rsidRPr="001C3EC8">
        <w:rPr>
          <w:color w:val="000000" w:themeColor="text1"/>
        </w:rPr>
        <w:t>) / (B</w:t>
      </w:r>
      <w:r w:rsidRPr="001C3EC8">
        <w:rPr>
          <w:color w:val="000000" w:themeColor="text1"/>
          <w:vertAlign w:val="subscript"/>
        </w:rPr>
        <w:t>0</w:t>
      </w:r>
      <w:r w:rsidRPr="001C3EC8">
        <w:rPr>
          <w:color w:val="000000" w:themeColor="text1"/>
        </w:rPr>
        <w:t xml:space="preserve">B). V případě </w:t>
      </w:r>
      <w:proofErr w:type="spellStart"/>
      <w:r w:rsidRPr="001C3EC8">
        <w:rPr>
          <w:color w:val="000000" w:themeColor="text1"/>
        </w:rPr>
        <w:t>vstupově</w:t>
      </w:r>
      <w:proofErr w:type="spellEnd"/>
      <w:r w:rsidRPr="001C3EC8">
        <w:rPr>
          <w:color w:val="000000" w:themeColor="text1"/>
        </w:rPr>
        <w:t xml:space="preserve"> orientovaného BCC modelu je efektivnost určena poměrem vzdáleností (B</w:t>
      </w:r>
      <w:r w:rsidRPr="001C3EC8">
        <w:rPr>
          <w:color w:val="000000" w:themeColor="text1"/>
          <w:vertAlign w:val="subscript"/>
        </w:rPr>
        <w:t>0</w:t>
      </w:r>
      <w:r w:rsidRPr="001C3EC8">
        <w:rPr>
          <w:color w:val="000000" w:themeColor="text1"/>
        </w:rPr>
        <w:t>B</w:t>
      </w:r>
      <w:r w:rsidRPr="001C3EC8">
        <w:rPr>
          <w:color w:val="000000" w:themeColor="text1"/>
          <w:vertAlign w:val="subscript"/>
        </w:rPr>
        <w:t>2</w:t>
      </w:r>
      <w:r w:rsidRPr="001C3EC8">
        <w:rPr>
          <w:color w:val="000000" w:themeColor="text1"/>
        </w:rPr>
        <w:t>) / (B</w:t>
      </w:r>
      <w:r w:rsidRPr="001C3EC8">
        <w:rPr>
          <w:color w:val="000000" w:themeColor="text1"/>
          <w:vertAlign w:val="subscript"/>
        </w:rPr>
        <w:t>0</w:t>
      </w:r>
      <w:r w:rsidRPr="001C3EC8">
        <w:rPr>
          <w:color w:val="000000" w:themeColor="text1"/>
        </w:rPr>
        <w:t>B). Z toho plyne, že je možné rozdělit neefektivnost na dvě složky: čistá technická neefektivnost (vzdálenost B</w:t>
      </w:r>
      <w:r w:rsidRPr="001C3EC8">
        <w:rPr>
          <w:color w:val="000000" w:themeColor="text1"/>
          <w:vertAlign w:val="subscript"/>
        </w:rPr>
        <w:t>2</w:t>
      </w:r>
      <w:r w:rsidRPr="001C3EC8">
        <w:rPr>
          <w:color w:val="000000" w:themeColor="text1"/>
        </w:rPr>
        <w:t>B) a neefektivnost způsobená nevhodnou velikostí (vzdálenost B</w:t>
      </w:r>
      <w:r w:rsidRPr="001C3EC8">
        <w:rPr>
          <w:color w:val="000000" w:themeColor="text1"/>
          <w:vertAlign w:val="subscript"/>
        </w:rPr>
        <w:t>1</w:t>
      </w:r>
      <w:r w:rsidRPr="001C3EC8">
        <w:rPr>
          <w:color w:val="000000" w:themeColor="text1"/>
        </w:rPr>
        <w:t>B</w:t>
      </w:r>
      <w:r w:rsidRPr="001C3EC8">
        <w:rPr>
          <w:color w:val="000000" w:themeColor="text1"/>
          <w:vertAlign w:val="subscript"/>
        </w:rPr>
        <w:t>2</w:t>
      </w:r>
      <w:r w:rsidRPr="001C3EC8">
        <w:rPr>
          <w:color w:val="000000" w:themeColor="text1"/>
        </w:rPr>
        <w:t>).</w:t>
      </w:r>
    </w:p>
    <w:p w14:paraId="68A9CAD9" w14:textId="77777777" w:rsidR="008430BD" w:rsidRPr="001C3EC8" w:rsidRDefault="008430BD" w:rsidP="008430BD">
      <w:pPr>
        <w:pStyle w:val="OdstavecASR"/>
        <w:rPr>
          <w:color w:val="000000" w:themeColor="text1"/>
        </w:rPr>
      </w:pPr>
      <w:r w:rsidRPr="001C3EC8">
        <w:rPr>
          <w:color w:val="000000" w:themeColor="text1"/>
        </w:rPr>
        <w:t>Všechny míry efektivnosti získané pomocí výstupově orientované DEA jsou v příkladu na grafu stejné, a to (B</w:t>
      </w:r>
      <w:r w:rsidRPr="001C3EC8">
        <w:rPr>
          <w:color w:val="000000" w:themeColor="text1"/>
          <w:vertAlign w:val="subscript"/>
        </w:rPr>
        <w:t>3</w:t>
      </w:r>
      <w:r w:rsidRPr="001C3EC8">
        <w:rPr>
          <w:color w:val="000000" w:themeColor="text1"/>
        </w:rPr>
        <w:t>B) / (BC) – neefektivnost je způsobena tedy samotnou DMU, ale ne její velikostí.</w:t>
      </w:r>
    </w:p>
    <w:p w14:paraId="54D7C29E" w14:textId="77777777" w:rsidR="008430BD" w:rsidRPr="001C3EC8" w:rsidRDefault="008430BD" w:rsidP="008430BD">
      <w:pPr>
        <w:pStyle w:val="Nadpis4"/>
        <w:rPr>
          <w:color w:val="000000" w:themeColor="text1"/>
        </w:rPr>
      </w:pPr>
      <w:r w:rsidRPr="001C3EC8">
        <w:rPr>
          <w:color w:val="000000" w:themeColor="text1"/>
        </w:rPr>
        <w:t>Neefektivnost a přídatné proměnné</w:t>
      </w:r>
    </w:p>
    <w:p w14:paraId="745214CA" w14:textId="77777777" w:rsidR="008430BD" w:rsidRPr="001C3EC8" w:rsidRDefault="008430BD" w:rsidP="008430BD">
      <w:pPr>
        <w:pStyle w:val="OdstavecASR"/>
        <w:rPr>
          <w:color w:val="000000" w:themeColor="text1"/>
        </w:rPr>
      </w:pPr>
      <w:r w:rsidRPr="001C3EC8">
        <w:rPr>
          <w:color w:val="000000" w:themeColor="text1"/>
        </w:rPr>
        <w:t xml:space="preserve">Dalším důležitým konceptem v rámci DEA jsou tzv. přídatné proměnné (anglicky </w:t>
      </w:r>
      <w:proofErr w:type="spellStart"/>
      <w:r w:rsidRPr="001C3EC8">
        <w:rPr>
          <w:color w:val="000000" w:themeColor="text1"/>
        </w:rPr>
        <w:t>slack</w:t>
      </w:r>
      <w:proofErr w:type="spellEnd"/>
      <w:r w:rsidRPr="001C3EC8">
        <w:rPr>
          <w:color w:val="000000" w:themeColor="text1"/>
        </w:rPr>
        <w:t xml:space="preserve"> </w:t>
      </w:r>
      <w:proofErr w:type="spellStart"/>
      <w:r w:rsidRPr="001C3EC8">
        <w:rPr>
          <w:color w:val="000000" w:themeColor="text1"/>
        </w:rPr>
        <w:t>variables</w:t>
      </w:r>
      <w:proofErr w:type="spellEnd"/>
      <w:r w:rsidRPr="001C3EC8">
        <w:rPr>
          <w:color w:val="000000" w:themeColor="text1"/>
        </w:rPr>
        <w:t>). Na grafu 112 je opět zobrazena hranice efektivnosti, ale jiným způsobem. Je zobrazena pro dva vstupy a jeden výstup. Na osách je vždy zanesen poměr (množství vstupu) / (množství výstupu). DMU A až F leží „na hranici efektivnosti“, DMU G a H jsou neefektivní. Jejich technickou efektivnost lze vypočítat podobně jako na grafu 111 – tedy 0G</w:t>
      </w:r>
      <w:r w:rsidRPr="001C3EC8">
        <w:rPr>
          <w:color w:val="000000" w:themeColor="text1"/>
          <w:vertAlign w:val="subscript"/>
        </w:rPr>
        <w:t>1</w:t>
      </w:r>
      <w:r w:rsidRPr="001C3EC8">
        <w:rPr>
          <w:color w:val="000000" w:themeColor="text1"/>
        </w:rPr>
        <w:t>/0G a 0H</w:t>
      </w:r>
      <w:r w:rsidRPr="001C3EC8">
        <w:rPr>
          <w:color w:val="000000" w:themeColor="text1"/>
          <w:vertAlign w:val="subscript"/>
        </w:rPr>
        <w:t>1</w:t>
      </w:r>
      <w:r w:rsidRPr="001C3EC8">
        <w:rPr>
          <w:color w:val="000000" w:themeColor="text1"/>
        </w:rPr>
        <w:t>/</w:t>
      </w:r>
      <w:proofErr w:type="gramStart"/>
      <w:r w:rsidRPr="001C3EC8">
        <w:rPr>
          <w:color w:val="000000" w:themeColor="text1"/>
        </w:rPr>
        <w:t>0H</w:t>
      </w:r>
      <w:proofErr w:type="gramEnd"/>
      <w:r w:rsidRPr="001C3EC8">
        <w:rPr>
          <w:color w:val="000000" w:themeColor="text1"/>
        </w:rPr>
        <w:t>. Bod G</w:t>
      </w:r>
      <w:r w:rsidRPr="001C3EC8">
        <w:rPr>
          <w:color w:val="000000" w:themeColor="text1"/>
          <w:vertAlign w:val="subscript"/>
        </w:rPr>
        <w:t>1</w:t>
      </w:r>
      <w:r w:rsidRPr="001C3EC8">
        <w:rPr>
          <w:color w:val="000000" w:themeColor="text1"/>
        </w:rPr>
        <w:t xml:space="preserve"> je tzv. </w:t>
      </w:r>
      <w:proofErr w:type="spellStart"/>
      <w:r w:rsidRPr="001C3EC8">
        <w:rPr>
          <w:color w:val="000000" w:themeColor="text1"/>
        </w:rPr>
        <w:t>Farrell</w:t>
      </w:r>
      <w:proofErr w:type="spellEnd"/>
      <w:r w:rsidRPr="001C3EC8">
        <w:rPr>
          <w:color w:val="000000" w:themeColor="text1"/>
        </w:rPr>
        <w:t xml:space="preserve"> efektivní. Ale u DMU G je ještě dále možné snížit množství vstupu 2, a to o vzdálenost CG</w:t>
      </w:r>
      <w:r w:rsidRPr="001C3EC8">
        <w:rPr>
          <w:color w:val="000000" w:themeColor="text1"/>
          <w:vertAlign w:val="subscript"/>
        </w:rPr>
        <w:t>1</w:t>
      </w:r>
      <w:r w:rsidRPr="001C3EC8">
        <w:rPr>
          <w:color w:val="000000" w:themeColor="text1"/>
        </w:rPr>
        <w:t>. Právě tato neefektivnost je tzv. „</w:t>
      </w:r>
      <w:proofErr w:type="spellStart"/>
      <w:r w:rsidRPr="001C3EC8">
        <w:rPr>
          <w:color w:val="000000" w:themeColor="text1"/>
        </w:rPr>
        <w:t>slack</w:t>
      </w:r>
      <w:proofErr w:type="spellEnd"/>
      <w:r w:rsidRPr="001C3EC8">
        <w:rPr>
          <w:color w:val="000000" w:themeColor="text1"/>
        </w:rPr>
        <w:t>“. DMU C se pak stává tzv. „referenční DMU“ pro DMU G. Bod C je tzv. „</w:t>
      </w:r>
      <w:proofErr w:type="spellStart"/>
      <w:r w:rsidRPr="001C3EC8">
        <w:rPr>
          <w:color w:val="000000" w:themeColor="text1"/>
        </w:rPr>
        <w:t>Pareto</w:t>
      </w:r>
      <w:proofErr w:type="spellEnd"/>
      <w:r w:rsidRPr="001C3EC8">
        <w:rPr>
          <w:color w:val="000000" w:themeColor="text1"/>
        </w:rPr>
        <w:t>–</w:t>
      </w:r>
      <w:proofErr w:type="spellStart"/>
      <w:r w:rsidRPr="001C3EC8">
        <w:rPr>
          <w:color w:val="000000" w:themeColor="text1"/>
        </w:rPr>
        <w:t>Koopman</w:t>
      </w:r>
      <w:proofErr w:type="spellEnd"/>
      <w:r w:rsidRPr="001C3EC8">
        <w:rPr>
          <w:color w:val="000000" w:themeColor="text1"/>
        </w:rPr>
        <w:t xml:space="preserve"> efektivní“. Přídatné proměnné tedy udávají, o kolik jednotek je třeba snížit vybraný vstup (nebo zvýšit vybraný výstup), aby se DMU stala efektivní. Neefektivní jednotka totiž oproti efektivní referenční jednotce používá příliš velké množství daného vstupu nebo produkuje příliš malé množství daného výstupu.</w:t>
      </w:r>
    </w:p>
    <w:p w14:paraId="0BF49115" w14:textId="0F52322E" w:rsidR="008430BD" w:rsidRPr="001C3EC8" w:rsidRDefault="008430BD" w:rsidP="008430BD">
      <w:pPr>
        <w:pStyle w:val="Podnadpis"/>
        <w:rPr>
          <w:color w:val="000000" w:themeColor="text1"/>
        </w:rPr>
      </w:pPr>
      <w:bookmarkStart w:id="956" w:name="_Toc485734498"/>
      <w:bookmarkStart w:id="957" w:name="_Toc487792814"/>
      <w:bookmarkStart w:id="958" w:name="_Toc515871435"/>
      <w:bookmarkStart w:id="959" w:name="_Toc75952303"/>
      <w:r w:rsidRPr="001C3EC8">
        <w:rPr>
          <w:color w:val="000000" w:themeColor="text1"/>
        </w:rPr>
        <w:t xml:space="preserve">Graf </w:t>
      </w:r>
      <w:r w:rsidRPr="001C3EC8">
        <w:rPr>
          <w:noProof/>
          <w:color w:val="000000" w:themeColor="text1"/>
        </w:rPr>
        <w:fldChar w:fldCharType="begin"/>
      </w:r>
      <w:r w:rsidRPr="001C3EC8">
        <w:rPr>
          <w:noProof/>
          <w:color w:val="000000" w:themeColor="text1"/>
        </w:rPr>
        <w:instrText xml:space="preserve"> SEQ Graf \* ARABIC </w:instrText>
      </w:r>
      <w:r w:rsidRPr="001C3EC8">
        <w:rPr>
          <w:noProof/>
          <w:color w:val="000000" w:themeColor="text1"/>
        </w:rPr>
        <w:fldChar w:fldCharType="separate"/>
      </w:r>
      <w:r w:rsidR="009C575D">
        <w:rPr>
          <w:noProof/>
          <w:color w:val="000000" w:themeColor="text1"/>
        </w:rPr>
        <w:t>123</w:t>
      </w:r>
      <w:r w:rsidRPr="001C3EC8">
        <w:rPr>
          <w:noProof/>
          <w:color w:val="000000" w:themeColor="text1"/>
        </w:rPr>
        <w:fldChar w:fldCharType="end"/>
      </w:r>
      <w:r w:rsidRPr="001C3EC8">
        <w:rPr>
          <w:color w:val="000000" w:themeColor="text1"/>
        </w:rPr>
        <w:t>: Koncept technické efektivnosti a přídatné proměnné</w:t>
      </w:r>
      <w:bookmarkEnd w:id="956"/>
      <w:bookmarkEnd w:id="957"/>
      <w:bookmarkEnd w:id="958"/>
      <w:bookmarkEnd w:id="959"/>
    </w:p>
    <w:p w14:paraId="406E844F" w14:textId="77777777" w:rsidR="008430BD" w:rsidRPr="001C3EC8" w:rsidRDefault="008430BD" w:rsidP="008430BD">
      <w:pPr>
        <w:spacing w:line="360" w:lineRule="auto"/>
        <w:rPr>
          <w:color w:val="000000" w:themeColor="text1"/>
        </w:rPr>
      </w:pPr>
      <w:r w:rsidRPr="001C3EC8">
        <w:rPr>
          <w:noProof/>
          <w:color w:val="000000" w:themeColor="text1"/>
          <w:lang w:eastAsia="cs-CZ"/>
        </w:rPr>
        <w:drawing>
          <wp:inline distT="0" distB="0" distL="0" distR="0" wp14:anchorId="54F5607C" wp14:editId="64836536">
            <wp:extent cx="5482783" cy="3714750"/>
            <wp:effectExtent l="0" t="0" r="381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82783" cy="3714750"/>
                    </a:xfrm>
                    <a:prstGeom prst="rect">
                      <a:avLst/>
                    </a:prstGeom>
                    <a:noFill/>
                    <a:ln>
                      <a:noFill/>
                    </a:ln>
                  </pic:spPr>
                </pic:pic>
              </a:graphicData>
            </a:graphic>
          </wp:inline>
        </w:drawing>
      </w:r>
    </w:p>
    <w:p w14:paraId="6AD68E95" w14:textId="77777777" w:rsidR="008430BD" w:rsidRPr="001C3EC8" w:rsidRDefault="008430BD" w:rsidP="008430BD">
      <w:pPr>
        <w:spacing w:line="360" w:lineRule="auto"/>
        <w:rPr>
          <w:color w:val="000000" w:themeColor="text1"/>
          <w:sz w:val="20"/>
        </w:rPr>
      </w:pPr>
      <w:r w:rsidRPr="001C3EC8">
        <w:rPr>
          <w:color w:val="000000" w:themeColor="text1"/>
          <w:sz w:val="20"/>
        </w:rPr>
        <w:t>Zdroj: Y. Ji, C. Lee (2010), str. 269.</w:t>
      </w:r>
    </w:p>
    <w:p w14:paraId="4428D9B2" w14:textId="77777777" w:rsidR="008430BD" w:rsidRPr="001C3EC8" w:rsidRDefault="008430BD" w:rsidP="008430BD">
      <w:pPr>
        <w:pStyle w:val="Nadpis4"/>
        <w:rPr>
          <w:color w:val="000000" w:themeColor="text1"/>
        </w:rPr>
      </w:pPr>
      <w:r w:rsidRPr="001C3EC8">
        <w:rPr>
          <w:color w:val="000000" w:themeColor="text1"/>
        </w:rPr>
        <w:lastRenderedPageBreak/>
        <w:t>Matematická specifikace modelu</w:t>
      </w:r>
    </w:p>
    <w:p w14:paraId="6E346D55" w14:textId="77777777" w:rsidR="008430BD" w:rsidRPr="001C3EC8" w:rsidRDefault="008430BD" w:rsidP="008430BD">
      <w:pPr>
        <w:pStyle w:val="OdstavecASR"/>
        <w:rPr>
          <w:color w:val="000000" w:themeColor="text1"/>
        </w:rPr>
      </w:pPr>
      <w:r w:rsidRPr="001C3EC8">
        <w:rPr>
          <w:color w:val="000000" w:themeColor="text1"/>
        </w:rPr>
        <w:t xml:space="preserve">Celý koncept DEA a technické efektivnosti popsaný v textu výše je samozřejmě specifikován také formálně – matematicky. DEA s CRS je specifikována následovně (například </w:t>
      </w:r>
      <w:proofErr w:type="spellStart"/>
      <w:r w:rsidRPr="001C3EC8">
        <w:rPr>
          <w:color w:val="000000" w:themeColor="text1"/>
        </w:rPr>
        <w:t>Nissi</w:t>
      </w:r>
      <w:proofErr w:type="spellEnd"/>
      <w:r w:rsidRPr="001C3EC8">
        <w:rPr>
          <w:color w:val="000000" w:themeColor="text1"/>
        </w:rPr>
        <w:t xml:space="preserve"> a </w:t>
      </w:r>
      <w:proofErr w:type="spellStart"/>
      <w:r w:rsidRPr="001C3EC8">
        <w:rPr>
          <w:color w:val="000000" w:themeColor="text1"/>
        </w:rPr>
        <w:t>Rapposelli</w:t>
      </w:r>
      <w:proofErr w:type="spellEnd"/>
      <w:r w:rsidRPr="001C3EC8">
        <w:rPr>
          <w:color w:val="000000" w:themeColor="text1"/>
        </w:rPr>
        <w:t>, 2011).</w:t>
      </w:r>
    </w:p>
    <w:p w14:paraId="6C5356C1" w14:textId="77777777" w:rsidR="008430BD" w:rsidRPr="001C3EC8" w:rsidRDefault="008430BD" w:rsidP="008430BD">
      <w:pPr>
        <w:pStyle w:val="OdstavecASR"/>
        <w:rPr>
          <w:color w:val="000000" w:themeColor="text1"/>
        </w:rPr>
      </w:pPr>
      <w:r w:rsidRPr="001C3EC8">
        <w:rPr>
          <w:color w:val="000000" w:themeColor="text1"/>
        </w:rPr>
        <w:t xml:space="preserve">Přepokládejme, že máme </w:t>
      </w:r>
      <w:r w:rsidRPr="001C3EC8">
        <w:rPr>
          <w:i/>
          <w:color w:val="000000" w:themeColor="text1"/>
        </w:rPr>
        <w:t>n </w:t>
      </w:r>
      <w:r w:rsidRPr="001C3EC8">
        <w:rPr>
          <w:color w:val="000000" w:themeColor="text1"/>
        </w:rPr>
        <w:t xml:space="preserve">DMU, které spotřebovávají různé množství </w:t>
      </w:r>
      <w:r w:rsidRPr="001C3EC8">
        <w:rPr>
          <w:i/>
          <w:color w:val="000000" w:themeColor="text1"/>
        </w:rPr>
        <w:t>m </w:t>
      </w:r>
      <w:r w:rsidRPr="001C3EC8">
        <w:rPr>
          <w:color w:val="000000" w:themeColor="text1"/>
        </w:rPr>
        <w:t xml:space="preserve">vstupů, aby vyprodukovaly </w:t>
      </w:r>
      <w:proofErr w:type="gramStart"/>
      <w:r w:rsidRPr="001C3EC8">
        <w:rPr>
          <w:i/>
          <w:color w:val="000000" w:themeColor="text1"/>
        </w:rPr>
        <w:t>s</w:t>
      </w:r>
      <w:proofErr w:type="gramEnd"/>
      <w:r w:rsidRPr="001C3EC8">
        <w:rPr>
          <w:color w:val="000000" w:themeColor="text1"/>
        </w:rPr>
        <w:t xml:space="preserve"> výstupů. Označme množství vstupu i (i = </w:t>
      </w:r>
      <w:proofErr w:type="gramStart"/>
      <w:r w:rsidRPr="001C3EC8">
        <w:rPr>
          <w:color w:val="000000" w:themeColor="text1"/>
        </w:rPr>
        <w:t>1,…</w:t>
      </w:r>
      <w:proofErr w:type="gramEnd"/>
      <w:r w:rsidRPr="001C3EC8">
        <w:rPr>
          <w:color w:val="000000" w:themeColor="text1"/>
        </w:rPr>
        <w:t xml:space="preserve">m) jako </w:t>
      </w:r>
      <w:proofErr w:type="spellStart"/>
      <w:r w:rsidRPr="001C3EC8">
        <w:rPr>
          <w:i/>
          <w:color w:val="000000" w:themeColor="text1"/>
        </w:rPr>
        <w:t>x</w:t>
      </w:r>
      <w:r w:rsidRPr="001C3EC8">
        <w:rPr>
          <w:i/>
          <w:color w:val="000000" w:themeColor="text1"/>
          <w:vertAlign w:val="subscript"/>
        </w:rPr>
        <w:t>ij</w:t>
      </w:r>
      <w:proofErr w:type="spellEnd"/>
      <w:r w:rsidRPr="001C3EC8">
        <w:rPr>
          <w:i/>
          <w:color w:val="000000" w:themeColor="text1"/>
        </w:rPr>
        <w:t xml:space="preserve"> a </w:t>
      </w:r>
      <w:r w:rsidRPr="001C3EC8">
        <w:rPr>
          <w:color w:val="000000" w:themeColor="text1"/>
        </w:rPr>
        <w:t xml:space="preserve">množství výstupu </w:t>
      </w:r>
      <w:r w:rsidRPr="001C3EC8">
        <w:rPr>
          <w:i/>
          <w:color w:val="000000" w:themeColor="text1"/>
        </w:rPr>
        <w:t>r </w:t>
      </w:r>
      <w:r w:rsidRPr="001C3EC8">
        <w:rPr>
          <w:color w:val="000000" w:themeColor="text1"/>
        </w:rPr>
        <w:t xml:space="preserve">(r = 1,…s) jako </w:t>
      </w:r>
      <w:proofErr w:type="spellStart"/>
      <w:r w:rsidRPr="001C3EC8">
        <w:rPr>
          <w:i/>
          <w:color w:val="000000" w:themeColor="text1"/>
        </w:rPr>
        <w:t>y</w:t>
      </w:r>
      <w:r w:rsidRPr="001C3EC8">
        <w:rPr>
          <w:i/>
          <w:color w:val="000000" w:themeColor="text1"/>
          <w:vertAlign w:val="subscript"/>
        </w:rPr>
        <w:t>ij</w:t>
      </w:r>
      <w:proofErr w:type="spellEnd"/>
      <w:r w:rsidRPr="001C3EC8">
        <w:rPr>
          <w:color w:val="000000" w:themeColor="text1"/>
        </w:rPr>
        <w:t xml:space="preserve">. Cílem metody je změřit relativní efektivnost jedné DMU </w:t>
      </w:r>
      <w:r w:rsidRPr="001C3EC8">
        <w:rPr>
          <w:i/>
          <w:color w:val="000000" w:themeColor="text1"/>
        </w:rPr>
        <w:t>j</w:t>
      </w:r>
      <w:r w:rsidRPr="001C3EC8">
        <w:rPr>
          <w:i/>
          <w:color w:val="000000" w:themeColor="text1"/>
          <w:vertAlign w:val="subscript"/>
        </w:rPr>
        <w:t>0</w:t>
      </w:r>
      <w:r w:rsidRPr="001C3EC8">
        <w:rPr>
          <w:color w:val="000000" w:themeColor="text1"/>
          <w:vertAlign w:val="subscript"/>
        </w:rPr>
        <w:t xml:space="preserve"> </w:t>
      </w:r>
      <w:r w:rsidRPr="001C3EC8">
        <w:rPr>
          <w:color w:val="000000" w:themeColor="text1"/>
        </w:rPr>
        <w:t xml:space="preserve">vzhledem k nejlepšímu možnému výkonu. Efektivnost </w:t>
      </w:r>
      <w:r w:rsidRPr="001C3EC8">
        <w:rPr>
          <w:i/>
          <w:color w:val="000000" w:themeColor="text1"/>
        </w:rPr>
        <w:t>j</w:t>
      </w:r>
      <w:r w:rsidRPr="001C3EC8">
        <w:rPr>
          <w:i/>
          <w:color w:val="000000" w:themeColor="text1"/>
          <w:vertAlign w:val="subscript"/>
        </w:rPr>
        <w:t>0</w:t>
      </w:r>
      <w:r w:rsidRPr="001C3EC8">
        <w:rPr>
          <w:color w:val="000000" w:themeColor="text1"/>
        </w:rPr>
        <w:t xml:space="preserve"> je definována jako poměr vážené sumy vstupů k vážené sumě výstupů. Váhy nejsou dány a priori, ale jsou vypočteny tak, aby maximalizovaly efektivnost dané </w:t>
      </w:r>
      <w:r w:rsidRPr="001C3EC8">
        <w:rPr>
          <w:i/>
          <w:color w:val="000000" w:themeColor="text1"/>
        </w:rPr>
        <w:t>j</w:t>
      </w:r>
      <w:r w:rsidRPr="001C3EC8">
        <w:rPr>
          <w:i/>
          <w:color w:val="000000" w:themeColor="text1"/>
          <w:vertAlign w:val="subscript"/>
        </w:rPr>
        <w:t>0</w:t>
      </w:r>
      <w:r w:rsidRPr="001C3EC8">
        <w:rPr>
          <w:color w:val="000000" w:themeColor="text1"/>
        </w:rPr>
        <w:t>. Efektivnost tedy lze vypočítat tak, že se maximalizuje poměr vstupů a výstupů, kdy váhy jsou neznámé, a to za podmínky, že tento poměr nesmí přesáhnout 1 u jakékoliv jednotky:</w:t>
      </w:r>
    </w:p>
    <w:p w14:paraId="54341423" w14:textId="77777777" w:rsidR="008430BD" w:rsidRPr="001C3EC8" w:rsidRDefault="008430BD" w:rsidP="008430BD">
      <w:pPr>
        <w:pStyle w:val="OdstavecASR"/>
        <w:rPr>
          <w:color w:val="000000" w:themeColor="text1"/>
        </w:rPr>
      </w:pPr>
      <w:r w:rsidRPr="001C3EC8">
        <w:rPr>
          <w:color w:val="000000" w:themeColor="text1"/>
          <w:sz w:val="32"/>
          <w:szCs w:val="32"/>
        </w:rPr>
        <w:t xml:space="preserve">     </w:t>
      </w:r>
      <m:oMath>
        <m:sSub>
          <m:sSubPr>
            <m:ctrlPr>
              <w:rPr>
                <w:rFonts w:ascii="Cambria Math" w:hAnsi="Cambria Math"/>
                <w:i/>
                <w:color w:val="000000" w:themeColor="text1"/>
                <w:szCs w:val="24"/>
              </w:rPr>
            </m:ctrlPr>
          </m:sSubPr>
          <m:e>
            <m:r>
              <w:rPr>
                <w:rFonts w:ascii="Cambria Math" w:hAnsi="Cambria Math"/>
                <w:color w:val="000000" w:themeColor="text1"/>
                <w:szCs w:val="24"/>
              </w:rPr>
              <m:t>e</m:t>
            </m:r>
          </m:e>
          <m:sub>
            <m:r>
              <w:rPr>
                <w:rFonts w:ascii="Cambria Math" w:hAnsi="Cambria Math"/>
                <w:color w:val="000000" w:themeColor="text1"/>
                <w:szCs w:val="24"/>
              </w:rPr>
              <m:t>0</m:t>
            </m:r>
          </m:sub>
        </m:sSub>
        <m:r>
          <w:rPr>
            <w:rFonts w:ascii="Cambria Math" w:hAnsi="Cambria Math"/>
            <w:color w:val="000000" w:themeColor="text1"/>
            <w:szCs w:val="24"/>
          </w:rPr>
          <m:t xml:space="preserve">= </m:t>
        </m:r>
        <m:f>
          <m:fPr>
            <m:ctrlPr>
              <w:rPr>
                <w:rFonts w:ascii="Cambria Math" w:hAnsi="Cambria Math"/>
                <w:i/>
                <w:color w:val="000000" w:themeColor="text1"/>
                <w:szCs w:val="24"/>
              </w:rPr>
            </m:ctrlPr>
          </m:fPr>
          <m:num>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r=1</m:t>
                </m:r>
              </m:sub>
              <m:sup>
                <m:r>
                  <w:rPr>
                    <w:rFonts w:ascii="Cambria Math" w:hAnsi="Cambria Math"/>
                    <w:color w:val="000000" w:themeColor="text1"/>
                    <w:szCs w:val="24"/>
                  </w:rPr>
                  <m:t>s</m:t>
                </m:r>
              </m:sup>
              <m:e>
                <m:sSub>
                  <m:sSubPr>
                    <m:ctrlPr>
                      <w:rPr>
                        <w:rFonts w:ascii="Cambria Math" w:hAnsi="Cambria Math"/>
                        <w:i/>
                        <w:color w:val="000000" w:themeColor="text1"/>
                        <w:szCs w:val="24"/>
                      </w:rPr>
                    </m:ctrlPr>
                  </m:sSubPr>
                  <m:e>
                    <m:r>
                      <w:rPr>
                        <w:rFonts w:ascii="Cambria Math" w:hAnsi="Cambria Math"/>
                        <w:color w:val="000000" w:themeColor="text1"/>
                        <w:szCs w:val="24"/>
                      </w:rPr>
                      <m:t>u</m:t>
                    </m:r>
                  </m:e>
                  <m:sub>
                    <m:r>
                      <w:rPr>
                        <w:rFonts w:ascii="Cambria Math" w:hAnsi="Cambria Math"/>
                        <w:color w:val="000000" w:themeColor="text1"/>
                        <w:szCs w:val="24"/>
                      </w:rPr>
                      <m:t>r</m:t>
                    </m:r>
                  </m:sub>
                </m:sSub>
                <m:sSub>
                  <m:sSubPr>
                    <m:ctrlPr>
                      <w:rPr>
                        <w:rFonts w:ascii="Cambria Math" w:hAnsi="Cambria Math"/>
                        <w:i/>
                        <w:color w:val="000000" w:themeColor="text1"/>
                        <w:szCs w:val="24"/>
                      </w:rPr>
                    </m:ctrlPr>
                  </m:sSubPr>
                  <m:e>
                    <m:r>
                      <w:rPr>
                        <w:rFonts w:ascii="Cambria Math" w:hAnsi="Cambria Math"/>
                        <w:color w:val="000000" w:themeColor="text1"/>
                        <w:szCs w:val="24"/>
                      </w:rPr>
                      <m:t>y</m:t>
                    </m:r>
                  </m:e>
                  <m:sub>
                    <m:r>
                      <w:rPr>
                        <w:rFonts w:ascii="Cambria Math" w:hAnsi="Cambria Math"/>
                        <w:color w:val="000000" w:themeColor="text1"/>
                        <w:szCs w:val="24"/>
                      </w:rPr>
                      <m:t>rj0</m:t>
                    </m:r>
                  </m:sub>
                </m:sSub>
              </m:e>
            </m:nary>
          </m:num>
          <m:den>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i=1</m:t>
                </m:r>
              </m:sub>
              <m:sup>
                <m:r>
                  <w:rPr>
                    <w:rFonts w:ascii="Cambria Math" w:hAnsi="Cambria Math"/>
                    <w:color w:val="000000" w:themeColor="text1"/>
                    <w:szCs w:val="24"/>
                  </w:rPr>
                  <m:t>m</m:t>
                </m:r>
              </m:sup>
              <m:e>
                <m:sSub>
                  <m:sSubPr>
                    <m:ctrlPr>
                      <w:rPr>
                        <w:rFonts w:ascii="Cambria Math" w:hAnsi="Cambria Math"/>
                        <w:i/>
                        <w:color w:val="000000" w:themeColor="text1"/>
                        <w:szCs w:val="24"/>
                      </w:rPr>
                    </m:ctrlPr>
                  </m:sSubPr>
                  <m:e>
                    <m:r>
                      <w:rPr>
                        <w:rFonts w:ascii="Cambria Math" w:hAnsi="Cambria Math"/>
                        <w:color w:val="000000" w:themeColor="text1"/>
                        <w:szCs w:val="24"/>
                      </w:rPr>
                      <m:t>v</m:t>
                    </m:r>
                  </m:e>
                  <m:sub>
                    <m:r>
                      <w:rPr>
                        <w:rFonts w:ascii="Cambria Math" w:hAnsi="Cambria Math"/>
                        <w:color w:val="000000" w:themeColor="text1"/>
                        <w:szCs w:val="24"/>
                      </w:rPr>
                      <m:t>i</m:t>
                    </m:r>
                  </m:sub>
                </m:sSub>
                <m:sSub>
                  <m:sSubPr>
                    <m:ctrlPr>
                      <w:rPr>
                        <w:rFonts w:ascii="Cambria Math" w:hAnsi="Cambria Math"/>
                        <w:i/>
                        <w:color w:val="000000" w:themeColor="text1"/>
                        <w:szCs w:val="24"/>
                      </w:rPr>
                    </m:ctrlPr>
                  </m:sSubPr>
                  <m:e>
                    <m:r>
                      <w:rPr>
                        <w:rFonts w:ascii="Cambria Math" w:hAnsi="Cambria Math"/>
                        <w:color w:val="000000" w:themeColor="text1"/>
                        <w:szCs w:val="24"/>
                      </w:rPr>
                      <m:t>x</m:t>
                    </m:r>
                  </m:e>
                  <m:sub>
                    <m:r>
                      <w:rPr>
                        <w:rFonts w:ascii="Cambria Math" w:hAnsi="Cambria Math"/>
                        <w:color w:val="000000" w:themeColor="text1"/>
                        <w:szCs w:val="24"/>
                      </w:rPr>
                      <m:t>ij0</m:t>
                    </m:r>
                  </m:sub>
                </m:sSub>
              </m:e>
            </m:nary>
          </m:den>
        </m:f>
      </m:oMath>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Cs w:val="24"/>
        </w:rPr>
        <w:t>(1)</w:t>
      </w:r>
    </w:p>
    <w:p w14:paraId="6CF55D73" w14:textId="77777777" w:rsidR="008430BD" w:rsidRPr="001C3EC8" w:rsidRDefault="008430BD" w:rsidP="008430BD">
      <w:pPr>
        <w:pStyle w:val="OdstavecASR"/>
        <w:rPr>
          <w:color w:val="000000" w:themeColor="text1"/>
        </w:rPr>
      </w:pPr>
      <w:r w:rsidRPr="001C3EC8">
        <w:rPr>
          <w:color w:val="000000" w:themeColor="text1"/>
        </w:rPr>
        <w:t xml:space="preserve">s.t. </w:t>
      </w:r>
      <w:r w:rsidRPr="001C3EC8">
        <w:rPr>
          <w:color w:val="000000" w:themeColor="text1"/>
          <w:szCs w:val="24"/>
        </w:rPr>
        <w:t xml:space="preserve"> </w:t>
      </w:r>
      <m:oMath>
        <m:f>
          <m:fPr>
            <m:ctrlPr>
              <w:rPr>
                <w:rFonts w:ascii="Cambria Math" w:hAnsi="Cambria Math"/>
                <w:i/>
                <w:color w:val="000000" w:themeColor="text1"/>
                <w:szCs w:val="24"/>
              </w:rPr>
            </m:ctrlPr>
          </m:fPr>
          <m:num>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r=1</m:t>
                </m:r>
              </m:sub>
              <m:sup>
                <m:r>
                  <w:rPr>
                    <w:rFonts w:ascii="Cambria Math" w:hAnsi="Cambria Math"/>
                    <w:color w:val="000000" w:themeColor="text1"/>
                    <w:szCs w:val="24"/>
                  </w:rPr>
                  <m:t>s</m:t>
                </m:r>
              </m:sup>
              <m:e>
                <m:sSub>
                  <m:sSubPr>
                    <m:ctrlPr>
                      <w:rPr>
                        <w:rFonts w:ascii="Cambria Math" w:hAnsi="Cambria Math"/>
                        <w:i/>
                        <w:color w:val="000000" w:themeColor="text1"/>
                        <w:szCs w:val="24"/>
                      </w:rPr>
                    </m:ctrlPr>
                  </m:sSubPr>
                  <m:e>
                    <m:r>
                      <w:rPr>
                        <w:rFonts w:ascii="Cambria Math" w:hAnsi="Cambria Math"/>
                        <w:color w:val="000000" w:themeColor="text1"/>
                        <w:szCs w:val="24"/>
                      </w:rPr>
                      <m:t>u</m:t>
                    </m:r>
                  </m:e>
                  <m:sub>
                    <m:r>
                      <w:rPr>
                        <w:rFonts w:ascii="Cambria Math" w:hAnsi="Cambria Math"/>
                        <w:color w:val="000000" w:themeColor="text1"/>
                        <w:szCs w:val="24"/>
                      </w:rPr>
                      <m:t>r</m:t>
                    </m:r>
                  </m:sub>
                </m:sSub>
                <m:sSub>
                  <m:sSubPr>
                    <m:ctrlPr>
                      <w:rPr>
                        <w:rFonts w:ascii="Cambria Math" w:hAnsi="Cambria Math"/>
                        <w:i/>
                        <w:color w:val="000000" w:themeColor="text1"/>
                        <w:szCs w:val="24"/>
                      </w:rPr>
                    </m:ctrlPr>
                  </m:sSubPr>
                  <m:e>
                    <m:r>
                      <w:rPr>
                        <w:rFonts w:ascii="Cambria Math" w:hAnsi="Cambria Math"/>
                        <w:color w:val="000000" w:themeColor="text1"/>
                        <w:szCs w:val="24"/>
                      </w:rPr>
                      <m:t>y</m:t>
                    </m:r>
                  </m:e>
                  <m:sub>
                    <m:r>
                      <w:rPr>
                        <w:rFonts w:ascii="Cambria Math" w:hAnsi="Cambria Math"/>
                        <w:color w:val="000000" w:themeColor="text1"/>
                        <w:szCs w:val="24"/>
                      </w:rPr>
                      <m:t>rj</m:t>
                    </m:r>
                  </m:sub>
                </m:sSub>
              </m:e>
            </m:nary>
          </m:num>
          <m:den>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i=1</m:t>
                </m:r>
              </m:sub>
              <m:sup>
                <m:r>
                  <w:rPr>
                    <w:rFonts w:ascii="Cambria Math" w:hAnsi="Cambria Math"/>
                    <w:color w:val="000000" w:themeColor="text1"/>
                    <w:szCs w:val="24"/>
                  </w:rPr>
                  <m:t>m</m:t>
                </m:r>
              </m:sup>
              <m:e>
                <m:sSub>
                  <m:sSubPr>
                    <m:ctrlPr>
                      <w:rPr>
                        <w:rFonts w:ascii="Cambria Math" w:hAnsi="Cambria Math"/>
                        <w:i/>
                        <w:color w:val="000000" w:themeColor="text1"/>
                        <w:szCs w:val="24"/>
                      </w:rPr>
                    </m:ctrlPr>
                  </m:sSubPr>
                  <m:e>
                    <m:r>
                      <w:rPr>
                        <w:rFonts w:ascii="Cambria Math" w:hAnsi="Cambria Math"/>
                        <w:color w:val="000000" w:themeColor="text1"/>
                        <w:szCs w:val="24"/>
                      </w:rPr>
                      <m:t>v</m:t>
                    </m:r>
                  </m:e>
                  <m:sub>
                    <m:r>
                      <w:rPr>
                        <w:rFonts w:ascii="Cambria Math" w:hAnsi="Cambria Math"/>
                        <w:color w:val="000000" w:themeColor="text1"/>
                        <w:szCs w:val="24"/>
                      </w:rPr>
                      <m:t>i</m:t>
                    </m:r>
                  </m:sub>
                </m:sSub>
                <m:sSub>
                  <m:sSubPr>
                    <m:ctrlPr>
                      <w:rPr>
                        <w:rFonts w:ascii="Cambria Math" w:hAnsi="Cambria Math"/>
                        <w:i/>
                        <w:color w:val="000000" w:themeColor="text1"/>
                        <w:szCs w:val="24"/>
                      </w:rPr>
                    </m:ctrlPr>
                  </m:sSubPr>
                  <m:e>
                    <m:r>
                      <w:rPr>
                        <w:rFonts w:ascii="Cambria Math" w:hAnsi="Cambria Math"/>
                        <w:color w:val="000000" w:themeColor="text1"/>
                        <w:szCs w:val="24"/>
                      </w:rPr>
                      <m:t>x</m:t>
                    </m:r>
                  </m:e>
                  <m:sub>
                    <m:r>
                      <w:rPr>
                        <w:rFonts w:ascii="Cambria Math" w:hAnsi="Cambria Math"/>
                        <w:color w:val="000000" w:themeColor="text1"/>
                        <w:szCs w:val="24"/>
                      </w:rPr>
                      <m:t>ij</m:t>
                    </m:r>
                  </m:sub>
                </m:sSub>
              </m:e>
            </m:nary>
          </m:den>
        </m:f>
        <m:r>
          <w:rPr>
            <w:rFonts w:ascii="Cambria Math" w:hAnsi="Cambria Math"/>
            <w:color w:val="000000" w:themeColor="text1"/>
            <w:szCs w:val="24"/>
          </w:rPr>
          <m:t xml:space="preserve"> ≤1    j=1,…,n  </m:t>
        </m:r>
        <m:sSub>
          <m:sSubPr>
            <m:ctrlPr>
              <w:rPr>
                <w:rFonts w:ascii="Cambria Math" w:hAnsi="Cambria Math"/>
                <w:i/>
                <w:color w:val="000000" w:themeColor="text1"/>
                <w:szCs w:val="24"/>
              </w:rPr>
            </m:ctrlPr>
          </m:sSubPr>
          <m:e>
            <m:r>
              <w:rPr>
                <w:rFonts w:ascii="Cambria Math" w:hAnsi="Cambria Math"/>
                <w:color w:val="000000" w:themeColor="text1"/>
                <w:szCs w:val="24"/>
              </w:rPr>
              <m:t>u</m:t>
            </m:r>
          </m:e>
          <m:sub>
            <m:r>
              <w:rPr>
                <w:rFonts w:ascii="Cambria Math" w:hAnsi="Cambria Math"/>
                <w:color w:val="000000" w:themeColor="text1"/>
                <w:szCs w:val="24"/>
              </w:rPr>
              <m:t>r</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v</m:t>
            </m:r>
          </m:e>
          <m:sub>
            <m:r>
              <w:rPr>
                <w:rFonts w:ascii="Cambria Math" w:hAnsi="Cambria Math"/>
                <w:color w:val="000000" w:themeColor="text1"/>
                <w:szCs w:val="24"/>
              </w:rPr>
              <m:t>i</m:t>
            </m:r>
          </m:sub>
        </m:sSub>
        <m:r>
          <w:rPr>
            <w:rFonts w:ascii="Cambria Math" w:hAnsi="Cambria Math"/>
            <w:color w:val="000000" w:themeColor="text1"/>
            <w:szCs w:val="24"/>
          </w:rPr>
          <m:t>≥0  ∀ r,i</m:t>
        </m:r>
      </m:oMath>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 w:val="28"/>
          <w:szCs w:val="28"/>
        </w:rPr>
        <w:tab/>
      </w:r>
      <w:r w:rsidRPr="001C3EC8">
        <w:rPr>
          <w:color w:val="000000" w:themeColor="text1"/>
          <w:szCs w:val="24"/>
        </w:rPr>
        <w:t>(2)</w:t>
      </w:r>
    </w:p>
    <w:p w14:paraId="1C0F03B5" w14:textId="77777777" w:rsidR="008430BD" w:rsidRPr="001C3EC8" w:rsidRDefault="008430BD" w:rsidP="008430BD">
      <w:pPr>
        <w:pStyle w:val="OdstavecASR"/>
        <w:rPr>
          <w:color w:val="000000" w:themeColor="text1"/>
        </w:rPr>
      </w:pPr>
      <w:r w:rsidRPr="001C3EC8">
        <w:rPr>
          <w:color w:val="000000" w:themeColor="text1"/>
        </w:rPr>
        <w:t xml:space="preserve">kde </w:t>
      </w:r>
      <w:proofErr w:type="spellStart"/>
      <w:r w:rsidRPr="001C3EC8">
        <w:rPr>
          <w:i/>
          <w:color w:val="000000" w:themeColor="text1"/>
        </w:rPr>
        <w:t>u</w:t>
      </w:r>
      <w:r w:rsidRPr="001C3EC8">
        <w:rPr>
          <w:i/>
          <w:color w:val="000000" w:themeColor="text1"/>
          <w:vertAlign w:val="subscript"/>
        </w:rPr>
        <w:t>r</w:t>
      </w:r>
      <w:proofErr w:type="spellEnd"/>
      <w:r w:rsidRPr="001C3EC8">
        <w:rPr>
          <w:color w:val="000000" w:themeColor="text1"/>
        </w:rPr>
        <w:t xml:space="preserve"> a </w:t>
      </w:r>
      <w:proofErr w:type="spellStart"/>
      <w:r w:rsidRPr="001C3EC8">
        <w:rPr>
          <w:i/>
          <w:color w:val="000000" w:themeColor="text1"/>
        </w:rPr>
        <w:t>v</w:t>
      </w:r>
      <w:r w:rsidRPr="001C3EC8">
        <w:rPr>
          <w:i/>
          <w:color w:val="000000" w:themeColor="text1"/>
          <w:vertAlign w:val="subscript"/>
        </w:rPr>
        <w:t>i</w:t>
      </w:r>
      <w:proofErr w:type="spellEnd"/>
      <w:r w:rsidRPr="001C3EC8">
        <w:rPr>
          <w:color w:val="000000" w:themeColor="text1"/>
        </w:rPr>
        <w:t xml:space="preserve"> jsou váhy pro </w:t>
      </w:r>
      <w:r w:rsidRPr="001C3EC8">
        <w:rPr>
          <w:i/>
          <w:color w:val="000000" w:themeColor="text1"/>
        </w:rPr>
        <w:t>r-</w:t>
      </w:r>
      <w:proofErr w:type="spellStart"/>
      <w:r w:rsidRPr="001C3EC8">
        <w:rPr>
          <w:color w:val="000000" w:themeColor="text1"/>
        </w:rPr>
        <w:t>tý</w:t>
      </w:r>
      <w:proofErr w:type="spellEnd"/>
      <w:r w:rsidRPr="001C3EC8">
        <w:rPr>
          <w:color w:val="000000" w:themeColor="text1"/>
        </w:rPr>
        <w:t xml:space="preserve"> výstup nebo </w:t>
      </w:r>
      <w:r w:rsidRPr="001C3EC8">
        <w:rPr>
          <w:i/>
          <w:color w:val="000000" w:themeColor="text1"/>
        </w:rPr>
        <w:t>i-</w:t>
      </w:r>
      <w:proofErr w:type="spellStart"/>
      <w:r w:rsidRPr="001C3EC8">
        <w:rPr>
          <w:color w:val="000000" w:themeColor="text1"/>
        </w:rPr>
        <w:t>tý</w:t>
      </w:r>
      <w:proofErr w:type="spellEnd"/>
      <w:r w:rsidRPr="001C3EC8">
        <w:rPr>
          <w:color w:val="000000" w:themeColor="text1"/>
        </w:rPr>
        <w:t xml:space="preserve"> vstup. Tento model musí být vyřešen </w:t>
      </w:r>
      <w:proofErr w:type="spellStart"/>
      <w:r w:rsidRPr="001C3EC8">
        <w:rPr>
          <w:i/>
          <w:color w:val="000000" w:themeColor="text1"/>
        </w:rPr>
        <w:t>n</w:t>
      </w:r>
      <w:r w:rsidRPr="001C3EC8">
        <w:rPr>
          <w:color w:val="000000" w:themeColor="text1"/>
        </w:rPr>
        <w:t>krát</w:t>
      </w:r>
      <w:proofErr w:type="spellEnd"/>
      <w:r w:rsidRPr="001C3EC8">
        <w:rPr>
          <w:color w:val="000000" w:themeColor="text1"/>
        </w:rPr>
        <w:t xml:space="preserve"> – tedy pro každou DMU. V tomto případě 86krát.</w:t>
      </w:r>
    </w:p>
    <w:p w14:paraId="070E0535" w14:textId="77777777" w:rsidR="008430BD" w:rsidRPr="001C3EC8" w:rsidRDefault="008430BD" w:rsidP="008430BD">
      <w:pPr>
        <w:pStyle w:val="OdstavecASR"/>
        <w:rPr>
          <w:color w:val="000000" w:themeColor="text1"/>
        </w:rPr>
      </w:pPr>
      <w:proofErr w:type="spellStart"/>
      <w:r w:rsidRPr="001C3EC8">
        <w:rPr>
          <w:color w:val="000000" w:themeColor="text1"/>
        </w:rPr>
        <w:t>Banker</w:t>
      </w:r>
      <w:proofErr w:type="spellEnd"/>
      <w:r w:rsidRPr="001C3EC8">
        <w:rPr>
          <w:color w:val="000000" w:themeColor="text1"/>
        </w:rPr>
        <w:t xml:space="preserve">, </w:t>
      </w:r>
      <w:proofErr w:type="spellStart"/>
      <w:r w:rsidRPr="001C3EC8">
        <w:rPr>
          <w:color w:val="000000" w:themeColor="text1"/>
        </w:rPr>
        <w:t>Charnes</w:t>
      </w:r>
      <w:proofErr w:type="spellEnd"/>
      <w:r w:rsidRPr="001C3EC8">
        <w:rPr>
          <w:color w:val="000000" w:themeColor="text1"/>
        </w:rPr>
        <w:t xml:space="preserve"> a Cooper (1984) rozšířili model o možnost různých výnosů z rozsahu. Toho dosáhli tím, že přidali podmínku </w:t>
      </w:r>
      <w:proofErr w:type="spellStart"/>
      <w:r w:rsidRPr="001C3EC8">
        <w:rPr>
          <w:color w:val="000000" w:themeColor="text1"/>
        </w:rPr>
        <w:t>konvexivity</w:t>
      </w:r>
      <w:proofErr w:type="spellEnd"/>
      <w:r w:rsidRPr="001C3EC8">
        <w:rPr>
          <w:color w:val="000000" w:themeColor="text1"/>
        </w:rPr>
        <w:t xml:space="preserve"> pro oblast výrobních možností:</w:t>
      </w:r>
    </w:p>
    <w:p w14:paraId="3FEA7C8C" w14:textId="77777777" w:rsidR="008430BD" w:rsidRPr="001C3EC8" w:rsidRDefault="00CB73FC" w:rsidP="008430BD">
      <w:pPr>
        <w:pStyle w:val="OdstavecASR"/>
        <w:rPr>
          <w:color w:val="000000" w:themeColor="text1"/>
          <w:szCs w:val="24"/>
        </w:rPr>
      </w:pPr>
      <m:oMathPara>
        <m:oMathParaPr>
          <m:jc m:val="left"/>
        </m:oMathParaPr>
        <m:oMath>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j=1</m:t>
              </m:r>
            </m:sub>
            <m:sup>
              <m:r>
                <w:rPr>
                  <w:rFonts w:ascii="Cambria Math" w:hAnsi="Cambria Math"/>
                  <w:color w:val="000000" w:themeColor="text1"/>
                  <w:szCs w:val="24"/>
                </w:rPr>
                <m:t>n</m:t>
              </m:r>
            </m:sup>
            <m:e>
              <m:sSub>
                <m:sSubPr>
                  <m:ctrlPr>
                    <w:rPr>
                      <w:rFonts w:ascii="Cambria Math" w:hAnsi="Cambria Math"/>
                      <w:i/>
                      <w:color w:val="000000" w:themeColor="text1"/>
                      <w:szCs w:val="24"/>
                    </w:rPr>
                  </m:ctrlPr>
                </m:sSubPr>
                <m:e>
                  <m:r>
                    <w:rPr>
                      <w:rFonts w:ascii="Cambria Math" w:hAnsi="Cambria Math"/>
                      <w:color w:val="000000" w:themeColor="text1"/>
                      <w:szCs w:val="24"/>
                    </w:rPr>
                    <m:t xml:space="preserve"> λ</m:t>
                  </m:r>
                </m:e>
                <m:sub>
                  <m:r>
                    <w:rPr>
                      <w:rFonts w:ascii="Cambria Math" w:hAnsi="Cambria Math"/>
                      <w:color w:val="000000" w:themeColor="text1"/>
                      <w:szCs w:val="24"/>
                    </w:rPr>
                    <m:t>j</m:t>
                  </m:r>
                </m:sub>
              </m:sSub>
            </m:e>
          </m:nary>
          <m:r>
            <w:rPr>
              <w:rFonts w:ascii="Cambria Math" w:hAnsi="Cambria Math"/>
              <w:color w:val="000000" w:themeColor="text1"/>
              <w:szCs w:val="24"/>
            </w:rPr>
            <m:t>=1</m:t>
          </m:r>
        </m:oMath>
      </m:oMathPara>
    </w:p>
    <w:p w14:paraId="21B8ECD7" w14:textId="77777777" w:rsidR="008430BD" w:rsidRPr="001C3EC8" w:rsidRDefault="008430BD" w:rsidP="008430BD">
      <w:pPr>
        <w:pStyle w:val="Nadpis4"/>
        <w:rPr>
          <w:color w:val="000000" w:themeColor="text1"/>
          <w:sz w:val="28"/>
          <w:szCs w:val="28"/>
        </w:rPr>
      </w:pPr>
      <w:r w:rsidRPr="001C3EC8">
        <w:rPr>
          <w:color w:val="000000" w:themeColor="text1"/>
        </w:rPr>
        <w:t>Aplikace DEA v oblasti soudnictví</w:t>
      </w:r>
    </w:p>
    <w:p w14:paraId="4E62AFBF" w14:textId="77777777" w:rsidR="008430BD" w:rsidRPr="001C3EC8" w:rsidRDefault="008430BD" w:rsidP="008430BD">
      <w:pPr>
        <w:rPr>
          <w:color w:val="000000" w:themeColor="text1"/>
        </w:rPr>
      </w:pPr>
      <w:r w:rsidRPr="001C3EC8">
        <w:rPr>
          <w:color w:val="000000" w:themeColor="text1"/>
        </w:rPr>
        <w:t xml:space="preserve">DEA není v oblasti soudnictví aplikována příliš často, několik prací na toto téma však existuje. Poprvé DEA aplikovali v oblasti soudnictví </w:t>
      </w:r>
      <w:proofErr w:type="spellStart"/>
      <w:r w:rsidRPr="001C3EC8">
        <w:rPr>
          <w:color w:val="000000" w:themeColor="text1"/>
        </w:rPr>
        <w:t>Lewin</w:t>
      </w:r>
      <w:proofErr w:type="spellEnd"/>
      <w:r w:rsidRPr="001C3EC8">
        <w:rPr>
          <w:color w:val="000000" w:themeColor="text1"/>
        </w:rPr>
        <w:t xml:space="preserve">, </w:t>
      </w:r>
      <w:proofErr w:type="spellStart"/>
      <w:r w:rsidRPr="001C3EC8">
        <w:rPr>
          <w:color w:val="000000" w:themeColor="text1"/>
        </w:rPr>
        <w:t>Morey</w:t>
      </w:r>
      <w:proofErr w:type="spellEnd"/>
      <w:r w:rsidRPr="001C3EC8">
        <w:rPr>
          <w:color w:val="000000" w:themeColor="text1"/>
        </w:rPr>
        <w:t xml:space="preserve"> a </w:t>
      </w:r>
      <w:proofErr w:type="spellStart"/>
      <w:r w:rsidRPr="001C3EC8">
        <w:rPr>
          <w:color w:val="000000" w:themeColor="text1"/>
        </w:rPr>
        <w:t>Cook</w:t>
      </w:r>
      <w:proofErr w:type="spellEnd"/>
      <w:r w:rsidRPr="001C3EC8">
        <w:rPr>
          <w:color w:val="000000" w:themeColor="text1"/>
        </w:rPr>
        <w:t xml:space="preserve"> (1982), kteří zkoumali efektivnost vrchních trestních soudů v Severní Karolíně v roce 1976. </w:t>
      </w:r>
      <w:proofErr w:type="spellStart"/>
      <w:r w:rsidRPr="001C3EC8">
        <w:rPr>
          <w:color w:val="000000" w:themeColor="text1"/>
        </w:rPr>
        <w:t>Kittelsen</w:t>
      </w:r>
      <w:proofErr w:type="spellEnd"/>
      <w:r w:rsidRPr="001C3EC8">
        <w:rPr>
          <w:color w:val="000000" w:themeColor="text1"/>
        </w:rPr>
        <w:t xml:space="preserve"> a </w:t>
      </w:r>
      <w:proofErr w:type="spellStart"/>
      <w:r w:rsidRPr="001C3EC8">
        <w:rPr>
          <w:color w:val="000000" w:themeColor="text1"/>
        </w:rPr>
        <w:t>Forsund</w:t>
      </w:r>
      <w:proofErr w:type="spellEnd"/>
      <w:r w:rsidRPr="001C3EC8">
        <w:rPr>
          <w:color w:val="000000" w:themeColor="text1"/>
        </w:rPr>
        <w:t xml:space="preserve"> (1992) zkoumali norské soudy v letech 1983–1986. </w:t>
      </w:r>
      <w:proofErr w:type="spellStart"/>
      <w:r w:rsidRPr="001C3EC8">
        <w:rPr>
          <w:color w:val="000000" w:themeColor="text1"/>
        </w:rPr>
        <w:t>Pedraja-Chaparro</w:t>
      </w:r>
      <w:proofErr w:type="spellEnd"/>
      <w:r w:rsidRPr="001C3EC8">
        <w:rPr>
          <w:color w:val="000000" w:themeColor="text1"/>
        </w:rPr>
        <w:t xml:space="preserve"> a </w:t>
      </w:r>
      <w:proofErr w:type="spellStart"/>
      <w:r w:rsidRPr="001C3EC8">
        <w:rPr>
          <w:color w:val="000000" w:themeColor="text1"/>
        </w:rPr>
        <w:t>Salinas-Jimenéz</w:t>
      </w:r>
      <w:proofErr w:type="spellEnd"/>
      <w:r w:rsidRPr="001C3EC8">
        <w:rPr>
          <w:color w:val="000000" w:themeColor="text1"/>
        </w:rPr>
        <w:t xml:space="preserve"> (1996) analyzují soudy ve Španělsku. DEA využil také Schneider (2005, odvolací soudy pro pracovní právo v Německu). Relativně nedávno, v roce 2011, bylo DEA aplikováno v Brazílii (státní soudy), v Egyptě (soudy první instance) či Itálii (odvolací soudy).</w:t>
      </w:r>
    </w:p>
    <w:p w14:paraId="3AFD22B4" w14:textId="77777777" w:rsidR="008430BD" w:rsidRPr="001C3EC8" w:rsidRDefault="008430BD" w:rsidP="008430BD">
      <w:pPr>
        <w:rPr>
          <w:color w:val="000000" w:themeColor="text1"/>
        </w:rPr>
      </w:pPr>
    </w:p>
    <w:p w14:paraId="1C2937F2" w14:textId="77777777" w:rsidR="008430BD" w:rsidRPr="001C3EC8" w:rsidRDefault="008430BD" w:rsidP="008430BD">
      <w:pPr>
        <w:pStyle w:val="OdstavecASR"/>
        <w:rPr>
          <w:color w:val="000000" w:themeColor="text1"/>
        </w:rPr>
      </w:pPr>
      <w:r w:rsidRPr="001C3EC8">
        <w:rPr>
          <w:color w:val="000000" w:themeColor="text1"/>
        </w:rPr>
        <w:t>Vstupy a výstupy DEA jsou ve všech těchto pracích velmi podobné. Jako vstupy se většinou používají nápad, počet nedodělků na začátku roku, počet soudců a dalšího personálu. Jako výstup se používá výhradně počet vyřízených věcí. Některé práce dělí vyřízené věcí do kategorií nebo jako zvláštní výstup berou počet věcí vyřízených do určitého počtu dní.</w:t>
      </w:r>
    </w:p>
    <w:p w14:paraId="74540F9C" w14:textId="77777777" w:rsidR="008430BD" w:rsidRPr="001C3EC8" w:rsidRDefault="008430BD" w:rsidP="008430BD">
      <w:pPr>
        <w:pStyle w:val="Nadpis3"/>
        <w:rPr>
          <w:color w:val="000000" w:themeColor="text1"/>
        </w:rPr>
      </w:pPr>
      <w:bookmarkStart w:id="960" w:name="_Toc487791324"/>
      <w:bookmarkStart w:id="961" w:name="_Toc515871324"/>
      <w:bookmarkStart w:id="962" w:name="_Toc75952179"/>
      <w:r w:rsidRPr="001C3EC8">
        <w:rPr>
          <w:color w:val="000000" w:themeColor="text1"/>
        </w:rPr>
        <w:t>Metodika, specifikace modelu</w:t>
      </w:r>
      <w:bookmarkEnd w:id="960"/>
      <w:bookmarkEnd w:id="961"/>
      <w:bookmarkEnd w:id="962"/>
    </w:p>
    <w:p w14:paraId="57E7C590" w14:textId="77777777" w:rsidR="008430BD" w:rsidRPr="001C3EC8" w:rsidRDefault="008430BD" w:rsidP="008430BD">
      <w:pPr>
        <w:pStyle w:val="OdstavecASR"/>
        <w:rPr>
          <w:color w:val="000000" w:themeColor="text1"/>
        </w:rPr>
      </w:pPr>
      <w:r w:rsidRPr="001C3EC8">
        <w:rPr>
          <w:color w:val="000000" w:themeColor="text1"/>
        </w:rPr>
        <w:t>V teoretické části byly popsány teoretické základy DEA, její varianty a základní literatura, která se DEA zabývá nebo ji aplikuje. V této části je popsána konkrétní aplikace DEA při hodnocení českých soudů. Jako vstupy jsou použity následující proměnné</w:t>
      </w:r>
      <w:r w:rsidRPr="001C3EC8">
        <w:rPr>
          <w:b/>
          <w:color w:val="000000" w:themeColor="text1"/>
        </w:rPr>
        <w:t xml:space="preserve">: počet soudců </w:t>
      </w:r>
      <w:r w:rsidRPr="001C3EC8">
        <w:rPr>
          <w:bCs/>
          <w:color w:val="000000" w:themeColor="text1"/>
        </w:rPr>
        <w:t>(díky novým datům byl počet soudců zpřesněn)</w:t>
      </w:r>
      <w:r w:rsidRPr="001C3EC8">
        <w:rPr>
          <w:color w:val="000000" w:themeColor="text1"/>
        </w:rPr>
        <w:t xml:space="preserve">, </w:t>
      </w:r>
      <w:r w:rsidRPr="001C3EC8">
        <w:rPr>
          <w:b/>
          <w:color w:val="000000" w:themeColor="text1"/>
        </w:rPr>
        <w:t>počet referentů</w:t>
      </w:r>
      <w:r w:rsidRPr="001C3EC8">
        <w:rPr>
          <w:color w:val="000000" w:themeColor="text1"/>
        </w:rPr>
        <w:t xml:space="preserve"> (VSÚ + asistenti + soudní tajemníci) a </w:t>
      </w:r>
      <w:r w:rsidRPr="001C3EC8">
        <w:rPr>
          <w:b/>
          <w:color w:val="000000" w:themeColor="text1"/>
        </w:rPr>
        <w:t xml:space="preserve">počet dalšího </w:t>
      </w:r>
      <w:r w:rsidRPr="001C3EC8">
        <w:rPr>
          <w:b/>
          <w:color w:val="000000" w:themeColor="text1"/>
        </w:rPr>
        <w:lastRenderedPageBreak/>
        <w:t xml:space="preserve">personálu ve výkonu </w:t>
      </w:r>
      <w:r w:rsidRPr="001C3EC8">
        <w:rPr>
          <w:color w:val="000000" w:themeColor="text1"/>
        </w:rPr>
        <w:t>(vedoucí kanceláře + protokolující úředníci + zapisovatelky) a </w:t>
      </w:r>
      <w:r w:rsidRPr="001C3EC8">
        <w:rPr>
          <w:b/>
          <w:color w:val="000000" w:themeColor="text1"/>
        </w:rPr>
        <w:t xml:space="preserve">vážená případová zátěž </w:t>
      </w:r>
      <w:r w:rsidRPr="001C3EC8">
        <w:rPr>
          <w:color w:val="000000" w:themeColor="text1"/>
        </w:rPr>
        <w:t xml:space="preserve">(nevyřízené věci na začátku roku + počet příchozích věcí). Jako výstup byl použit </w:t>
      </w:r>
      <w:r w:rsidRPr="001C3EC8">
        <w:rPr>
          <w:b/>
          <w:color w:val="000000" w:themeColor="text1"/>
        </w:rPr>
        <w:t>vážený počet vyřízených věcí</w:t>
      </w:r>
      <w:r w:rsidRPr="001C3EC8">
        <w:rPr>
          <w:color w:val="000000" w:themeColor="text1"/>
        </w:rPr>
        <w:t>. Na rozdíl od ostatních kapitol jsou tedy zapojeny všechny agendy. Využita je výstupově orientovaná DEA. Tato metoda se soustředí na maximalizaci výstupů za využití konstantních vstupů. V empirické literatuře v oblasti justice je obecně více využívána tato orientace DEA. Soudy totiž mají kontrolu nad vyřízenými věcmi (výstupy), ale ne nad nápadem (jeden ze vstupů). Veškerá uváděná data jsou za rok 2017.</w:t>
      </w:r>
    </w:p>
    <w:p w14:paraId="719302BF" w14:textId="77777777" w:rsidR="008430BD" w:rsidRPr="001C3EC8" w:rsidRDefault="008430BD" w:rsidP="008430BD">
      <w:pPr>
        <w:pStyle w:val="OdstavecASR"/>
        <w:rPr>
          <w:color w:val="000000" w:themeColor="text1"/>
        </w:rPr>
      </w:pPr>
      <w:r w:rsidRPr="001C3EC8">
        <w:rPr>
          <w:color w:val="000000" w:themeColor="text1"/>
        </w:rPr>
        <w:t xml:space="preserve">Případy byly váženy pomocí dvou typů vah. První typ vychází z měřítek používaných v systemizaci, kde má například případ z agendy C váhu 1 a případ z agendy EXE váhu 308/ 2200 </w:t>
      </w:r>
      <w:r w:rsidRPr="001C3EC8">
        <w:rPr>
          <w:rFonts w:ascii="Cambria Math" w:hAnsi="Cambria Math" w:cs="Cambria Math"/>
          <w:color w:val="000000" w:themeColor="text1"/>
        </w:rPr>
        <w:t>≐</w:t>
      </w:r>
      <w:r w:rsidRPr="001C3EC8">
        <w:rPr>
          <w:color w:val="000000" w:themeColor="text1"/>
        </w:rPr>
        <w:t xml:space="preserve"> 0,14. Druhý typ se uplatní v rámci velkých agend, u nichž jsou k dispozici podrobnější data (vyplňují se statistické listy). Jedná se o agendy P a </w:t>
      </w:r>
      <w:proofErr w:type="spellStart"/>
      <w:r w:rsidRPr="001C3EC8">
        <w:rPr>
          <w:color w:val="000000" w:themeColor="text1"/>
        </w:rPr>
        <w:t>Nc</w:t>
      </w:r>
      <w:proofErr w:type="spellEnd"/>
      <w:r w:rsidRPr="001C3EC8">
        <w:rPr>
          <w:color w:val="000000" w:themeColor="text1"/>
        </w:rPr>
        <w:t xml:space="preserve">, T, </w:t>
      </w:r>
      <w:proofErr w:type="spellStart"/>
      <w:r w:rsidRPr="001C3EC8">
        <w:rPr>
          <w:color w:val="000000" w:themeColor="text1"/>
        </w:rPr>
        <w:t>Tm</w:t>
      </w:r>
      <w:proofErr w:type="spellEnd"/>
      <w:r w:rsidRPr="001C3EC8">
        <w:rPr>
          <w:color w:val="000000" w:themeColor="text1"/>
        </w:rPr>
        <w:t xml:space="preserve"> a C. Jednotlivým druhům sporu je v rámci agendy přidělen „koeficient obtížnosti sporu“, který určuje, jak je daný spor relativně obtížný v rámci příslušné agendy. Jako kritérium obtížnosti je využita délka řízení, respektive počet hlavních líčení u trestních agend. Pro účely této zprávy byla použita následující specifikace DEA: </w:t>
      </w:r>
      <w:r w:rsidRPr="001C3EC8">
        <w:rPr>
          <w:b/>
          <w:color w:val="000000" w:themeColor="text1"/>
        </w:rPr>
        <w:t>modely CCR i BCC, dvoufázová, výstupově orientovaná</w:t>
      </w:r>
      <w:r w:rsidRPr="001C3EC8">
        <w:rPr>
          <w:color w:val="000000" w:themeColor="text1"/>
        </w:rPr>
        <w:t>. Analýza tedy zkoumá, o </w:t>
      </w:r>
      <w:r w:rsidRPr="001C3EC8">
        <w:rPr>
          <w:b/>
          <w:color w:val="000000" w:themeColor="text1"/>
        </w:rPr>
        <w:t>kolik by soud mohl zvýšit své výstupy, aniž by se změnila velikost vstupů</w:t>
      </w:r>
      <w:r w:rsidRPr="001C3EC8">
        <w:rPr>
          <w:color w:val="000000" w:themeColor="text1"/>
        </w:rPr>
        <w:t>, pokud by soud fungoval efektivně. Také zkoumá, zda je velikost soudu ideální či nikoliv.</w:t>
      </w:r>
    </w:p>
    <w:p w14:paraId="2FDD46A2" w14:textId="77777777" w:rsidR="008430BD" w:rsidRPr="001C3EC8" w:rsidRDefault="008430BD" w:rsidP="008430BD">
      <w:pPr>
        <w:spacing w:line="240" w:lineRule="auto"/>
        <w:jc w:val="left"/>
        <w:rPr>
          <w:rFonts w:eastAsia="Times New Roman"/>
          <w:b/>
          <w:bCs/>
          <w:iCs/>
          <w:color w:val="000000" w:themeColor="text1"/>
          <w:sz w:val="28"/>
          <w:szCs w:val="28"/>
        </w:rPr>
      </w:pPr>
      <w:r w:rsidRPr="001C3EC8">
        <w:rPr>
          <w:color w:val="000000" w:themeColor="text1"/>
        </w:rPr>
        <w:br w:type="page"/>
      </w:r>
    </w:p>
    <w:p w14:paraId="56EB8865" w14:textId="77777777" w:rsidR="008430BD" w:rsidRPr="001C3EC8" w:rsidRDefault="008430BD" w:rsidP="008430BD">
      <w:pPr>
        <w:pStyle w:val="Nadpis3"/>
        <w:pageBreakBefore/>
        <w:rPr>
          <w:color w:val="000000" w:themeColor="text1"/>
        </w:rPr>
      </w:pPr>
      <w:bookmarkStart w:id="963" w:name="_Toc487791325"/>
      <w:bookmarkStart w:id="964" w:name="_Toc515871325"/>
      <w:bookmarkStart w:id="965" w:name="_Toc75952180"/>
      <w:r w:rsidRPr="001C3EC8">
        <w:rPr>
          <w:color w:val="000000" w:themeColor="text1"/>
        </w:rPr>
        <w:lastRenderedPageBreak/>
        <w:t>Seznam literatury (DEA)</w:t>
      </w:r>
      <w:bookmarkEnd w:id="963"/>
      <w:bookmarkEnd w:id="964"/>
      <w:bookmarkEnd w:id="965"/>
    </w:p>
    <w:p w14:paraId="24DC78D7"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BANKER, Rajiv D. – CHARNES, Abraham – COOPER, William Wager: Some models for estimating technical and scale inefficiencies in data envelopment analysis. </w:t>
      </w:r>
      <w:r w:rsidRPr="001C3EC8">
        <w:rPr>
          <w:i/>
          <w:iCs/>
          <w:color w:val="000000" w:themeColor="text1"/>
          <w:lang w:val="en-US"/>
        </w:rPr>
        <w:t>Management science</w:t>
      </w:r>
      <w:r w:rsidRPr="001C3EC8">
        <w:rPr>
          <w:color w:val="000000" w:themeColor="text1"/>
          <w:lang w:val="en-US"/>
        </w:rPr>
        <w:t>, 1984, 1078–1092.</w:t>
      </w:r>
    </w:p>
    <w:p w14:paraId="39148408"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CHARNES, Abraham – COOPER, William W. – RHODES, Edwardo: Measuring the efficiency of </w:t>
      </w:r>
      <w:proofErr w:type="gramStart"/>
      <w:r w:rsidRPr="001C3EC8">
        <w:rPr>
          <w:color w:val="000000" w:themeColor="text1"/>
          <w:lang w:val="en-US"/>
        </w:rPr>
        <w:t>decision making</w:t>
      </w:r>
      <w:proofErr w:type="gramEnd"/>
      <w:r w:rsidRPr="001C3EC8">
        <w:rPr>
          <w:color w:val="000000" w:themeColor="text1"/>
          <w:lang w:val="en-US"/>
        </w:rPr>
        <w:t xml:space="preserve"> units. </w:t>
      </w:r>
      <w:r w:rsidRPr="001C3EC8">
        <w:rPr>
          <w:i/>
          <w:iCs/>
          <w:color w:val="000000" w:themeColor="text1"/>
          <w:lang w:val="en-US"/>
        </w:rPr>
        <w:t>European journal of operational research</w:t>
      </w:r>
      <w:r w:rsidRPr="001C3EC8">
        <w:rPr>
          <w:color w:val="000000" w:themeColor="text1"/>
          <w:lang w:val="en-US"/>
        </w:rPr>
        <w:t>, 1978, 429–444.</w:t>
      </w:r>
    </w:p>
    <w:p w14:paraId="6319FC06"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ELBIALY, Nora – GARCÍA-RUBIO, Miguel A: </w:t>
      </w:r>
      <w:r w:rsidRPr="001C3EC8">
        <w:rPr>
          <w:i/>
          <w:iCs/>
          <w:color w:val="000000" w:themeColor="text1"/>
          <w:lang w:val="en-US"/>
        </w:rPr>
        <w:t>Assessing judicial efficiency of Egyptian First Instance Courts: A DEA analysis</w:t>
      </w:r>
      <w:r w:rsidRPr="001C3EC8">
        <w:rPr>
          <w:color w:val="000000" w:themeColor="text1"/>
          <w:lang w:val="en-US"/>
        </w:rPr>
        <w:t>. Joint discussion paper series in economics, 2011.</w:t>
      </w:r>
    </w:p>
    <w:p w14:paraId="76E65934"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FARRELL, Michael James: The measurement of productive efficiency. </w:t>
      </w:r>
      <w:r w:rsidRPr="001C3EC8">
        <w:rPr>
          <w:i/>
          <w:color w:val="000000" w:themeColor="text1"/>
          <w:lang w:val="en-US"/>
        </w:rPr>
        <w:t xml:space="preserve">Journal of the Royal Statistical Society. Series A (General), </w:t>
      </w:r>
      <w:r w:rsidRPr="001C3EC8">
        <w:rPr>
          <w:color w:val="000000" w:themeColor="text1"/>
          <w:lang w:val="en-US"/>
        </w:rPr>
        <w:t>1957, 253–290.</w:t>
      </w:r>
    </w:p>
    <w:p w14:paraId="7DF916B9"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JI, Yong-bae, LEE – </w:t>
      </w:r>
      <w:proofErr w:type="spellStart"/>
      <w:r w:rsidRPr="001C3EC8">
        <w:rPr>
          <w:color w:val="000000" w:themeColor="text1"/>
          <w:lang w:val="en-US"/>
        </w:rPr>
        <w:t>Choonjoo</w:t>
      </w:r>
      <w:proofErr w:type="spellEnd"/>
      <w:r w:rsidRPr="001C3EC8">
        <w:rPr>
          <w:color w:val="000000" w:themeColor="text1"/>
          <w:lang w:val="en-US"/>
        </w:rPr>
        <w:t xml:space="preserve">: Data envelopment analysis. </w:t>
      </w:r>
      <w:r w:rsidRPr="001C3EC8">
        <w:rPr>
          <w:i/>
          <w:color w:val="000000" w:themeColor="text1"/>
          <w:lang w:val="en-US"/>
        </w:rPr>
        <w:t>The Stata Journal</w:t>
      </w:r>
      <w:r w:rsidRPr="001C3EC8">
        <w:rPr>
          <w:color w:val="000000" w:themeColor="text1"/>
          <w:lang w:val="en-US"/>
        </w:rPr>
        <w:t>, 2010, 267–280.</w:t>
      </w:r>
    </w:p>
    <w:p w14:paraId="57E9BAB4"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KITTELSEN </w:t>
      </w:r>
      <w:proofErr w:type="spellStart"/>
      <w:r w:rsidRPr="001C3EC8">
        <w:rPr>
          <w:color w:val="000000" w:themeColor="text1"/>
          <w:lang w:val="en-US"/>
        </w:rPr>
        <w:t>Sverre</w:t>
      </w:r>
      <w:proofErr w:type="spellEnd"/>
      <w:r w:rsidRPr="001C3EC8">
        <w:rPr>
          <w:color w:val="000000" w:themeColor="text1"/>
          <w:lang w:val="en-US"/>
        </w:rPr>
        <w:t xml:space="preserve"> – FØRSUND Finn: Efficiency Analysis of Norwegian District Courts, </w:t>
      </w:r>
      <w:r w:rsidRPr="001C3EC8">
        <w:rPr>
          <w:i/>
          <w:color w:val="000000" w:themeColor="text1"/>
          <w:lang w:val="en-US"/>
        </w:rPr>
        <w:t xml:space="preserve">Journal of Productivity </w:t>
      </w:r>
      <w:proofErr w:type="spellStart"/>
      <w:r w:rsidRPr="001C3EC8">
        <w:rPr>
          <w:i/>
          <w:color w:val="000000" w:themeColor="text1"/>
          <w:lang w:val="en-US"/>
        </w:rPr>
        <w:t>Analysi</w:t>
      </w:r>
      <w:proofErr w:type="spellEnd"/>
      <w:r w:rsidRPr="001C3EC8">
        <w:rPr>
          <w:i/>
          <w:color w:val="000000" w:themeColor="text1"/>
          <w:lang w:val="en-US"/>
        </w:rPr>
        <w:t>. 3</w:t>
      </w:r>
      <w:r w:rsidRPr="001C3EC8">
        <w:rPr>
          <w:color w:val="000000" w:themeColor="text1"/>
          <w:lang w:val="en-US"/>
        </w:rPr>
        <w:t>, 1992, 277–306.</w:t>
      </w:r>
    </w:p>
    <w:p w14:paraId="3CAC8334"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LEWIN, Arie Y – MOREY, Richard C – COOK, Thomas J.: Evaluating the administrative efficiency of courts. </w:t>
      </w:r>
      <w:r w:rsidRPr="001C3EC8">
        <w:rPr>
          <w:i/>
          <w:iCs/>
          <w:color w:val="000000" w:themeColor="text1"/>
          <w:lang w:val="en-US"/>
        </w:rPr>
        <w:t>Omega</w:t>
      </w:r>
      <w:r w:rsidRPr="001C3EC8">
        <w:rPr>
          <w:color w:val="000000" w:themeColor="text1"/>
          <w:lang w:val="en-US"/>
        </w:rPr>
        <w:t>, 1982, 401–411.</w:t>
      </w:r>
    </w:p>
    <w:p w14:paraId="41322660"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NISSI, Eugenia – RAPPOSELLI, Agnese: A Data envelopment analysis of Italian courts efficiency, </w:t>
      </w:r>
      <w:r w:rsidRPr="001C3EC8">
        <w:rPr>
          <w:i/>
          <w:iCs/>
          <w:color w:val="000000" w:themeColor="text1"/>
          <w:lang w:val="en-US"/>
        </w:rPr>
        <w:t>Italian Journal of Applied Statistics Vol. 22 (2)</w:t>
      </w:r>
      <w:r w:rsidRPr="001C3EC8">
        <w:rPr>
          <w:iCs/>
          <w:color w:val="000000" w:themeColor="text1"/>
          <w:lang w:val="en-US"/>
        </w:rPr>
        <w:t>, 2011, 199–209.</w:t>
      </w:r>
    </w:p>
    <w:p w14:paraId="3BF70B77"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PEDRAJA-CHAPARRO, Francisco – SALINAS-JIMÉNEZ, Javier: An assessment of the efficiency of Spanish Courts using DEA. </w:t>
      </w:r>
      <w:r w:rsidRPr="001C3EC8">
        <w:rPr>
          <w:i/>
          <w:iCs/>
          <w:color w:val="000000" w:themeColor="text1"/>
          <w:lang w:val="en-US"/>
        </w:rPr>
        <w:t>Applied Economics</w:t>
      </w:r>
      <w:r w:rsidRPr="001C3EC8">
        <w:rPr>
          <w:color w:val="000000" w:themeColor="text1"/>
          <w:lang w:val="en-US"/>
        </w:rPr>
        <w:t>, 1996, 1391–1403.</w:t>
      </w:r>
    </w:p>
    <w:p w14:paraId="0F7F9EDD" w14:textId="77777777" w:rsidR="008430BD" w:rsidRPr="001C3EC8" w:rsidRDefault="008430BD" w:rsidP="008430BD">
      <w:pPr>
        <w:pStyle w:val="OdstavecASR"/>
        <w:rPr>
          <w:color w:val="000000" w:themeColor="text1"/>
          <w:lang w:val="en-US"/>
        </w:rPr>
      </w:pPr>
      <w:r w:rsidRPr="001C3EC8">
        <w:rPr>
          <w:color w:val="000000" w:themeColor="text1"/>
          <w:lang w:val="en-US"/>
        </w:rPr>
        <w:t xml:space="preserve">SCHNEIDER, Martin R.: Judicial career incentives and court performance: an empirical study of the German </w:t>
      </w:r>
      <w:proofErr w:type="spellStart"/>
      <w:r w:rsidRPr="001C3EC8">
        <w:rPr>
          <w:color w:val="000000" w:themeColor="text1"/>
          <w:lang w:val="en-US"/>
        </w:rPr>
        <w:t>labour</w:t>
      </w:r>
      <w:proofErr w:type="spellEnd"/>
      <w:r w:rsidRPr="001C3EC8">
        <w:rPr>
          <w:color w:val="000000" w:themeColor="text1"/>
          <w:lang w:val="en-US"/>
        </w:rPr>
        <w:t xml:space="preserve"> courts of appeal. </w:t>
      </w:r>
      <w:r w:rsidRPr="001C3EC8">
        <w:rPr>
          <w:i/>
          <w:color w:val="000000" w:themeColor="text1"/>
          <w:lang w:val="en-US"/>
        </w:rPr>
        <w:t>European Journal of Law and Economics</w:t>
      </w:r>
      <w:r w:rsidRPr="001C3EC8">
        <w:rPr>
          <w:color w:val="000000" w:themeColor="text1"/>
          <w:lang w:val="en-US"/>
        </w:rPr>
        <w:t>, 2005, 127–144.</w:t>
      </w:r>
    </w:p>
    <w:p w14:paraId="2DFE3477" w14:textId="77777777" w:rsidR="008430BD" w:rsidRPr="001C3EC8" w:rsidRDefault="008430BD" w:rsidP="008430BD">
      <w:pPr>
        <w:pStyle w:val="OdstavecASR"/>
        <w:rPr>
          <w:color w:val="000000" w:themeColor="text1"/>
          <w:lang w:val="en-US"/>
        </w:rPr>
      </w:pPr>
      <w:r w:rsidRPr="001C3EC8">
        <w:rPr>
          <w:color w:val="000000" w:themeColor="text1"/>
          <w:lang w:val="en-US"/>
        </w:rPr>
        <w:t>YEUNG, Luciana L. – AZEVEDO, Paulo F.: Measuring efficiency of Brazilian courts with data envelopment analysis (DEA). IMA Journal of Management Mathematics, 2011, dpr002.</w:t>
      </w:r>
    </w:p>
    <w:p w14:paraId="0C2F8B35" w14:textId="77777777" w:rsidR="008430BD" w:rsidRPr="001C3EC8" w:rsidRDefault="008430BD" w:rsidP="008430BD">
      <w:pPr>
        <w:rPr>
          <w:color w:val="000000" w:themeColor="text1"/>
        </w:rPr>
      </w:pPr>
    </w:p>
    <w:p w14:paraId="16FC18CB" w14:textId="77777777" w:rsidR="008430BD" w:rsidRPr="001C3EC8" w:rsidRDefault="008430BD" w:rsidP="008430BD">
      <w:pPr>
        <w:rPr>
          <w:color w:val="000000" w:themeColor="text1"/>
        </w:rPr>
      </w:pPr>
    </w:p>
    <w:p w14:paraId="604FE17C" w14:textId="77777777" w:rsidR="008430BD" w:rsidRPr="001C3EC8" w:rsidRDefault="008430BD" w:rsidP="008430BD">
      <w:pPr>
        <w:rPr>
          <w:color w:val="000000" w:themeColor="text1"/>
        </w:rPr>
      </w:pPr>
    </w:p>
    <w:p w14:paraId="738A45A9" w14:textId="77777777" w:rsidR="008430BD" w:rsidRPr="001C3EC8" w:rsidRDefault="008430BD" w:rsidP="008430BD">
      <w:pPr>
        <w:autoSpaceDE w:val="0"/>
        <w:autoSpaceDN w:val="0"/>
        <w:adjustRightInd w:val="0"/>
        <w:spacing w:line="240" w:lineRule="auto"/>
        <w:jc w:val="left"/>
        <w:rPr>
          <w:rFonts w:cs="OfficinaSansItcTOT-Bold"/>
          <w:b/>
          <w:bCs/>
          <w:color w:val="000000" w:themeColor="text1"/>
          <w:sz w:val="18"/>
          <w:szCs w:val="19"/>
          <w:lang w:eastAsia="cs-CZ"/>
        </w:rPr>
        <w:sectPr w:rsidR="008430BD" w:rsidRPr="001C3EC8" w:rsidSect="009A7A9D">
          <w:type w:val="continuous"/>
          <w:pgSz w:w="11906" w:h="16838" w:code="9"/>
          <w:pgMar w:top="1418" w:right="1418" w:bottom="1418" w:left="1418" w:header="709" w:footer="709" w:gutter="0"/>
          <w:cols w:space="708"/>
          <w:titlePg/>
          <w:docGrid w:linePitch="360"/>
        </w:sectPr>
      </w:pPr>
    </w:p>
    <w:p w14:paraId="1A9F48A7" w14:textId="77777777" w:rsidR="008430BD" w:rsidRPr="001C3EC8" w:rsidRDefault="008430BD" w:rsidP="008430BD">
      <w:pPr>
        <w:autoSpaceDE w:val="0"/>
        <w:autoSpaceDN w:val="0"/>
        <w:adjustRightInd w:val="0"/>
        <w:spacing w:line="240" w:lineRule="auto"/>
        <w:jc w:val="left"/>
        <w:rPr>
          <w:rFonts w:cs="OfficinaSansItcTOT-Bold"/>
          <w:b/>
          <w:bCs/>
          <w:color w:val="000000" w:themeColor="text1"/>
          <w:sz w:val="18"/>
          <w:szCs w:val="19"/>
          <w:lang w:eastAsia="cs-CZ"/>
        </w:rPr>
      </w:pPr>
      <w:r w:rsidRPr="001C3EC8">
        <w:rPr>
          <w:noProof/>
          <w:color w:val="000000" w:themeColor="text1"/>
          <w:lang w:eastAsia="cs-CZ"/>
        </w:rPr>
        <w:lastRenderedPageBreak/>
        <w:drawing>
          <wp:inline distT="0" distB="0" distL="0" distR="0" wp14:anchorId="1FCEC59A" wp14:editId="5A7F5785">
            <wp:extent cx="1214755" cy="1057910"/>
            <wp:effectExtent l="0" t="0" r="0" b="0"/>
            <wp:docPr id="107"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14:paraId="6BB2E3A4"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8D3F487"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658B2E4"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3D3921F"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6997911"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8C657CB"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C22DFB0"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0EC2DB7"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FA2A9F6"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E5F0C18"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F5FEABB"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DBCE512"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2ACB4E9"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6A53285"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A901D64"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5C44F95"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72DE132"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624FB60"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3CC8543"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821510E"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12F4745"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DCE2351"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82DC101"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E521063"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D4B9BAE"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8A02379"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427DBAD0"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C749FF1"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128CD59"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55A9F48"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09D5FBB"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06E42DA"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1078EB2"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09FA12EA"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9B46316"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84A3927"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27F782A"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F31CBC7"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463A068"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D0D8D38"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BEF9C93"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256775C"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A2DFAF5"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10170A1"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3F4AB26C"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2FAB9C39"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594F904"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1F220524"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772C0520"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6ECD8EAA" w14:textId="77777777" w:rsidR="008430BD" w:rsidRPr="001C3EC8" w:rsidRDefault="008430BD" w:rsidP="008430BD">
      <w:pPr>
        <w:autoSpaceDE w:val="0"/>
        <w:autoSpaceDN w:val="0"/>
        <w:adjustRightInd w:val="0"/>
        <w:spacing w:line="240" w:lineRule="auto"/>
        <w:jc w:val="center"/>
        <w:rPr>
          <w:rFonts w:cs="OfficinaSansItcTOT-Bold"/>
          <w:b/>
          <w:bCs/>
          <w:color w:val="000000" w:themeColor="text1"/>
          <w:sz w:val="18"/>
          <w:szCs w:val="19"/>
          <w:lang w:eastAsia="cs-CZ"/>
        </w:rPr>
      </w:pPr>
    </w:p>
    <w:p w14:paraId="5EE6FB47" w14:textId="77777777" w:rsidR="008430BD" w:rsidRPr="001C3EC8" w:rsidRDefault="008430BD" w:rsidP="008430BD">
      <w:pPr>
        <w:autoSpaceDE w:val="0"/>
        <w:autoSpaceDN w:val="0"/>
        <w:adjustRightInd w:val="0"/>
        <w:spacing w:line="240" w:lineRule="auto"/>
        <w:jc w:val="center"/>
        <w:rPr>
          <w:rFonts w:cs="OfficinaSansItcTOT-Bold"/>
          <w:bCs/>
          <w:color w:val="000000" w:themeColor="text1"/>
          <w:sz w:val="18"/>
          <w:szCs w:val="19"/>
          <w:lang w:eastAsia="cs-CZ"/>
        </w:rPr>
      </w:pPr>
      <w:r w:rsidRPr="001C3EC8">
        <w:rPr>
          <w:rFonts w:cs="OfficinaSansItcTOT-Bold"/>
          <w:bCs/>
          <w:color w:val="000000" w:themeColor="text1"/>
          <w:sz w:val="18"/>
          <w:szCs w:val="19"/>
          <w:lang w:eastAsia="cs-CZ"/>
        </w:rPr>
        <w:t>Ministerstvo spravedlnosti</w:t>
      </w:r>
    </w:p>
    <w:p w14:paraId="5E42C5CE" w14:textId="77777777" w:rsidR="008430BD" w:rsidRPr="001C3EC8"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1C3EC8">
        <w:rPr>
          <w:rFonts w:cs="OfficinaSansItcTOT-Book"/>
          <w:color w:val="000000" w:themeColor="text1"/>
          <w:sz w:val="18"/>
          <w:szCs w:val="19"/>
          <w:lang w:eastAsia="cs-CZ"/>
        </w:rPr>
        <w:t>Vyšehradská 16</w:t>
      </w:r>
    </w:p>
    <w:p w14:paraId="42AB6912" w14:textId="77777777" w:rsidR="008430BD" w:rsidRPr="001C3EC8" w:rsidRDefault="008430BD" w:rsidP="008430BD">
      <w:pPr>
        <w:autoSpaceDE w:val="0"/>
        <w:autoSpaceDN w:val="0"/>
        <w:adjustRightInd w:val="0"/>
        <w:spacing w:line="240" w:lineRule="auto"/>
        <w:jc w:val="center"/>
        <w:rPr>
          <w:rFonts w:cs="OfficinaSansItcTOT-Book"/>
          <w:color w:val="000000" w:themeColor="text1"/>
          <w:sz w:val="18"/>
          <w:szCs w:val="19"/>
          <w:lang w:eastAsia="cs-CZ"/>
        </w:rPr>
      </w:pPr>
      <w:r w:rsidRPr="001C3EC8">
        <w:rPr>
          <w:rFonts w:cs="OfficinaSansItcTOT-Book"/>
          <w:color w:val="000000" w:themeColor="text1"/>
          <w:sz w:val="18"/>
          <w:szCs w:val="19"/>
          <w:lang w:eastAsia="cs-CZ"/>
        </w:rPr>
        <w:t>128 </w:t>
      </w:r>
      <w:proofErr w:type="gramStart"/>
      <w:r w:rsidRPr="001C3EC8">
        <w:rPr>
          <w:rFonts w:cs="OfficinaSansItcTOT-Book"/>
          <w:color w:val="000000" w:themeColor="text1"/>
          <w:sz w:val="18"/>
          <w:szCs w:val="19"/>
          <w:lang w:eastAsia="cs-CZ"/>
        </w:rPr>
        <w:t>10  Praha</w:t>
      </w:r>
      <w:proofErr w:type="gramEnd"/>
      <w:r w:rsidRPr="001C3EC8">
        <w:rPr>
          <w:rFonts w:cs="OfficinaSansItcTOT-Book"/>
          <w:color w:val="000000" w:themeColor="text1"/>
          <w:sz w:val="18"/>
          <w:szCs w:val="19"/>
          <w:lang w:eastAsia="cs-CZ"/>
        </w:rPr>
        <w:t> 2</w:t>
      </w:r>
    </w:p>
    <w:p w14:paraId="35E6F9D3" w14:textId="77777777" w:rsidR="00B07E76" w:rsidRDefault="008430BD" w:rsidP="008430BD">
      <w:pPr>
        <w:autoSpaceDE w:val="0"/>
        <w:autoSpaceDN w:val="0"/>
        <w:adjustRightInd w:val="0"/>
        <w:spacing w:line="240" w:lineRule="auto"/>
        <w:jc w:val="center"/>
        <w:rPr>
          <w:rFonts w:cs="OfficinaSansItcTOT-Book"/>
          <w:sz w:val="18"/>
          <w:szCs w:val="19"/>
          <w:lang w:eastAsia="cs-CZ"/>
        </w:rPr>
      </w:pPr>
      <w:r w:rsidRPr="001C3EC8">
        <w:rPr>
          <w:rFonts w:cs="OfficinaSansItcTOT-Book"/>
          <w:color w:val="000000" w:themeColor="text1"/>
          <w:sz w:val="18"/>
          <w:szCs w:val="19"/>
          <w:lang w:eastAsia="cs-CZ"/>
        </w:rPr>
        <w:t xml:space="preserve">e-mail: </w:t>
      </w:r>
      <w:hyperlink r:id="rId156" w:history="1">
        <w:r w:rsidR="00EC44A7" w:rsidRPr="00F52EF5">
          <w:rPr>
            <w:rStyle w:val="Hypertextovodkaz"/>
            <w:rFonts w:cs="OfficinaSansItcTOT-Book"/>
            <w:sz w:val="18"/>
            <w:szCs w:val="19"/>
            <w:lang w:eastAsia="cs-CZ"/>
          </w:rPr>
          <w:t>posta@msp.justice.cz</w:t>
        </w:r>
      </w:hyperlink>
    </w:p>
    <w:p w14:paraId="2F381B22" w14:textId="77777777" w:rsidR="00B07E76" w:rsidRDefault="00CB73FC" w:rsidP="008430BD">
      <w:pPr>
        <w:jc w:val="center"/>
        <w:rPr>
          <w:rFonts w:cs="OfficinaSansItcTOT-Book"/>
          <w:sz w:val="18"/>
          <w:szCs w:val="19"/>
          <w:lang w:eastAsia="cs-CZ"/>
        </w:rPr>
      </w:pPr>
      <w:hyperlink r:id="rId157" w:history="1">
        <w:r w:rsidR="00EC44A7" w:rsidRPr="00F52EF5">
          <w:rPr>
            <w:rStyle w:val="Hypertextovodkaz"/>
            <w:rFonts w:cs="OfficinaSansItcTOT-Book"/>
            <w:sz w:val="18"/>
            <w:szCs w:val="19"/>
            <w:lang w:eastAsia="cs-CZ"/>
          </w:rPr>
          <w:t>www.justice.cz</w:t>
        </w:r>
      </w:hyperlink>
    </w:p>
    <w:p w14:paraId="600297D5" w14:textId="77777777" w:rsidR="00D77934" w:rsidRPr="001C3EC8" w:rsidRDefault="00D77934">
      <w:pPr>
        <w:rPr>
          <w:color w:val="000000" w:themeColor="text1"/>
        </w:rPr>
      </w:pPr>
    </w:p>
    <w:sectPr w:rsidR="00D77934" w:rsidRPr="001C3EC8" w:rsidSect="00E077F3">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E17F9" w14:textId="77777777" w:rsidR="00B4248B" w:rsidRDefault="00B4248B" w:rsidP="008430BD">
      <w:pPr>
        <w:spacing w:line="240" w:lineRule="auto"/>
      </w:pPr>
      <w:r>
        <w:separator/>
      </w:r>
    </w:p>
  </w:endnote>
  <w:endnote w:type="continuationSeparator" w:id="0">
    <w:p w14:paraId="3FE4DD7D" w14:textId="77777777" w:rsidR="00B4248B" w:rsidRDefault="00B4248B" w:rsidP="008430BD">
      <w:pPr>
        <w:spacing w:line="240" w:lineRule="auto"/>
      </w:pPr>
      <w:r>
        <w:continuationSeparator/>
      </w:r>
    </w:p>
  </w:endnote>
  <w:endnote w:type="continuationNotice" w:id="1">
    <w:p w14:paraId="2BD2A00D" w14:textId="77777777" w:rsidR="00B4248B" w:rsidRDefault="00B424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 Next LT Pro Condensed">
    <w:altName w:val="Arial Narrow"/>
    <w:charset w:val="EE"/>
    <w:family w:val="swiss"/>
    <w:pitch w:val="variable"/>
    <w:sig w:usb0="00000001" w:usb1="5000205B" w:usb2="00000000" w:usb3="00000000" w:csb0="0000009B" w:csb1="00000000"/>
  </w:font>
  <w:font w:name="Cambria Math">
    <w:panose1 w:val="02040503050406030204"/>
    <w:charset w:val="EE"/>
    <w:family w:val="roman"/>
    <w:pitch w:val="variable"/>
    <w:sig w:usb0="E00006FF" w:usb1="420024FF" w:usb2="02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6D931" w14:textId="73351114" w:rsidR="00B4248B" w:rsidRDefault="00B4248B" w:rsidP="00E077F3">
    <w:pPr>
      <w:pStyle w:val="Zpat"/>
      <w:jc w:val="center"/>
    </w:pPr>
    <w:r>
      <w:fldChar w:fldCharType="begin"/>
    </w:r>
    <w:r>
      <w:instrText>PAGE   \* MERGEFORMAT</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13B13" w14:textId="77777777" w:rsidR="00B4248B" w:rsidRDefault="00B4248B" w:rsidP="008430BD">
      <w:pPr>
        <w:spacing w:line="240" w:lineRule="auto"/>
      </w:pPr>
      <w:r>
        <w:separator/>
      </w:r>
    </w:p>
  </w:footnote>
  <w:footnote w:type="continuationSeparator" w:id="0">
    <w:p w14:paraId="1CEADDE3" w14:textId="77777777" w:rsidR="00B4248B" w:rsidRDefault="00B4248B" w:rsidP="008430BD">
      <w:pPr>
        <w:spacing w:line="240" w:lineRule="auto"/>
      </w:pPr>
      <w:r>
        <w:continuationSeparator/>
      </w:r>
    </w:p>
  </w:footnote>
  <w:footnote w:type="continuationNotice" w:id="1">
    <w:p w14:paraId="66E10F5A" w14:textId="77777777" w:rsidR="00B4248B" w:rsidRDefault="00B4248B">
      <w:pPr>
        <w:spacing w:line="240" w:lineRule="auto"/>
      </w:pPr>
    </w:p>
  </w:footnote>
  <w:footnote w:id="2">
    <w:p w14:paraId="635DF0F1" w14:textId="77777777" w:rsidR="00B4248B" w:rsidRPr="001229BC" w:rsidRDefault="00B4248B" w:rsidP="008430BD">
      <w:pPr>
        <w:pStyle w:val="Textpoznpodarou"/>
      </w:pPr>
      <w:r w:rsidRPr="001229BC">
        <w:rPr>
          <w:rStyle w:val="Znakapoznpodarou"/>
        </w:rPr>
        <w:footnoteRef/>
      </w:r>
      <w:r w:rsidRPr="001229BC">
        <w:t xml:space="preserve"> Justiční statistická ročenka na rozdíl od této zprávy obsahuje pouze kompilaci automaticky generovaných sestav bez dalšího komentáře či grafického znázornění dat.</w:t>
      </w:r>
    </w:p>
  </w:footnote>
  <w:footnote w:id="3">
    <w:p w14:paraId="25F14164" w14:textId="77777777" w:rsidR="00B4248B" w:rsidRPr="001229BC" w:rsidRDefault="00B4248B" w:rsidP="008430BD">
      <w:pPr>
        <w:pStyle w:val="Textpoznpodarou"/>
      </w:pPr>
      <w:r w:rsidRPr="001229BC">
        <w:rPr>
          <w:rStyle w:val="Znakapoznpodarou"/>
        </w:rPr>
        <w:footnoteRef/>
      </w:r>
      <w:r w:rsidRPr="001229BC">
        <w:t xml:space="preserve"> </w:t>
      </w:r>
      <w:hyperlink r:id="rId1" w:history="1">
        <w:r w:rsidRPr="00726585">
          <w:rPr>
            <w:rStyle w:val="Hypertextovodkaz"/>
          </w:rPr>
          <w:t>https://www.justice.cz/web/msp/statisticke-udaje-z-oblasti-justice</w:t>
        </w:r>
      </w:hyperlink>
      <w:r w:rsidRPr="001229BC">
        <w:t>.</w:t>
      </w:r>
    </w:p>
  </w:footnote>
  <w:footnote w:id="4">
    <w:p w14:paraId="33666C20" w14:textId="77777777" w:rsidR="00B4248B" w:rsidRPr="001229BC" w:rsidRDefault="00B4248B" w:rsidP="008430BD">
      <w:pPr>
        <w:pStyle w:val="Textpoznpodarou"/>
      </w:pPr>
      <w:r w:rsidRPr="001229BC">
        <w:rPr>
          <w:rStyle w:val="Znakapoznpodarou"/>
        </w:rPr>
        <w:footnoteRef/>
      </w:r>
      <w:r w:rsidRPr="001229BC">
        <w:t xml:space="preserve"> Například v Německu jsou věci, v nichž přerušení řízení přesáhne délku šesti měsíců, ve statistikách soudů vykazovány jako rozhodnuté, protože pokud soudce po více než 6 měsících začne na </w:t>
      </w:r>
      <w:r>
        <w:t xml:space="preserve">věci </w:t>
      </w:r>
      <w:r w:rsidRPr="001229BC">
        <w:t>znovu pracovat, jeho pracovní zatížení je srovnatelné s prací na kterémkoli novém případě.</w:t>
      </w:r>
    </w:p>
  </w:footnote>
  <w:footnote w:id="5">
    <w:p w14:paraId="64F4347A" w14:textId="3355E685" w:rsidR="00B4248B" w:rsidRDefault="00B4248B">
      <w:pPr>
        <w:pStyle w:val="Textpoznpodarou"/>
      </w:pPr>
      <w:r>
        <w:rPr>
          <w:rStyle w:val="Znakapoznpodarou"/>
        </w:rPr>
        <w:footnoteRef/>
      </w:r>
      <w:r>
        <w:t xml:space="preserve"> Kvůli způsobu získávání dat je skutečný počet úvazků k 1. 1. 2021</w:t>
      </w:r>
    </w:p>
  </w:footnote>
  <w:footnote w:id="6">
    <w:p w14:paraId="7B4ED672" w14:textId="77777777" w:rsidR="00B4248B" w:rsidRDefault="00B4248B" w:rsidP="008430BD">
      <w:pPr>
        <w:pStyle w:val="Textpoznpodarou"/>
      </w:pPr>
      <w:r>
        <w:rPr>
          <w:rStyle w:val="Znakapoznpodarou"/>
        </w:rPr>
        <w:footnoteRef/>
      </w:r>
      <w:r>
        <w:t xml:space="preserve"> Komise pro efektivitu justice Rady Evropy.</w:t>
      </w:r>
    </w:p>
  </w:footnote>
  <w:footnote w:id="7">
    <w:p w14:paraId="1A85D6EA" w14:textId="77777777" w:rsidR="00B4248B" w:rsidRPr="001229BC" w:rsidRDefault="00B4248B" w:rsidP="008430BD">
      <w:pPr>
        <w:pStyle w:val="Textpoznpodarou"/>
      </w:pPr>
      <w:r w:rsidRPr="001229BC">
        <w:rPr>
          <w:rStyle w:val="Znakapoznpodarou"/>
        </w:rPr>
        <w:footnoteRef/>
      </w:r>
      <w:r w:rsidRPr="001229BC">
        <w:t xml:space="preserve"> Toto srovnání lze velmi dobře provést, i když ve statistikách nespadá počet převedených věcí pod počet věcí vyřízených. Princip je zde stejný jako u nápadu a u vyřízených věcí</w:t>
      </w:r>
      <w:r>
        <w:t xml:space="preserve">, tedy </w:t>
      </w:r>
      <w:r w:rsidRPr="001229BC">
        <w:t>nejedná se o skupinu totožných věcí.</w:t>
      </w:r>
    </w:p>
  </w:footnote>
  <w:footnote w:id="8">
    <w:p w14:paraId="6D2C40A4" w14:textId="12003A7E" w:rsidR="00B4248B" w:rsidRDefault="00B4248B">
      <w:pPr>
        <w:pStyle w:val="Textpoznpodarou"/>
      </w:pPr>
      <w:r>
        <w:rPr>
          <w:rStyle w:val="Znakapoznpodarou"/>
        </w:rPr>
        <w:footnoteRef/>
      </w:r>
      <w:r>
        <w:t xml:space="preserve"> Viz ekonomická analýza zločinu, se kterou přišel držitel Nobelovy ceny Gary Becker článkem „</w:t>
      </w:r>
      <w:r w:rsidRPr="00431668">
        <w:t>Crime and Punishment: An Economic Approach</w:t>
      </w:r>
      <w:r>
        <w:t>“ z roku 1968.</w:t>
      </w:r>
    </w:p>
  </w:footnote>
  <w:footnote w:id="9">
    <w:p w14:paraId="334D6A0F" w14:textId="77777777" w:rsidR="00B4248B" w:rsidRPr="001229BC" w:rsidRDefault="00B4248B" w:rsidP="00031B7B">
      <w:pPr>
        <w:pStyle w:val="Textpoznpodarou"/>
      </w:pPr>
      <w:r w:rsidRPr="001229BC">
        <w:rPr>
          <w:rStyle w:val="Znakapoznpodarou"/>
        </w:rPr>
        <w:footnoteRef/>
      </w:r>
      <w:r w:rsidRPr="001229BC">
        <w:t xml:space="preserve"> Ukládá-li soud peněžitý trest, stanoví pro případ, že by ve stanovené lhůtě nebyl vykonán, náhradní trest odnětí svobody (ust. § 69 odst. 1 trestního zákoníku</w:t>
      </w:r>
      <w:r>
        <w:t xml:space="preserve"> ve znění do 30. 9. 2020</w:t>
      </w:r>
      <w:r w:rsidRPr="001229BC">
        <w:t>).</w:t>
      </w:r>
    </w:p>
  </w:footnote>
  <w:footnote w:id="10">
    <w:p w14:paraId="1E413D88" w14:textId="77777777" w:rsidR="00B4248B" w:rsidRDefault="00B4248B" w:rsidP="008430BD">
      <w:pPr>
        <w:pStyle w:val="Textpoznpodarou"/>
      </w:pPr>
      <w:r>
        <w:rPr>
          <w:rStyle w:val="Znakapoznpodarou"/>
        </w:rPr>
        <w:footnoteRef/>
      </w:r>
      <w:r>
        <w:t xml:space="preserve"> § 14 zákona č. 6/2002 Sb., o soudech, soudcích, přísedících a státní správě soudů a o změně některých dalších zákonů (zákon o soudech a soudcích), ve znění pozdějších předpisů.</w:t>
      </w:r>
    </w:p>
  </w:footnote>
  <w:footnote w:id="11">
    <w:p w14:paraId="47E25C61" w14:textId="77777777" w:rsidR="00B4248B" w:rsidRDefault="00B4248B" w:rsidP="008430BD">
      <w:pPr>
        <w:pStyle w:val="Textpoznpodarou"/>
      </w:pPr>
      <w:r>
        <w:rPr>
          <w:rStyle w:val="Znakapoznpodarou"/>
        </w:rPr>
        <w:footnoteRef/>
      </w:r>
      <w:r>
        <w:t xml:space="preserve"> Ročenky Nejvyššího soudu jsou k dispozici na jeho stránkách</w:t>
      </w:r>
    </w:p>
  </w:footnote>
  <w:footnote w:id="12">
    <w:p w14:paraId="14D4C24D" w14:textId="151AF636" w:rsidR="00B4248B" w:rsidRDefault="00B4248B" w:rsidP="00ED2B50">
      <w:pPr>
        <w:pStyle w:val="Textpoznpodarou"/>
      </w:pPr>
      <w:r>
        <w:rPr>
          <w:rStyle w:val="Znakapoznpodarou"/>
        </w:rPr>
        <w:footnoteRef/>
      </w:r>
      <w:r>
        <w:t xml:space="preserve"> Soudce občanskoprávního a obchodního kolegia lze najít </w:t>
      </w:r>
      <w:hyperlink r:id="rId2" w:history="1">
        <w:r>
          <w:rPr>
            <w:rStyle w:val="Hypertextovodkaz"/>
          </w:rPr>
          <w:t>zde</w:t>
        </w:r>
      </w:hyperlink>
      <w:r>
        <w:rPr>
          <w:rStyle w:val="Hypertextovodkaz"/>
        </w:rPr>
        <w:t>;</w:t>
      </w:r>
      <w:r>
        <w:t xml:space="preserve"> soudci trestního kolegia jsou vyjmenováni </w:t>
      </w:r>
      <w:hyperlink r:id="rId3" w:history="1">
        <w:r>
          <w:rPr>
            <w:rStyle w:val="Hypertextovodkaz"/>
          </w:rPr>
          <w:t>zde</w:t>
        </w:r>
      </w:hyperlink>
      <w:r>
        <w:t>. Navštíveno dne 14. 4. 2021.</w:t>
      </w:r>
    </w:p>
  </w:footnote>
  <w:footnote w:id="13">
    <w:p w14:paraId="35B756D2" w14:textId="77777777" w:rsidR="00B4248B" w:rsidRPr="001229BC" w:rsidRDefault="00B4248B" w:rsidP="008430BD">
      <w:pPr>
        <w:pStyle w:val="Textpoznpodarou"/>
      </w:pPr>
      <w:r w:rsidRPr="001229BC">
        <w:rPr>
          <w:rStyle w:val="Znakapoznpodarou"/>
        </w:rPr>
        <w:footnoteRef/>
      </w:r>
      <w:r w:rsidRPr="001229BC">
        <w:t xml:space="preserve"> Komise pro efektivitu justice Rady Evropy.</w:t>
      </w:r>
    </w:p>
  </w:footnote>
  <w:footnote w:id="14">
    <w:p w14:paraId="558A838A" w14:textId="77777777" w:rsidR="00B4248B" w:rsidRDefault="00B4248B" w:rsidP="008430BD">
      <w:pPr>
        <w:pStyle w:val="Textpoznpodarou"/>
      </w:pPr>
      <w:r>
        <w:rPr>
          <w:rStyle w:val="Znakapoznpodarou"/>
        </w:rPr>
        <w:footnoteRef/>
      </w:r>
      <w:r>
        <w:t xml:space="preserve"> Lze najít </w:t>
      </w:r>
      <w:hyperlink r:id="rId4" w:history="1">
        <w:r w:rsidRPr="00E44212">
          <w:rPr>
            <w:rStyle w:val="Hypertextovodkaz"/>
          </w:rPr>
          <w:t>zde</w:t>
        </w:r>
      </w:hyperlink>
      <w:r>
        <w:t>, navštíveno dne 21. 4. 2021.</w:t>
      </w:r>
    </w:p>
  </w:footnote>
  <w:footnote w:id="15">
    <w:p w14:paraId="3DE52963" w14:textId="77777777" w:rsidR="00B4248B" w:rsidRDefault="00B4248B" w:rsidP="008430BD">
      <w:pPr>
        <w:pStyle w:val="Textpoznpodarou"/>
      </w:pPr>
      <w:r>
        <w:rPr>
          <w:rStyle w:val="Znakapoznpodarou"/>
        </w:rPr>
        <w:footnoteRef/>
      </w:r>
      <w:r>
        <w:t xml:space="preserve"> Lze najít </w:t>
      </w:r>
      <w:hyperlink r:id="rId5" w:anchor="scoreboardshttps://ec.europa.eu/info/policies/justice-and-fundamental-rights/upholding-rule-law/eu-justice-scoreboard_en" w:history="1">
        <w:r w:rsidRPr="00963329">
          <w:rPr>
            <w:rStyle w:val="Hypertextovodkaz"/>
          </w:rPr>
          <w:t>zde</w:t>
        </w:r>
      </w:hyperlink>
      <w:r>
        <w:t>, dokument je publikován i v češtině, navštíveno dne 21. 4. 2021.</w:t>
      </w:r>
    </w:p>
  </w:footnote>
  <w:footnote w:id="16">
    <w:p w14:paraId="1B719628" w14:textId="77777777" w:rsidR="00B4248B" w:rsidRDefault="00B4248B" w:rsidP="008430BD">
      <w:pPr>
        <w:pStyle w:val="Textpoznpodarou"/>
      </w:pPr>
      <w:r>
        <w:rPr>
          <w:rStyle w:val="Znakapoznpodarou"/>
        </w:rPr>
        <w:footnoteRef/>
      </w:r>
      <w:r>
        <w:t xml:space="preserve"> Statistiky lze najít </w:t>
      </w:r>
      <w:hyperlink r:id="rId6" w:history="1">
        <w:r w:rsidRPr="004E0FDD">
          <w:rPr>
            <w:rStyle w:val="Hypertextovodkaz"/>
          </w:rPr>
          <w:t>zde</w:t>
        </w:r>
      </w:hyperlink>
    </w:p>
  </w:footnote>
  <w:footnote w:id="17">
    <w:p w14:paraId="6F9A322D" w14:textId="77777777" w:rsidR="00B4248B" w:rsidRPr="001229BC" w:rsidRDefault="00B4248B" w:rsidP="008430BD">
      <w:pPr>
        <w:pStyle w:val="Textpoznpodarou"/>
      </w:pPr>
      <w:r w:rsidRPr="001229BC">
        <w:rPr>
          <w:rStyle w:val="Znakapoznpodarou"/>
        </w:rPr>
        <w:footnoteRef/>
      </w:r>
      <w:r w:rsidRPr="001229BC">
        <w:t xml:space="preserve"> Komise pro efektivitu justice Rady Evropy.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125F0"/>
    <w:multiLevelType w:val="hybridMultilevel"/>
    <w:tmpl w:val="30381C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8" w15:restartNumberingAfterBreak="0">
    <w:nsid w:val="25BC5F5D"/>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564BF3"/>
    <w:multiLevelType w:val="hybridMultilevel"/>
    <w:tmpl w:val="F0F811E4"/>
    <w:lvl w:ilvl="0" w:tplc="8B48E3B4">
      <w:start w:val="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12"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313BD6"/>
    <w:multiLevelType w:val="hybridMultilevel"/>
    <w:tmpl w:val="A546E696"/>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8" w15:restartNumberingAfterBreak="0">
    <w:nsid w:val="54226612"/>
    <w:multiLevelType w:val="hybridMultilevel"/>
    <w:tmpl w:val="2E62D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5174E3"/>
    <w:multiLevelType w:val="hybridMultilevel"/>
    <w:tmpl w:val="ECD2E56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0" w15:restartNumberingAfterBreak="0">
    <w:nsid w:val="5D6A635A"/>
    <w:multiLevelType w:val="hybridMultilevel"/>
    <w:tmpl w:val="8C6A1F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9B33FEE"/>
    <w:multiLevelType w:val="hybridMultilevel"/>
    <w:tmpl w:val="AC6C5F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F041A08"/>
    <w:multiLevelType w:val="hybridMultilevel"/>
    <w:tmpl w:val="C4C2FA3E"/>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num w:numId="1">
    <w:abstractNumId w:val="8"/>
  </w:num>
  <w:num w:numId="2">
    <w:abstractNumId w:val="15"/>
  </w:num>
  <w:num w:numId="3">
    <w:abstractNumId w:val="0"/>
  </w:num>
  <w:num w:numId="4">
    <w:abstractNumId w:val="3"/>
  </w:num>
  <w:num w:numId="5">
    <w:abstractNumId w:val="22"/>
  </w:num>
  <w:num w:numId="6">
    <w:abstractNumId w:val="27"/>
  </w:num>
  <w:num w:numId="7">
    <w:abstractNumId w:val="25"/>
  </w:num>
  <w:num w:numId="8">
    <w:abstractNumId w:val="5"/>
  </w:num>
  <w:num w:numId="9">
    <w:abstractNumId w:val="6"/>
  </w:num>
  <w:num w:numId="10">
    <w:abstractNumId w:val="12"/>
  </w:num>
  <w:num w:numId="11">
    <w:abstractNumId w:val="2"/>
  </w:num>
  <w:num w:numId="12">
    <w:abstractNumId w:val="16"/>
  </w:num>
  <w:num w:numId="13">
    <w:abstractNumId w:val="7"/>
  </w:num>
  <w:num w:numId="14">
    <w:abstractNumId w:val="13"/>
  </w:num>
  <w:num w:numId="15">
    <w:abstractNumId w:val="1"/>
  </w:num>
  <w:num w:numId="16">
    <w:abstractNumId w:val="9"/>
  </w:num>
  <w:num w:numId="17">
    <w:abstractNumId w:val="14"/>
  </w:num>
  <w:num w:numId="18">
    <w:abstractNumId w:val="4"/>
  </w:num>
  <w:num w:numId="19">
    <w:abstractNumId w:val="24"/>
  </w:num>
  <w:num w:numId="20">
    <w:abstractNumId w:val="2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1"/>
  </w:num>
  <w:num w:numId="24">
    <w:abstractNumId w:val="26"/>
  </w:num>
  <w:num w:numId="25">
    <w:abstractNumId w:val="20"/>
  </w:num>
  <w:num w:numId="26">
    <w:abstractNumId w:val="19"/>
  </w:num>
  <w:num w:numId="27">
    <w:abstractNumId w:val="17"/>
  </w:num>
  <w:num w:numId="28">
    <w:abstractNumId w:val="28"/>
  </w:num>
  <w:num w:numId="29">
    <w:abstractNumId w:val="1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BD"/>
    <w:rsid w:val="00003FDE"/>
    <w:rsid w:val="0001221D"/>
    <w:rsid w:val="000139E3"/>
    <w:rsid w:val="00016107"/>
    <w:rsid w:val="00017F47"/>
    <w:rsid w:val="00021FDD"/>
    <w:rsid w:val="00023512"/>
    <w:rsid w:val="00031B7B"/>
    <w:rsid w:val="00033563"/>
    <w:rsid w:val="00046BCA"/>
    <w:rsid w:val="00050FD5"/>
    <w:rsid w:val="00060216"/>
    <w:rsid w:val="00060F97"/>
    <w:rsid w:val="000749BB"/>
    <w:rsid w:val="00076009"/>
    <w:rsid w:val="00081D57"/>
    <w:rsid w:val="000849D0"/>
    <w:rsid w:val="00086753"/>
    <w:rsid w:val="000A3088"/>
    <w:rsid w:val="000B22E1"/>
    <w:rsid w:val="000B514E"/>
    <w:rsid w:val="000C3B1E"/>
    <w:rsid w:val="000D40D2"/>
    <w:rsid w:val="000E1CAF"/>
    <w:rsid w:val="000E2347"/>
    <w:rsid w:val="000E6310"/>
    <w:rsid w:val="000F78E8"/>
    <w:rsid w:val="00103791"/>
    <w:rsid w:val="00106159"/>
    <w:rsid w:val="00120A38"/>
    <w:rsid w:val="00125857"/>
    <w:rsid w:val="00130B8E"/>
    <w:rsid w:val="00135992"/>
    <w:rsid w:val="00137A0B"/>
    <w:rsid w:val="0014150C"/>
    <w:rsid w:val="00142084"/>
    <w:rsid w:val="00157663"/>
    <w:rsid w:val="00163D10"/>
    <w:rsid w:val="00182CE2"/>
    <w:rsid w:val="001A1EFE"/>
    <w:rsid w:val="001A527D"/>
    <w:rsid w:val="001B0DDF"/>
    <w:rsid w:val="001B3252"/>
    <w:rsid w:val="001B5E6A"/>
    <w:rsid w:val="001B6812"/>
    <w:rsid w:val="001C0643"/>
    <w:rsid w:val="001C3EC8"/>
    <w:rsid w:val="001D43DF"/>
    <w:rsid w:val="001D723D"/>
    <w:rsid w:val="001D7559"/>
    <w:rsid w:val="001E16FD"/>
    <w:rsid w:val="001F0A0A"/>
    <w:rsid w:val="001F7A18"/>
    <w:rsid w:val="0020159F"/>
    <w:rsid w:val="0020439B"/>
    <w:rsid w:val="00207659"/>
    <w:rsid w:val="00213A42"/>
    <w:rsid w:val="00223FBF"/>
    <w:rsid w:val="002261D1"/>
    <w:rsid w:val="00227C2A"/>
    <w:rsid w:val="00230055"/>
    <w:rsid w:val="00230552"/>
    <w:rsid w:val="0025530E"/>
    <w:rsid w:val="00256272"/>
    <w:rsid w:val="00256D21"/>
    <w:rsid w:val="00267DC2"/>
    <w:rsid w:val="00272669"/>
    <w:rsid w:val="00273971"/>
    <w:rsid w:val="002742E7"/>
    <w:rsid w:val="00280F81"/>
    <w:rsid w:val="00285A83"/>
    <w:rsid w:val="00292D5B"/>
    <w:rsid w:val="002A2C14"/>
    <w:rsid w:val="002C3AE7"/>
    <w:rsid w:val="002D3FA6"/>
    <w:rsid w:val="002E3620"/>
    <w:rsid w:val="002F041F"/>
    <w:rsid w:val="002F68E3"/>
    <w:rsid w:val="00302145"/>
    <w:rsid w:val="003055E3"/>
    <w:rsid w:val="00311CE3"/>
    <w:rsid w:val="00313DFB"/>
    <w:rsid w:val="0031404D"/>
    <w:rsid w:val="00315CAB"/>
    <w:rsid w:val="00323A5B"/>
    <w:rsid w:val="003265A1"/>
    <w:rsid w:val="00327D79"/>
    <w:rsid w:val="0033181C"/>
    <w:rsid w:val="003513F6"/>
    <w:rsid w:val="003664AD"/>
    <w:rsid w:val="00381863"/>
    <w:rsid w:val="003845F0"/>
    <w:rsid w:val="0038473E"/>
    <w:rsid w:val="003A2AD4"/>
    <w:rsid w:val="003A2C95"/>
    <w:rsid w:val="003A55F0"/>
    <w:rsid w:val="003B28B2"/>
    <w:rsid w:val="003C0D4E"/>
    <w:rsid w:val="003C39D9"/>
    <w:rsid w:val="003D28A6"/>
    <w:rsid w:val="003D618D"/>
    <w:rsid w:val="003E0093"/>
    <w:rsid w:val="003E05B5"/>
    <w:rsid w:val="003E37DD"/>
    <w:rsid w:val="003F55DA"/>
    <w:rsid w:val="00406F1D"/>
    <w:rsid w:val="004146EF"/>
    <w:rsid w:val="00424C1A"/>
    <w:rsid w:val="00431668"/>
    <w:rsid w:val="00433D13"/>
    <w:rsid w:val="0043419B"/>
    <w:rsid w:val="0044656F"/>
    <w:rsid w:val="004518D4"/>
    <w:rsid w:val="0045545A"/>
    <w:rsid w:val="004561FE"/>
    <w:rsid w:val="004572ED"/>
    <w:rsid w:val="00483046"/>
    <w:rsid w:val="004A05FF"/>
    <w:rsid w:val="004A0CF5"/>
    <w:rsid w:val="004A27AD"/>
    <w:rsid w:val="004B39C3"/>
    <w:rsid w:val="004B5361"/>
    <w:rsid w:val="004B57EC"/>
    <w:rsid w:val="004D00E2"/>
    <w:rsid w:val="004D5AB5"/>
    <w:rsid w:val="004F4260"/>
    <w:rsid w:val="00505E06"/>
    <w:rsid w:val="00510EDF"/>
    <w:rsid w:val="0051225E"/>
    <w:rsid w:val="0051437F"/>
    <w:rsid w:val="0053190F"/>
    <w:rsid w:val="00532306"/>
    <w:rsid w:val="005324FE"/>
    <w:rsid w:val="0055295C"/>
    <w:rsid w:val="00555BA2"/>
    <w:rsid w:val="00563800"/>
    <w:rsid w:val="00592B64"/>
    <w:rsid w:val="0059443E"/>
    <w:rsid w:val="00596893"/>
    <w:rsid w:val="005A1F05"/>
    <w:rsid w:val="005B3A69"/>
    <w:rsid w:val="005D149D"/>
    <w:rsid w:val="005D25EE"/>
    <w:rsid w:val="005D4246"/>
    <w:rsid w:val="006002DA"/>
    <w:rsid w:val="0060457B"/>
    <w:rsid w:val="0061249A"/>
    <w:rsid w:val="00616977"/>
    <w:rsid w:val="0062147A"/>
    <w:rsid w:val="006337AB"/>
    <w:rsid w:val="0063449F"/>
    <w:rsid w:val="00643D94"/>
    <w:rsid w:val="006579E3"/>
    <w:rsid w:val="00663949"/>
    <w:rsid w:val="00666713"/>
    <w:rsid w:val="00666C8D"/>
    <w:rsid w:val="00677C65"/>
    <w:rsid w:val="00684AE7"/>
    <w:rsid w:val="00692E2E"/>
    <w:rsid w:val="0069564D"/>
    <w:rsid w:val="006A7060"/>
    <w:rsid w:val="006A7153"/>
    <w:rsid w:val="006B75F1"/>
    <w:rsid w:val="006C0333"/>
    <w:rsid w:val="006C0F4A"/>
    <w:rsid w:val="006C17E6"/>
    <w:rsid w:val="006D125E"/>
    <w:rsid w:val="006D191D"/>
    <w:rsid w:val="006D468B"/>
    <w:rsid w:val="006E235D"/>
    <w:rsid w:val="006F739C"/>
    <w:rsid w:val="006F75E8"/>
    <w:rsid w:val="00711696"/>
    <w:rsid w:val="00711F83"/>
    <w:rsid w:val="00713FE7"/>
    <w:rsid w:val="0073465F"/>
    <w:rsid w:val="00737678"/>
    <w:rsid w:val="007520E2"/>
    <w:rsid w:val="0075779C"/>
    <w:rsid w:val="0076243F"/>
    <w:rsid w:val="00773989"/>
    <w:rsid w:val="007752C6"/>
    <w:rsid w:val="007912BB"/>
    <w:rsid w:val="00795CC5"/>
    <w:rsid w:val="007C4537"/>
    <w:rsid w:val="007E0880"/>
    <w:rsid w:val="007F0C41"/>
    <w:rsid w:val="007F5484"/>
    <w:rsid w:val="007F5A59"/>
    <w:rsid w:val="007F65D1"/>
    <w:rsid w:val="0080347F"/>
    <w:rsid w:val="008035FC"/>
    <w:rsid w:val="008137A0"/>
    <w:rsid w:val="00813B69"/>
    <w:rsid w:val="008168D5"/>
    <w:rsid w:val="00831D4D"/>
    <w:rsid w:val="008430BD"/>
    <w:rsid w:val="00845336"/>
    <w:rsid w:val="00850194"/>
    <w:rsid w:val="00857304"/>
    <w:rsid w:val="00875BC6"/>
    <w:rsid w:val="00882534"/>
    <w:rsid w:val="008847CC"/>
    <w:rsid w:val="00887087"/>
    <w:rsid w:val="00892226"/>
    <w:rsid w:val="0089399D"/>
    <w:rsid w:val="00894D51"/>
    <w:rsid w:val="00895695"/>
    <w:rsid w:val="008A3019"/>
    <w:rsid w:val="008A3367"/>
    <w:rsid w:val="008A5067"/>
    <w:rsid w:val="008B2CA5"/>
    <w:rsid w:val="008C19A5"/>
    <w:rsid w:val="0090353E"/>
    <w:rsid w:val="00915FCA"/>
    <w:rsid w:val="00926F80"/>
    <w:rsid w:val="00930695"/>
    <w:rsid w:val="0094053F"/>
    <w:rsid w:val="00944075"/>
    <w:rsid w:val="0094714C"/>
    <w:rsid w:val="009473D7"/>
    <w:rsid w:val="0095165C"/>
    <w:rsid w:val="00955737"/>
    <w:rsid w:val="0096130B"/>
    <w:rsid w:val="00962A05"/>
    <w:rsid w:val="00963326"/>
    <w:rsid w:val="0096559D"/>
    <w:rsid w:val="00965AA0"/>
    <w:rsid w:val="009716CA"/>
    <w:rsid w:val="009839B7"/>
    <w:rsid w:val="009854FA"/>
    <w:rsid w:val="009A7A9D"/>
    <w:rsid w:val="009B0983"/>
    <w:rsid w:val="009B23C3"/>
    <w:rsid w:val="009C4095"/>
    <w:rsid w:val="009C5156"/>
    <w:rsid w:val="009C575D"/>
    <w:rsid w:val="009D3E54"/>
    <w:rsid w:val="009E27BB"/>
    <w:rsid w:val="009F6F12"/>
    <w:rsid w:val="00A03A45"/>
    <w:rsid w:val="00A1099F"/>
    <w:rsid w:val="00A11E7A"/>
    <w:rsid w:val="00A46239"/>
    <w:rsid w:val="00A61627"/>
    <w:rsid w:val="00A659ED"/>
    <w:rsid w:val="00A74487"/>
    <w:rsid w:val="00A7463D"/>
    <w:rsid w:val="00A74F26"/>
    <w:rsid w:val="00A77F0A"/>
    <w:rsid w:val="00A95D17"/>
    <w:rsid w:val="00AA1D5D"/>
    <w:rsid w:val="00AA1DD7"/>
    <w:rsid w:val="00AA2C2E"/>
    <w:rsid w:val="00AB223A"/>
    <w:rsid w:val="00AB5B6B"/>
    <w:rsid w:val="00AD49D9"/>
    <w:rsid w:val="00AD4B3D"/>
    <w:rsid w:val="00AE2E56"/>
    <w:rsid w:val="00AE67EE"/>
    <w:rsid w:val="00AE75FD"/>
    <w:rsid w:val="00AF223E"/>
    <w:rsid w:val="00AF629D"/>
    <w:rsid w:val="00AF68FB"/>
    <w:rsid w:val="00AF6A68"/>
    <w:rsid w:val="00B032F5"/>
    <w:rsid w:val="00B0753A"/>
    <w:rsid w:val="00B07E76"/>
    <w:rsid w:val="00B41B0A"/>
    <w:rsid w:val="00B4248B"/>
    <w:rsid w:val="00B44261"/>
    <w:rsid w:val="00B473AC"/>
    <w:rsid w:val="00B611CD"/>
    <w:rsid w:val="00B67582"/>
    <w:rsid w:val="00B71937"/>
    <w:rsid w:val="00B72F3D"/>
    <w:rsid w:val="00B76E3A"/>
    <w:rsid w:val="00B777B5"/>
    <w:rsid w:val="00B8488E"/>
    <w:rsid w:val="00B861E6"/>
    <w:rsid w:val="00B927BD"/>
    <w:rsid w:val="00BA059B"/>
    <w:rsid w:val="00BA500E"/>
    <w:rsid w:val="00BB2632"/>
    <w:rsid w:val="00BE2AE2"/>
    <w:rsid w:val="00BE34F3"/>
    <w:rsid w:val="00BF774D"/>
    <w:rsid w:val="00C11095"/>
    <w:rsid w:val="00C30FE4"/>
    <w:rsid w:val="00C323EA"/>
    <w:rsid w:val="00C46C7B"/>
    <w:rsid w:val="00C65FFF"/>
    <w:rsid w:val="00C72A43"/>
    <w:rsid w:val="00C76DA4"/>
    <w:rsid w:val="00C9225E"/>
    <w:rsid w:val="00C96AD9"/>
    <w:rsid w:val="00CA7D8F"/>
    <w:rsid w:val="00CB518F"/>
    <w:rsid w:val="00CB5A79"/>
    <w:rsid w:val="00CB73FC"/>
    <w:rsid w:val="00CC25AA"/>
    <w:rsid w:val="00CD0B05"/>
    <w:rsid w:val="00CD2266"/>
    <w:rsid w:val="00CD38B4"/>
    <w:rsid w:val="00CE1582"/>
    <w:rsid w:val="00CE634B"/>
    <w:rsid w:val="00D110C7"/>
    <w:rsid w:val="00D16DB5"/>
    <w:rsid w:val="00D21F1D"/>
    <w:rsid w:val="00D26798"/>
    <w:rsid w:val="00D406F2"/>
    <w:rsid w:val="00D43142"/>
    <w:rsid w:val="00D6141D"/>
    <w:rsid w:val="00D75392"/>
    <w:rsid w:val="00D76EFC"/>
    <w:rsid w:val="00D77934"/>
    <w:rsid w:val="00D8425E"/>
    <w:rsid w:val="00DA1058"/>
    <w:rsid w:val="00DA32AF"/>
    <w:rsid w:val="00DA7118"/>
    <w:rsid w:val="00DB1395"/>
    <w:rsid w:val="00DB2668"/>
    <w:rsid w:val="00DC2377"/>
    <w:rsid w:val="00DC7EA7"/>
    <w:rsid w:val="00DD5070"/>
    <w:rsid w:val="00DD5731"/>
    <w:rsid w:val="00DD65CC"/>
    <w:rsid w:val="00DD6ED9"/>
    <w:rsid w:val="00DE269E"/>
    <w:rsid w:val="00DF153C"/>
    <w:rsid w:val="00DF20E6"/>
    <w:rsid w:val="00E032DD"/>
    <w:rsid w:val="00E077F3"/>
    <w:rsid w:val="00E10CA4"/>
    <w:rsid w:val="00E129AC"/>
    <w:rsid w:val="00E1317C"/>
    <w:rsid w:val="00E22F4F"/>
    <w:rsid w:val="00E347FB"/>
    <w:rsid w:val="00E40645"/>
    <w:rsid w:val="00E4524A"/>
    <w:rsid w:val="00E502D3"/>
    <w:rsid w:val="00E54E54"/>
    <w:rsid w:val="00E711C1"/>
    <w:rsid w:val="00E74BB3"/>
    <w:rsid w:val="00E74BF4"/>
    <w:rsid w:val="00E844A3"/>
    <w:rsid w:val="00E85C8C"/>
    <w:rsid w:val="00E93C1B"/>
    <w:rsid w:val="00EA39EE"/>
    <w:rsid w:val="00EA455C"/>
    <w:rsid w:val="00EB4A5B"/>
    <w:rsid w:val="00EC44A7"/>
    <w:rsid w:val="00ED2B50"/>
    <w:rsid w:val="00ED6972"/>
    <w:rsid w:val="00EE6092"/>
    <w:rsid w:val="00EE6348"/>
    <w:rsid w:val="00EF2C15"/>
    <w:rsid w:val="00F11F5C"/>
    <w:rsid w:val="00F16F4D"/>
    <w:rsid w:val="00F220A5"/>
    <w:rsid w:val="00F35BB2"/>
    <w:rsid w:val="00F36AF7"/>
    <w:rsid w:val="00F41AA8"/>
    <w:rsid w:val="00F47516"/>
    <w:rsid w:val="00F521C6"/>
    <w:rsid w:val="00F533F0"/>
    <w:rsid w:val="00F5698F"/>
    <w:rsid w:val="00F57E0F"/>
    <w:rsid w:val="00F60122"/>
    <w:rsid w:val="00F663D9"/>
    <w:rsid w:val="00F66F3C"/>
    <w:rsid w:val="00F7096E"/>
    <w:rsid w:val="00F76987"/>
    <w:rsid w:val="00F77DED"/>
    <w:rsid w:val="00F80C58"/>
    <w:rsid w:val="00F87496"/>
    <w:rsid w:val="00FA2F47"/>
    <w:rsid w:val="00FB351B"/>
    <w:rsid w:val="00FB5CF5"/>
    <w:rsid w:val="00FB79BD"/>
    <w:rsid w:val="00FC1534"/>
    <w:rsid w:val="00FC3D32"/>
    <w:rsid w:val="00FC5032"/>
    <w:rsid w:val="00FC53D6"/>
    <w:rsid w:val="00FC5756"/>
    <w:rsid w:val="00FE43FA"/>
    <w:rsid w:val="00FF56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66C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30BD"/>
    <w:pPr>
      <w:spacing w:after="0" w:line="276" w:lineRule="auto"/>
      <w:jc w:val="both"/>
    </w:pPr>
    <w:rPr>
      <w:rFonts w:ascii="Garamond" w:eastAsia="Calibri" w:hAnsi="Garamond" w:cs="Times New Roman"/>
      <w:sz w:val="24"/>
    </w:rPr>
  </w:style>
  <w:style w:type="paragraph" w:styleId="Nadpis1">
    <w:name w:val="heading 1"/>
    <w:basedOn w:val="Normln"/>
    <w:next w:val="Normln"/>
    <w:link w:val="Nadpis1Char"/>
    <w:uiPriority w:val="9"/>
    <w:qFormat/>
    <w:rsid w:val="00930695"/>
    <w:pPr>
      <w:keepNext/>
      <w:keepLines/>
      <w:spacing w:before="24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894D51"/>
    <w:pPr>
      <w:keepNext/>
      <w:keepLines/>
      <w:spacing w:before="40"/>
      <w:outlineLvl w:val="1"/>
    </w:pPr>
    <w:rPr>
      <w:rFonts w:eastAsiaTheme="majorEastAsia" w:cstheme="majorBidi"/>
      <w:b/>
      <w:color w:val="000000" w:themeColor="text1"/>
      <w:sz w:val="28"/>
      <w:szCs w:val="26"/>
    </w:rPr>
  </w:style>
  <w:style w:type="paragraph" w:styleId="Nadpis3">
    <w:name w:val="heading 3"/>
    <w:basedOn w:val="Normln"/>
    <w:next w:val="Normln"/>
    <w:link w:val="Nadpis3Char"/>
    <w:uiPriority w:val="9"/>
    <w:unhideWhenUsed/>
    <w:qFormat/>
    <w:rsid w:val="008430BD"/>
    <w:pPr>
      <w:keepNext/>
      <w:keepLines/>
      <w:spacing w:before="200"/>
      <w:ind w:left="720" w:hanging="720"/>
      <w:outlineLvl w:val="2"/>
    </w:pPr>
    <w:rPr>
      <w:rFonts w:eastAsia="Times New Roman"/>
      <w:b/>
      <w:bCs/>
      <w:color w:val="000000"/>
    </w:rPr>
  </w:style>
  <w:style w:type="paragraph" w:styleId="Nadpis4">
    <w:name w:val="heading 4"/>
    <w:basedOn w:val="Normln"/>
    <w:next w:val="Normln"/>
    <w:link w:val="Nadpis4Char"/>
    <w:uiPriority w:val="9"/>
    <w:unhideWhenUsed/>
    <w:qFormat/>
    <w:rsid w:val="008430BD"/>
    <w:pPr>
      <w:keepNext/>
      <w:keepLines/>
      <w:spacing w:before="200"/>
      <w:ind w:left="864" w:hanging="864"/>
      <w:outlineLvl w:val="3"/>
    </w:pPr>
    <w:rPr>
      <w:rFonts w:eastAsia="Times New Roman"/>
      <w:b/>
      <w:bCs/>
      <w:iCs/>
    </w:rPr>
  </w:style>
  <w:style w:type="paragraph" w:styleId="Nadpis5">
    <w:name w:val="heading 5"/>
    <w:basedOn w:val="Normln"/>
    <w:next w:val="Normln"/>
    <w:link w:val="Nadpis5Char"/>
    <w:uiPriority w:val="9"/>
    <w:semiHidden/>
    <w:unhideWhenUsed/>
    <w:qFormat/>
    <w:rsid w:val="008430BD"/>
    <w:pPr>
      <w:keepNext/>
      <w:keepLines/>
      <w:spacing w:before="20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8430BD"/>
    <w:pPr>
      <w:keepNext/>
      <w:keepLines/>
      <w:spacing w:before="20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8430BD"/>
    <w:pPr>
      <w:keepNext/>
      <w:keepLines/>
      <w:spacing w:before="20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8430BD"/>
    <w:pPr>
      <w:keepNext/>
      <w:keepLines/>
      <w:spacing w:before="20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8430BD"/>
    <w:pPr>
      <w:keepNext/>
      <w:keepLines/>
      <w:spacing w:before="20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0695"/>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894D51"/>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8430BD"/>
    <w:rPr>
      <w:rFonts w:ascii="Garamond" w:eastAsia="Times New Roman" w:hAnsi="Garamond" w:cs="Times New Roman"/>
      <w:b/>
      <w:bCs/>
      <w:color w:val="000000"/>
      <w:sz w:val="24"/>
    </w:rPr>
  </w:style>
  <w:style w:type="character" w:customStyle="1" w:styleId="Nadpis4Char">
    <w:name w:val="Nadpis 4 Char"/>
    <w:basedOn w:val="Standardnpsmoodstavce"/>
    <w:link w:val="Nadpis4"/>
    <w:uiPriority w:val="9"/>
    <w:rsid w:val="008430BD"/>
    <w:rPr>
      <w:rFonts w:ascii="Garamond" w:eastAsia="Times New Roman" w:hAnsi="Garamond" w:cs="Times New Roman"/>
      <w:b/>
      <w:bCs/>
      <w:iCs/>
      <w:sz w:val="24"/>
    </w:rPr>
  </w:style>
  <w:style w:type="character" w:customStyle="1" w:styleId="Nadpis5Char">
    <w:name w:val="Nadpis 5 Char"/>
    <w:basedOn w:val="Standardnpsmoodstavce"/>
    <w:link w:val="Nadpis5"/>
    <w:uiPriority w:val="9"/>
    <w:semiHidden/>
    <w:rsid w:val="008430BD"/>
    <w:rPr>
      <w:rFonts w:ascii="Cambria" w:eastAsia="Times New Roman" w:hAnsi="Cambria" w:cs="Times New Roman"/>
      <w:color w:val="243F60"/>
      <w:sz w:val="24"/>
    </w:rPr>
  </w:style>
  <w:style w:type="character" w:customStyle="1" w:styleId="Nadpis6Char">
    <w:name w:val="Nadpis 6 Char"/>
    <w:basedOn w:val="Standardnpsmoodstavce"/>
    <w:link w:val="Nadpis6"/>
    <w:uiPriority w:val="9"/>
    <w:semiHidden/>
    <w:rsid w:val="008430BD"/>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semiHidden/>
    <w:rsid w:val="008430BD"/>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8430B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8430BD"/>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8430BD"/>
    <w:pPr>
      <w:pageBreakBefore/>
      <w:outlineLvl w:val="9"/>
    </w:pPr>
    <w:rPr>
      <w:rFonts w:ascii="Cambria" w:eastAsia="Times New Roman" w:hAnsi="Cambria" w:cs="Times New Roman"/>
      <w:b w:val="0"/>
      <w:bCs/>
      <w:color w:val="365F91"/>
      <w:szCs w:val="28"/>
      <w:lang w:eastAsia="cs-CZ"/>
    </w:rPr>
  </w:style>
  <w:style w:type="paragraph" w:styleId="Obsah1">
    <w:name w:val="toc 1"/>
    <w:basedOn w:val="Normln"/>
    <w:next w:val="Normln"/>
    <w:autoRedefine/>
    <w:uiPriority w:val="39"/>
    <w:unhideWhenUsed/>
    <w:rsid w:val="008430BD"/>
    <w:pPr>
      <w:tabs>
        <w:tab w:val="right" w:leader="dot" w:pos="9060"/>
      </w:tabs>
    </w:pPr>
  </w:style>
  <w:style w:type="character" w:styleId="Hypertextovodkaz">
    <w:name w:val="Hyperlink"/>
    <w:uiPriority w:val="99"/>
    <w:unhideWhenUsed/>
    <w:rsid w:val="008430BD"/>
    <w:rPr>
      <w:color w:val="0000FF"/>
      <w:u w:val="single"/>
    </w:rPr>
  </w:style>
  <w:style w:type="paragraph" w:styleId="Obsah2">
    <w:name w:val="toc 2"/>
    <w:basedOn w:val="Normln"/>
    <w:next w:val="Normln"/>
    <w:autoRedefine/>
    <w:uiPriority w:val="39"/>
    <w:unhideWhenUsed/>
    <w:rsid w:val="008430BD"/>
    <w:pPr>
      <w:tabs>
        <w:tab w:val="left" w:pos="880"/>
        <w:tab w:val="right" w:leader="dot" w:pos="9062"/>
      </w:tabs>
      <w:ind w:left="238"/>
    </w:pPr>
    <w:rPr>
      <w:noProof/>
    </w:rPr>
  </w:style>
  <w:style w:type="paragraph" w:styleId="Obsah3">
    <w:name w:val="toc 3"/>
    <w:basedOn w:val="Normln"/>
    <w:next w:val="Normln"/>
    <w:autoRedefine/>
    <w:uiPriority w:val="39"/>
    <w:unhideWhenUsed/>
    <w:rsid w:val="008430BD"/>
    <w:pPr>
      <w:tabs>
        <w:tab w:val="left" w:pos="1320"/>
        <w:tab w:val="right" w:leader="dot" w:pos="9062"/>
      </w:tabs>
      <w:ind w:left="482"/>
    </w:pPr>
  </w:style>
  <w:style w:type="paragraph" w:styleId="Zhlav">
    <w:name w:val="header"/>
    <w:basedOn w:val="Normln"/>
    <w:link w:val="ZhlavChar"/>
    <w:uiPriority w:val="99"/>
    <w:unhideWhenUsed/>
    <w:rsid w:val="008430BD"/>
    <w:pPr>
      <w:tabs>
        <w:tab w:val="center" w:pos="4536"/>
        <w:tab w:val="right" w:pos="9072"/>
      </w:tabs>
      <w:spacing w:line="240" w:lineRule="auto"/>
    </w:pPr>
  </w:style>
  <w:style w:type="character" w:customStyle="1" w:styleId="ZhlavChar">
    <w:name w:val="Záhlaví Char"/>
    <w:basedOn w:val="Standardnpsmoodstavce"/>
    <w:link w:val="Zhlav"/>
    <w:uiPriority w:val="99"/>
    <w:rsid w:val="008430BD"/>
    <w:rPr>
      <w:rFonts w:ascii="Garamond" w:eastAsia="Calibri" w:hAnsi="Garamond" w:cs="Times New Roman"/>
      <w:sz w:val="24"/>
    </w:rPr>
  </w:style>
  <w:style w:type="paragraph" w:styleId="Zpat">
    <w:name w:val="footer"/>
    <w:basedOn w:val="Normln"/>
    <w:link w:val="ZpatChar"/>
    <w:uiPriority w:val="99"/>
    <w:unhideWhenUsed/>
    <w:rsid w:val="008430BD"/>
    <w:pPr>
      <w:tabs>
        <w:tab w:val="center" w:pos="4536"/>
        <w:tab w:val="right" w:pos="9072"/>
      </w:tabs>
      <w:spacing w:line="240" w:lineRule="auto"/>
    </w:pPr>
  </w:style>
  <w:style w:type="character" w:customStyle="1" w:styleId="ZpatChar">
    <w:name w:val="Zápatí Char"/>
    <w:basedOn w:val="Standardnpsmoodstavce"/>
    <w:link w:val="Zpat"/>
    <w:uiPriority w:val="99"/>
    <w:rsid w:val="008430BD"/>
    <w:rPr>
      <w:rFonts w:ascii="Garamond" w:eastAsia="Calibri" w:hAnsi="Garamond" w:cs="Times New Roman"/>
      <w:sz w:val="24"/>
    </w:rPr>
  </w:style>
  <w:style w:type="paragraph" w:styleId="Textbubliny">
    <w:name w:val="Balloon Text"/>
    <w:basedOn w:val="Normln"/>
    <w:link w:val="TextbublinyChar"/>
    <w:uiPriority w:val="99"/>
    <w:semiHidden/>
    <w:unhideWhenUsed/>
    <w:rsid w:val="008430B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30BD"/>
    <w:rPr>
      <w:rFonts w:ascii="Tahoma" w:eastAsia="Calibri" w:hAnsi="Tahoma" w:cs="Tahoma"/>
      <w:sz w:val="16"/>
      <w:szCs w:val="16"/>
    </w:rPr>
  </w:style>
  <w:style w:type="paragraph" w:styleId="Odstavecseseznamem">
    <w:name w:val="List Paragraph"/>
    <w:basedOn w:val="Normln"/>
    <w:uiPriority w:val="34"/>
    <w:qFormat/>
    <w:rsid w:val="008430BD"/>
    <w:pPr>
      <w:ind w:left="720"/>
      <w:contextualSpacing/>
    </w:pPr>
  </w:style>
  <w:style w:type="paragraph" w:styleId="Titulek">
    <w:name w:val="caption"/>
    <w:basedOn w:val="Normln"/>
    <w:next w:val="Normln"/>
    <w:uiPriority w:val="35"/>
    <w:unhideWhenUsed/>
    <w:qFormat/>
    <w:rsid w:val="008430BD"/>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8430BD"/>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8430BD"/>
    <w:rPr>
      <w:rFonts w:ascii="Garamond" w:eastAsia="Times New Roman" w:hAnsi="Garamond" w:cs="Times New Roman"/>
      <w:b/>
      <w:iCs/>
      <w:color w:val="000000"/>
      <w:spacing w:val="15"/>
      <w:sz w:val="24"/>
      <w:szCs w:val="24"/>
    </w:rPr>
  </w:style>
  <w:style w:type="paragraph" w:styleId="Seznamobrzk">
    <w:name w:val="table of figures"/>
    <w:basedOn w:val="Normln"/>
    <w:next w:val="Normln"/>
    <w:uiPriority w:val="99"/>
    <w:unhideWhenUsed/>
    <w:rsid w:val="008430BD"/>
  </w:style>
  <w:style w:type="paragraph" w:styleId="Bezmezer">
    <w:name w:val="No Spacing"/>
    <w:uiPriority w:val="1"/>
    <w:qFormat/>
    <w:rsid w:val="008430BD"/>
    <w:pPr>
      <w:spacing w:after="0" w:line="240" w:lineRule="auto"/>
    </w:pPr>
    <w:rPr>
      <w:rFonts w:ascii="Times New Roman" w:eastAsia="Calibri" w:hAnsi="Times New Roman" w:cs="Times New Roman"/>
      <w:sz w:val="24"/>
    </w:rPr>
  </w:style>
  <w:style w:type="paragraph" w:styleId="Textpoznpodarou">
    <w:name w:val="footnote text"/>
    <w:basedOn w:val="Normln"/>
    <w:link w:val="TextpoznpodarouChar"/>
    <w:uiPriority w:val="99"/>
    <w:semiHidden/>
    <w:unhideWhenUsed/>
    <w:rsid w:val="008430BD"/>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8430BD"/>
    <w:rPr>
      <w:rFonts w:ascii="Garamond" w:eastAsia="Calibri" w:hAnsi="Garamond" w:cs="Times New Roman"/>
      <w:sz w:val="20"/>
      <w:szCs w:val="20"/>
    </w:rPr>
  </w:style>
  <w:style w:type="character" w:styleId="Znakapoznpodarou">
    <w:name w:val="footnote reference"/>
    <w:uiPriority w:val="99"/>
    <w:semiHidden/>
    <w:unhideWhenUsed/>
    <w:rsid w:val="008430BD"/>
    <w:rPr>
      <w:vertAlign w:val="superscript"/>
    </w:rPr>
  </w:style>
  <w:style w:type="paragraph" w:styleId="Nzev">
    <w:name w:val="Title"/>
    <w:basedOn w:val="Normln"/>
    <w:next w:val="Normln"/>
    <w:link w:val="NzevChar"/>
    <w:uiPriority w:val="10"/>
    <w:qFormat/>
    <w:rsid w:val="008430B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8430BD"/>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8430BD"/>
    <w:rPr>
      <w:sz w:val="16"/>
      <w:szCs w:val="16"/>
    </w:rPr>
  </w:style>
  <w:style w:type="paragraph" w:styleId="Textkomente">
    <w:name w:val="annotation text"/>
    <w:basedOn w:val="Normln"/>
    <w:link w:val="TextkomenteChar"/>
    <w:uiPriority w:val="99"/>
    <w:unhideWhenUsed/>
    <w:rsid w:val="008430BD"/>
    <w:pPr>
      <w:spacing w:line="240" w:lineRule="auto"/>
    </w:pPr>
    <w:rPr>
      <w:sz w:val="20"/>
      <w:szCs w:val="20"/>
    </w:rPr>
  </w:style>
  <w:style w:type="character" w:customStyle="1" w:styleId="TextkomenteChar">
    <w:name w:val="Text komentáře Char"/>
    <w:basedOn w:val="Standardnpsmoodstavce"/>
    <w:link w:val="Textkomente"/>
    <w:uiPriority w:val="99"/>
    <w:rsid w:val="008430BD"/>
    <w:rPr>
      <w:rFonts w:ascii="Garamond" w:eastAsia="Calibri" w:hAnsi="Garamond" w:cs="Times New Roman"/>
      <w:sz w:val="20"/>
      <w:szCs w:val="20"/>
    </w:rPr>
  </w:style>
  <w:style w:type="paragraph" w:styleId="Pedmtkomente">
    <w:name w:val="annotation subject"/>
    <w:basedOn w:val="Textkomente"/>
    <w:next w:val="Textkomente"/>
    <w:link w:val="PedmtkomenteChar"/>
    <w:uiPriority w:val="99"/>
    <w:semiHidden/>
    <w:unhideWhenUsed/>
    <w:rsid w:val="008430BD"/>
    <w:rPr>
      <w:b/>
      <w:bCs/>
    </w:rPr>
  </w:style>
  <w:style w:type="character" w:customStyle="1" w:styleId="PedmtkomenteChar">
    <w:name w:val="Předmět komentáře Char"/>
    <w:basedOn w:val="TextkomenteChar"/>
    <w:link w:val="Pedmtkomente"/>
    <w:uiPriority w:val="99"/>
    <w:semiHidden/>
    <w:rsid w:val="008430BD"/>
    <w:rPr>
      <w:rFonts w:ascii="Garamond" w:eastAsia="Calibri" w:hAnsi="Garamond" w:cs="Times New Roman"/>
      <w:b/>
      <w:bCs/>
      <w:sz w:val="20"/>
      <w:szCs w:val="20"/>
    </w:rPr>
  </w:style>
  <w:style w:type="paragraph" w:customStyle="1" w:styleId="OdstavecASR">
    <w:name w:val="Odstavec ASR"/>
    <w:basedOn w:val="Normln"/>
    <w:link w:val="OdstavecASRChar"/>
    <w:qFormat/>
    <w:rsid w:val="008430BD"/>
    <w:pPr>
      <w:spacing w:before="60" w:after="120"/>
    </w:pPr>
  </w:style>
  <w:style w:type="character" w:customStyle="1" w:styleId="OdstavecASRChar">
    <w:name w:val="Odstavec ASR Char"/>
    <w:link w:val="OdstavecASR"/>
    <w:rsid w:val="008430BD"/>
    <w:rPr>
      <w:rFonts w:ascii="Garamond" w:eastAsia="Calibri" w:hAnsi="Garamond" w:cs="Times New Roman"/>
      <w:sz w:val="24"/>
    </w:rPr>
  </w:style>
  <w:style w:type="paragraph" w:styleId="Obsah4">
    <w:name w:val="toc 4"/>
    <w:basedOn w:val="Normln"/>
    <w:next w:val="Normln"/>
    <w:autoRedefine/>
    <w:uiPriority w:val="39"/>
    <w:unhideWhenUsed/>
    <w:rsid w:val="008430BD"/>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8430BD"/>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8430BD"/>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8430BD"/>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8430BD"/>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8430BD"/>
    <w:pPr>
      <w:spacing w:after="100"/>
      <w:ind w:left="1760"/>
      <w:jc w:val="left"/>
    </w:pPr>
    <w:rPr>
      <w:rFonts w:ascii="Calibri" w:eastAsia="Times New Roman" w:hAnsi="Calibri"/>
      <w:sz w:val="22"/>
      <w:lang w:eastAsia="cs-CZ"/>
    </w:rPr>
  </w:style>
  <w:style w:type="paragraph" w:styleId="Revize">
    <w:name w:val="Revision"/>
    <w:hidden/>
    <w:uiPriority w:val="99"/>
    <w:semiHidden/>
    <w:rsid w:val="008430BD"/>
    <w:pPr>
      <w:spacing w:after="0" w:line="240" w:lineRule="auto"/>
    </w:pPr>
    <w:rPr>
      <w:rFonts w:ascii="Times New Roman" w:eastAsia="Calibri" w:hAnsi="Times New Roman" w:cs="Times New Roman"/>
      <w:sz w:val="24"/>
    </w:rPr>
  </w:style>
  <w:style w:type="character" w:styleId="Sledovanodkaz">
    <w:name w:val="FollowedHyperlink"/>
    <w:uiPriority w:val="99"/>
    <w:semiHidden/>
    <w:unhideWhenUsed/>
    <w:rsid w:val="008430BD"/>
    <w:rPr>
      <w:color w:val="800080"/>
      <w:u w:val="single"/>
    </w:rPr>
  </w:style>
  <w:style w:type="paragraph" w:styleId="Rozloendokumentu">
    <w:name w:val="Document Map"/>
    <w:basedOn w:val="Normln"/>
    <w:link w:val="RozloendokumentuChar"/>
    <w:uiPriority w:val="99"/>
    <w:semiHidden/>
    <w:unhideWhenUsed/>
    <w:rsid w:val="008430B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430BD"/>
    <w:rPr>
      <w:rFonts w:ascii="Tahoma" w:eastAsia="Calibri" w:hAnsi="Tahoma" w:cs="Tahoma"/>
      <w:sz w:val="16"/>
      <w:szCs w:val="16"/>
    </w:rPr>
  </w:style>
  <w:style w:type="paragraph" w:styleId="Prosttext">
    <w:name w:val="Plain Text"/>
    <w:basedOn w:val="Normln"/>
    <w:link w:val="ProsttextChar"/>
    <w:uiPriority w:val="99"/>
    <w:semiHidden/>
    <w:unhideWhenUsed/>
    <w:rsid w:val="008430BD"/>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8430BD"/>
    <w:rPr>
      <w:rFonts w:ascii="Calibri" w:eastAsia="Calibri" w:hAnsi="Calibri" w:cs="Consolas"/>
      <w:szCs w:val="21"/>
    </w:rPr>
  </w:style>
  <w:style w:type="paragraph" w:styleId="Textvysvtlivek">
    <w:name w:val="endnote text"/>
    <w:basedOn w:val="Normln"/>
    <w:link w:val="TextvysvtlivekChar"/>
    <w:uiPriority w:val="99"/>
    <w:semiHidden/>
    <w:unhideWhenUsed/>
    <w:rsid w:val="008430B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8430BD"/>
    <w:rPr>
      <w:rFonts w:ascii="Garamond" w:eastAsia="Calibri" w:hAnsi="Garamond" w:cs="Times New Roman"/>
      <w:sz w:val="20"/>
      <w:szCs w:val="20"/>
    </w:rPr>
  </w:style>
  <w:style w:type="character" w:styleId="Odkaznavysvtlivky">
    <w:name w:val="endnote reference"/>
    <w:uiPriority w:val="99"/>
    <w:semiHidden/>
    <w:unhideWhenUsed/>
    <w:rsid w:val="008430BD"/>
    <w:rPr>
      <w:vertAlign w:val="superscript"/>
    </w:rPr>
  </w:style>
  <w:style w:type="character" w:styleId="Odkazjemn">
    <w:name w:val="Subtle Reference"/>
    <w:basedOn w:val="Standardnpsmoodstavce"/>
    <w:uiPriority w:val="31"/>
    <w:qFormat/>
    <w:rsid w:val="008430BD"/>
    <w:rPr>
      <w:smallCaps/>
      <w:color w:val="5A5A5A" w:themeColor="text1" w:themeTint="A5"/>
    </w:rPr>
  </w:style>
  <w:style w:type="character" w:customStyle="1" w:styleId="Nevyeenzmnka1">
    <w:name w:val="Nevyřešená zmínka1"/>
    <w:basedOn w:val="Standardnpsmoodstavce"/>
    <w:uiPriority w:val="99"/>
    <w:semiHidden/>
    <w:unhideWhenUsed/>
    <w:rsid w:val="008430BD"/>
    <w:rPr>
      <w:color w:val="605E5C"/>
      <w:shd w:val="clear" w:color="auto" w:fill="E1DFDD"/>
    </w:rPr>
  </w:style>
  <w:style w:type="character" w:customStyle="1" w:styleId="Nevyeenzmnka2">
    <w:name w:val="Nevyřešená zmínka2"/>
    <w:basedOn w:val="Standardnpsmoodstavce"/>
    <w:uiPriority w:val="99"/>
    <w:semiHidden/>
    <w:unhideWhenUsed/>
    <w:rsid w:val="008430BD"/>
    <w:rPr>
      <w:color w:val="605E5C"/>
      <w:shd w:val="clear" w:color="auto" w:fill="E1DFDD"/>
    </w:rPr>
  </w:style>
  <w:style w:type="character" w:styleId="Zstupntext">
    <w:name w:val="Placeholder Text"/>
    <w:basedOn w:val="Standardnpsmoodstavce"/>
    <w:uiPriority w:val="99"/>
    <w:semiHidden/>
    <w:rsid w:val="008430BD"/>
    <w:rPr>
      <w:color w:val="808080"/>
    </w:rPr>
  </w:style>
  <w:style w:type="character" w:customStyle="1" w:styleId="Nevyeenzmnka3">
    <w:name w:val="Nevyřešená zmínka3"/>
    <w:basedOn w:val="Standardnpsmoodstavce"/>
    <w:uiPriority w:val="99"/>
    <w:semiHidden/>
    <w:unhideWhenUsed/>
    <w:rsid w:val="008430BD"/>
    <w:rPr>
      <w:color w:val="605E5C"/>
      <w:shd w:val="clear" w:color="auto" w:fill="E1DFDD"/>
    </w:rPr>
  </w:style>
  <w:style w:type="character" w:customStyle="1" w:styleId="Nevyeenzmnka4">
    <w:name w:val="Nevyřešená zmínka4"/>
    <w:basedOn w:val="Standardnpsmoodstavce"/>
    <w:uiPriority w:val="99"/>
    <w:semiHidden/>
    <w:unhideWhenUsed/>
    <w:rsid w:val="008430BD"/>
    <w:rPr>
      <w:color w:val="605E5C"/>
      <w:shd w:val="clear" w:color="auto" w:fill="E1DFDD"/>
    </w:rPr>
  </w:style>
  <w:style w:type="character" w:customStyle="1" w:styleId="Nevyeenzmnka5">
    <w:name w:val="Nevyřešená zmínka5"/>
    <w:basedOn w:val="Standardnpsmoodstavce"/>
    <w:uiPriority w:val="99"/>
    <w:semiHidden/>
    <w:unhideWhenUsed/>
    <w:rsid w:val="008430BD"/>
    <w:rPr>
      <w:color w:val="605E5C"/>
      <w:shd w:val="clear" w:color="auto" w:fill="E1DFDD"/>
    </w:rPr>
  </w:style>
  <w:style w:type="character" w:styleId="Nevyeenzmnka">
    <w:name w:val="Unresolved Mention"/>
    <w:basedOn w:val="Standardnpsmoodstavce"/>
    <w:uiPriority w:val="99"/>
    <w:semiHidden/>
    <w:unhideWhenUsed/>
    <w:rsid w:val="00EC4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545">
      <w:bodyDiv w:val="1"/>
      <w:marLeft w:val="0"/>
      <w:marRight w:val="0"/>
      <w:marTop w:val="0"/>
      <w:marBottom w:val="0"/>
      <w:divBdr>
        <w:top w:val="none" w:sz="0" w:space="0" w:color="auto"/>
        <w:left w:val="none" w:sz="0" w:space="0" w:color="auto"/>
        <w:bottom w:val="none" w:sz="0" w:space="0" w:color="auto"/>
        <w:right w:val="none" w:sz="0" w:space="0" w:color="auto"/>
      </w:divBdr>
    </w:div>
    <w:div w:id="119232718">
      <w:bodyDiv w:val="1"/>
      <w:marLeft w:val="0"/>
      <w:marRight w:val="0"/>
      <w:marTop w:val="0"/>
      <w:marBottom w:val="0"/>
      <w:divBdr>
        <w:top w:val="none" w:sz="0" w:space="0" w:color="auto"/>
        <w:left w:val="none" w:sz="0" w:space="0" w:color="auto"/>
        <w:bottom w:val="none" w:sz="0" w:space="0" w:color="auto"/>
        <w:right w:val="none" w:sz="0" w:space="0" w:color="auto"/>
      </w:divBdr>
    </w:div>
    <w:div w:id="330958998">
      <w:bodyDiv w:val="1"/>
      <w:marLeft w:val="0"/>
      <w:marRight w:val="0"/>
      <w:marTop w:val="0"/>
      <w:marBottom w:val="0"/>
      <w:divBdr>
        <w:top w:val="none" w:sz="0" w:space="0" w:color="auto"/>
        <w:left w:val="none" w:sz="0" w:space="0" w:color="auto"/>
        <w:bottom w:val="none" w:sz="0" w:space="0" w:color="auto"/>
        <w:right w:val="none" w:sz="0" w:space="0" w:color="auto"/>
      </w:divBdr>
    </w:div>
    <w:div w:id="408964128">
      <w:bodyDiv w:val="1"/>
      <w:marLeft w:val="0"/>
      <w:marRight w:val="0"/>
      <w:marTop w:val="0"/>
      <w:marBottom w:val="0"/>
      <w:divBdr>
        <w:top w:val="none" w:sz="0" w:space="0" w:color="auto"/>
        <w:left w:val="none" w:sz="0" w:space="0" w:color="auto"/>
        <w:bottom w:val="none" w:sz="0" w:space="0" w:color="auto"/>
        <w:right w:val="none" w:sz="0" w:space="0" w:color="auto"/>
      </w:divBdr>
    </w:div>
    <w:div w:id="1042823599">
      <w:bodyDiv w:val="1"/>
      <w:marLeft w:val="0"/>
      <w:marRight w:val="0"/>
      <w:marTop w:val="0"/>
      <w:marBottom w:val="0"/>
      <w:divBdr>
        <w:top w:val="none" w:sz="0" w:space="0" w:color="auto"/>
        <w:left w:val="none" w:sz="0" w:space="0" w:color="auto"/>
        <w:bottom w:val="none" w:sz="0" w:space="0" w:color="auto"/>
        <w:right w:val="none" w:sz="0" w:space="0" w:color="auto"/>
      </w:divBdr>
    </w:div>
    <w:div w:id="1174763909">
      <w:bodyDiv w:val="1"/>
      <w:marLeft w:val="0"/>
      <w:marRight w:val="0"/>
      <w:marTop w:val="0"/>
      <w:marBottom w:val="0"/>
      <w:divBdr>
        <w:top w:val="none" w:sz="0" w:space="0" w:color="auto"/>
        <w:left w:val="none" w:sz="0" w:space="0" w:color="auto"/>
        <w:bottom w:val="none" w:sz="0" w:space="0" w:color="auto"/>
        <w:right w:val="none" w:sz="0" w:space="0" w:color="auto"/>
      </w:divBdr>
    </w:div>
    <w:div w:id="1221215340">
      <w:bodyDiv w:val="1"/>
      <w:marLeft w:val="0"/>
      <w:marRight w:val="0"/>
      <w:marTop w:val="0"/>
      <w:marBottom w:val="0"/>
      <w:divBdr>
        <w:top w:val="none" w:sz="0" w:space="0" w:color="auto"/>
        <w:left w:val="none" w:sz="0" w:space="0" w:color="auto"/>
        <w:bottom w:val="none" w:sz="0" w:space="0" w:color="auto"/>
        <w:right w:val="none" w:sz="0" w:space="0" w:color="auto"/>
      </w:divBdr>
    </w:div>
    <w:div w:id="1336811269">
      <w:bodyDiv w:val="1"/>
      <w:marLeft w:val="0"/>
      <w:marRight w:val="0"/>
      <w:marTop w:val="0"/>
      <w:marBottom w:val="0"/>
      <w:divBdr>
        <w:top w:val="none" w:sz="0" w:space="0" w:color="auto"/>
        <w:left w:val="none" w:sz="0" w:space="0" w:color="auto"/>
        <w:bottom w:val="none" w:sz="0" w:space="0" w:color="auto"/>
        <w:right w:val="none" w:sz="0" w:space="0" w:color="auto"/>
      </w:divBdr>
    </w:div>
    <w:div w:id="1414158194">
      <w:bodyDiv w:val="1"/>
      <w:marLeft w:val="0"/>
      <w:marRight w:val="0"/>
      <w:marTop w:val="0"/>
      <w:marBottom w:val="0"/>
      <w:divBdr>
        <w:top w:val="none" w:sz="0" w:space="0" w:color="auto"/>
        <w:left w:val="none" w:sz="0" w:space="0" w:color="auto"/>
        <w:bottom w:val="none" w:sz="0" w:space="0" w:color="auto"/>
        <w:right w:val="none" w:sz="0" w:space="0" w:color="auto"/>
      </w:divBdr>
    </w:div>
    <w:div w:id="1424182269">
      <w:bodyDiv w:val="1"/>
      <w:marLeft w:val="0"/>
      <w:marRight w:val="0"/>
      <w:marTop w:val="0"/>
      <w:marBottom w:val="0"/>
      <w:divBdr>
        <w:top w:val="none" w:sz="0" w:space="0" w:color="auto"/>
        <w:left w:val="none" w:sz="0" w:space="0" w:color="auto"/>
        <w:bottom w:val="none" w:sz="0" w:space="0" w:color="auto"/>
        <w:right w:val="none" w:sz="0" w:space="0" w:color="auto"/>
      </w:divBdr>
    </w:div>
    <w:div w:id="1546335797">
      <w:bodyDiv w:val="1"/>
      <w:marLeft w:val="0"/>
      <w:marRight w:val="0"/>
      <w:marTop w:val="0"/>
      <w:marBottom w:val="0"/>
      <w:divBdr>
        <w:top w:val="none" w:sz="0" w:space="0" w:color="auto"/>
        <w:left w:val="none" w:sz="0" w:space="0" w:color="auto"/>
        <w:bottom w:val="none" w:sz="0" w:space="0" w:color="auto"/>
        <w:right w:val="none" w:sz="0" w:space="0" w:color="auto"/>
      </w:divBdr>
    </w:div>
    <w:div w:id="1601988428">
      <w:bodyDiv w:val="1"/>
      <w:marLeft w:val="0"/>
      <w:marRight w:val="0"/>
      <w:marTop w:val="0"/>
      <w:marBottom w:val="0"/>
      <w:divBdr>
        <w:top w:val="none" w:sz="0" w:space="0" w:color="auto"/>
        <w:left w:val="none" w:sz="0" w:space="0" w:color="auto"/>
        <w:bottom w:val="none" w:sz="0" w:space="0" w:color="auto"/>
        <w:right w:val="none" w:sz="0" w:space="0" w:color="auto"/>
      </w:divBdr>
    </w:div>
    <w:div w:id="1624340741">
      <w:bodyDiv w:val="1"/>
      <w:marLeft w:val="0"/>
      <w:marRight w:val="0"/>
      <w:marTop w:val="0"/>
      <w:marBottom w:val="0"/>
      <w:divBdr>
        <w:top w:val="none" w:sz="0" w:space="0" w:color="auto"/>
        <w:left w:val="none" w:sz="0" w:space="0" w:color="auto"/>
        <w:bottom w:val="none" w:sz="0" w:space="0" w:color="auto"/>
        <w:right w:val="none" w:sz="0" w:space="0" w:color="auto"/>
      </w:divBdr>
    </w:div>
    <w:div w:id="1870951704">
      <w:bodyDiv w:val="1"/>
      <w:marLeft w:val="0"/>
      <w:marRight w:val="0"/>
      <w:marTop w:val="0"/>
      <w:marBottom w:val="0"/>
      <w:divBdr>
        <w:top w:val="none" w:sz="0" w:space="0" w:color="auto"/>
        <w:left w:val="none" w:sz="0" w:space="0" w:color="auto"/>
        <w:bottom w:val="none" w:sz="0" w:space="0" w:color="auto"/>
        <w:right w:val="none" w:sz="0" w:space="0" w:color="auto"/>
      </w:divBdr>
    </w:div>
    <w:div w:id="1890455462">
      <w:bodyDiv w:val="1"/>
      <w:marLeft w:val="0"/>
      <w:marRight w:val="0"/>
      <w:marTop w:val="0"/>
      <w:marBottom w:val="0"/>
      <w:divBdr>
        <w:top w:val="none" w:sz="0" w:space="0" w:color="auto"/>
        <w:left w:val="none" w:sz="0" w:space="0" w:color="auto"/>
        <w:bottom w:val="none" w:sz="0" w:space="0" w:color="auto"/>
        <w:right w:val="none" w:sz="0" w:space="0" w:color="auto"/>
      </w:divBdr>
    </w:div>
    <w:div w:id="1892112204">
      <w:bodyDiv w:val="1"/>
      <w:marLeft w:val="0"/>
      <w:marRight w:val="0"/>
      <w:marTop w:val="0"/>
      <w:marBottom w:val="0"/>
      <w:divBdr>
        <w:top w:val="none" w:sz="0" w:space="0" w:color="auto"/>
        <w:left w:val="none" w:sz="0" w:space="0" w:color="auto"/>
        <w:bottom w:val="none" w:sz="0" w:space="0" w:color="auto"/>
        <w:right w:val="none" w:sz="0" w:space="0" w:color="auto"/>
      </w:divBdr>
    </w:div>
    <w:div w:id="1928418322">
      <w:bodyDiv w:val="1"/>
      <w:marLeft w:val="0"/>
      <w:marRight w:val="0"/>
      <w:marTop w:val="0"/>
      <w:marBottom w:val="0"/>
      <w:divBdr>
        <w:top w:val="none" w:sz="0" w:space="0" w:color="auto"/>
        <w:left w:val="none" w:sz="0" w:space="0" w:color="auto"/>
        <w:bottom w:val="none" w:sz="0" w:space="0" w:color="auto"/>
        <w:right w:val="none" w:sz="0" w:space="0" w:color="auto"/>
      </w:divBdr>
    </w:div>
    <w:div w:id="19796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5.emf"/><Relationship Id="rId84" Type="http://schemas.openxmlformats.org/officeDocument/2006/relationships/image" Target="media/image76.emf"/><Relationship Id="rId138" Type="http://schemas.openxmlformats.org/officeDocument/2006/relationships/image" Target="media/image130.emf"/><Relationship Id="rId159" Type="http://schemas.openxmlformats.org/officeDocument/2006/relationships/theme" Target="theme/theme1.xml"/><Relationship Id="rId107" Type="http://schemas.openxmlformats.org/officeDocument/2006/relationships/image" Target="media/image99.emf"/><Relationship Id="rId11" Type="http://schemas.openxmlformats.org/officeDocument/2006/relationships/image" Target="media/image3.emf"/><Relationship Id="rId32" Type="http://schemas.openxmlformats.org/officeDocument/2006/relationships/image" Target="media/image24.emf"/><Relationship Id="rId53" Type="http://schemas.openxmlformats.org/officeDocument/2006/relationships/image" Target="media/image45.emf"/><Relationship Id="rId74" Type="http://schemas.openxmlformats.org/officeDocument/2006/relationships/image" Target="media/image66.emf"/><Relationship Id="rId128" Type="http://schemas.openxmlformats.org/officeDocument/2006/relationships/image" Target="media/image120.emf"/><Relationship Id="rId149" Type="http://schemas.openxmlformats.org/officeDocument/2006/relationships/image" Target="media/image139.emf"/><Relationship Id="rId5" Type="http://schemas.openxmlformats.org/officeDocument/2006/relationships/webSettings" Target="webSettings.xml"/><Relationship Id="rId95" Type="http://schemas.openxmlformats.org/officeDocument/2006/relationships/image" Target="media/image87.emf"/><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6.emf"/><Relationship Id="rId118" Type="http://schemas.openxmlformats.org/officeDocument/2006/relationships/image" Target="media/image110.emf"/><Relationship Id="rId139" Type="http://schemas.openxmlformats.org/officeDocument/2006/relationships/hyperlink" Target="https://ec.europa.eu/anti-trafficking/sites/default/files/study_on_data_collection_on_trafficking_in_human_beings_in_the_eu.pdf" TargetMode="External"/><Relationship Id="rId80" Type="http://schemas.openxmlformats.org/officeDocument/2006/relationships/image" Target="media/image72.emf"/><Relationship Id="rId85" Type="http://schemas.openxmlformats.org/officeDocument/2006/relationships/image" Target="media/image77.emf"/><Relationship Id="rId150" Type="http://schemas.openxmlformats.org/officeDocument/2006/relationships/hyperlink" Target="http://cslav.justice.cz/InfoData/uvod.html" TargetMode="External"/><Relationship Id="rId155" Type="http://schemas.openxmlformats.org/officeDocument/2006/relationships/image" Target="media/image143.emf"/><Relationship Id="rId12" Type="http://schemas.openxmlformats.org/officeDocument/2006/relationships/image" Target="media/image4.emf"/><Relationship Id="rId17" Type="http://schemas.openxmlformats.org/officeDocument/2006/relationships/image" Target="media/image9.emf"/><Relationship Id="rId33" Type="http://schemas.openxmlformats.org/officeDocument/2006/relationships/image" Target="media/image25.emf"/><Relationship Id="rId38" Type="http://schemas.openxmlformats.org/officeDocument/2006/relationships/image" Target="media/image30.emf"/><Relationship Id="rId59" Type="http://schemas.openxmlformats.org/officeDocument/2006/relationships/image" Target="media/image51.emf"/><Relationship Id="rId103" Type="http://schemas.openxmlformats.org/officeDocument/2006/relationships/image" Target="media/image95.emf"/><Relationship Id="rId108" Type="http://schemas.openxmlformats.org/officeDocument/2006/relationships/image" Target="media/image100.emf"/><Relationship Id="rId124" Type="http://schemas.openxmlformats.org/officeDocument/2006/relationships/image" Target="media/image116.emf"/><Relationship Id="rId129" Type="http://schemas.openxmlformats.org/officeDocument/2006/relationships/image" Target="media/image121.emf"/><Relationship Id="rId54" Type="http://schemas.openxmlformats.org/officeDocument/2006/relationships/image" Target="media/image46.emf"/><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emf"/><Relationship Id="rId96" Type="http://schemas.openxmlformats.org/officeDocument/2006/relationships/image" Target="media/image88.emf"/><Relationship Id="rId140" Type="http://schemas.openxmlformats.org/officeDocument/2006/relationships/image" Target="media/image131.png"/><Relationship Id="rId145" Type="http://schemas.openxmlformats.org/officeDocument/2006/relationships/image" Target="media/image136.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emf"/><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6.emf"/><Relationship Id="rId119" Type="http://schemas.openxmlformats.org/officeDocument/2006/relationships/image" Target="media/image111.emf"/><Relationship Id="rId44" Type="http://schemas.openxmlformats.org/officeDocument/2006/relationships/image" Target="media/image36.emf"/><Relationship Id="rId60" Type="http://schemas.openxmlformats.org/officeDocument/2006/relationships/image" Target="media/image52.emf"/><Relationship Id="rId65" Type="http://schemas.openxmlformats.org/officeDocument/2006/relationships/image" Target="media/image57.emf"/><Relationship Id="rId81" Type="http://schemas.openxmlformats.org/officeDocument/2006/relationships/image" Target="media/image73.emf"/><Relationship Id="rId86" Type="http://schemas.openxmlformats.org/officeDocument/2006/relationships/image" Target="media/image78.emf"/><Relationship Id="rId130" Type="http://schemas.openxmlformats.org/officeDocument/2006/relationships/image" Target="media/image122.emf"/><Relationship Id="rId135" Type="http://schemas.openxmlformats.org/officeDocument/2006/relationships/image" Target="media/image127.emf"/><Relationship Id="rId151" Type="http://schemas.openxmlformats.org/officeDocument/2006/relationships/image" Target="media/image140.emf"/><Relationship Id="rId156" Type="http://schemas.openxmlformats.org/officeDocument/2006/relationships/hyperlink" Target="mailto:posta@msp.justice.cz" TargetMode="Externa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97" Type="http://schemas.openxmlformats.org/officeDocument/2006/relationships/image" Target="media/image89.emf"/><Relationship Id="rId104" Type="http://schemas.openxmlformats.org/officeDocument/2006/relationships/image" Target="media/image96.emf"/><Relationship Id="rId120" Type="http://schemas.openxmlformats.org/officeDocument/2006/relationships/image" Target="media/image112.emf"/><Relationship Id="rId125" Type="http://schemas.openxmlformats.org/officeDocument/2006/relationships/image" Target="media/image117.emf"/><Relationship Id="rId141" Type="http://schemas.openxmlformats.org/officeDocument/2006/relationships/image" Target="media/image132.png"/><Relationship Id="rId146" Type="http://schemas.openxmlformats.org/officeDocument/2006/relationships/image" Target="media/image137.emf"/><Relationship Id="rId7" Type="http://schemas.openxmlformats.org/officeDocument/2006/relationships/endnotes" Target="end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emf"/><Relationship Id="rId115" Type="http://schemas.openxmlformats.org/officeDocument/2006/relationships/image" Target="media/image107.emf"/><Relationship Id="rId131" Type="http://schemas.openxmlformats.org/officeDocument/2006/relationships/image" Target="media/image123.emf"/><Relationship Id="rId136" Type="http://schemas.openxmlformats.org/officeDocument/2006/relationships/image" Target="media/image128.emf"/><Relationship Id="rId157" Type="http://schemas.openxmlformats.org/officeDocument/2006/relationships/hyperlink" Target="http://www.justice.cz" TargetMode="External"/><Relationship Id="rId61" Type="http://schemas.openxmlformats.org/officeDocument/2006/relationships/image" Target="media/image53.emf"/><Relationship Id="rId82" Type="http://schemas.openxmlformats.org/officeDocument/2006/relationships/image" Target="media/image74.emf"/><Relationship Id="rId152" Type="http://schemas.openxmlformats.org/officeDocument/2006/relationships/image" Target="media/image141.emf"/><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9.emf"/><Relationship Id="rId100" Type="http://schemas.openxmlformats.org/officeDocument/2006/relationships/image" Target="media/image92.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93" Type="http://schemas.openxmlformats.org/officeDocument/2006/relationships/image" Target="media/image85.emf"/><Relationship Id="rId98" Type="http://schemas.openxmlformats.org/officeDocument/2006/relationships/image" Target="media/image90.emf"/><Relationship Id="rId121" Type="http://schemas.openxmlformats.org/officeDocument/2006/relationships/image" Target="media/image113.emf"/><Relationship Id="rId142" Type="http://schemas.openxmlformats.org/officeDocument/2006/relationships/image" Target="media/image133.png"/><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9.emf"/><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fontTable" Target="fontTable.xml"/><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4.emf"/><Relationship Id="rId83" Type="http://schemas.openxmlformats.org/officeDocument/2006/relationships/image" Target="media/image75.emf"/><Relationship Id="rId88" Type="http://schemas.openxmlformats.org/officeDocument/2006/relationships/image" Target="media/image80.emf"/><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package" Target="embeddings/Microsoft_Excel_Macro-Enabled_Worksheet.xlsm"/><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9.emf"/><Relationship Id="rId106" Type="http://schemas.openxmlformats.org/officeDocument/2006/relationships/image" Target="media/image98.emf"/><Relationship Id="rId127" Type="http://schemas.openxmlformats.org/officeDocument/2006/relationships/image" Target="media/image119.emf"/><Relationship Id="rId10" Type="http://schemas.openxmlformats.org/officeDocument/2006/relationships/hyperlink" Target="http://cslav.justice.cz/InfoData/uvod.html;jsessionid=aac8a5a17ffa2eb17703ab803dfd" TargetMode="External"/><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4.png"/><Relationship Id="rId148" Type="http://schemas.openxmlformats.org/officeDocument/2006/relationships/image" Target="media/image138.emf"/><Relationship Id="rId4" Type="http://schemas.openxmlformats.org/officeDocument/2006/relationships/settings" Target="settings.xml"/><Relationship Id="rId9" Type="http://schemas.openxmlformats.org/officeDocument/2006/relationships/image" Target="media/image2.jpg"/><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60.emf"/><Relationship Id="rId89" Type="http://schemas.openxmlformats.org/officeDocument/2006/relationships/image" Target="media/image81.emf"/><Relationship Id="rId112" Type="http://schemas.openxmlformats.org/officeDocument/2006/relationships/image" Target="media/image104.emf"/><Relationship Id="rId133" Type="http://schemas.openxmlformats.org/officeDocument/2006/relationships/image" Target="media/image125.emf"/><Relationship Id="rId154" Type="http://schemas.openxmlformats.org/officeDocument/2006/relationships/image" Target="media/image142.emf"/><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image" Target="media/image50.emf"/><Relationship Id="rId79" Type="http://schemas.openxmlformats.org/officeDocument/2006/relationships/image" Target="media/image71.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5.emf"/><Relationship Id="rId90" Type="http://schemas.openxmlformats.org/officeDocument/2006/relationships/image" Target="media/image82.emf"/><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1.emf"/><Relationship Id="rId113" Type="http://schemas.openxmlformats.org/officeDocument/2006/relationships/image" Target="media/image105.emf"/><Relationship Id="rId134" Type="http://schemas.openxmlformats.org/officeDocument/2006/relationships/image" Target="media/image126.emf"/></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ns_web.nsf/web/ONejvyssimsoudu~Trestnikolegium~Soudci_TK~?openDocument&amp;lng=CZ" TargetMode="External"/><Relationship Id="rId2" Type="http://schemas.openxmlformats.org/officeDocument/2006/relationships/hyperlink" Target="http://www.nsoud.cz/Judikatura/ns_web.nsf/web/ONejvyssimsoudu~Obcanskopravniaobchodnikolegium~Soudci_OOK~?openDocument&amp;lng=CZ" TargetMode="External"/><Relationship Id="rId1" Type="http://schemas.openxmlformats.org/officeDocument/2006/relationships/hyperlink" Target="https://www.justice.cz/web/msp/statisticke-udaje-z-oblasti-justice" TargetMode="External"/><Relationship Id="rId6" Type="http://schemas.openxmlformats.org/officeDocument/2006/relationships/hyperlink" Target="https://www.czechpoint.cz/public/statistiky-a-informace/statistiky-czp/" TargetMode="External"/><Relationship Id="rId5" Type="http://schemas.openxmlformats.org/officeDocument/2006/relationships/hyperlink" Target="https://ec.europa.eu/info/policies/justice-and-fundamental-rights/upholding-rule-law/eu-justice-scoreboard_en" TargetMode="External"/><Relationship Id="rId4" Type="http://schemas.openxmlformats.org/officeDocument/2006/relationships/hyperlink" Target="https://www.coe.int/en/web/portal/-/efficiency-and-quality-of-justice-in-europe-2020-repor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E18A1-054D-4C9C-B9D4-2EA2241E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214</Pages>
  <Words>53467</Words>
  <Characters>315458</Characters>
  <Application>Microsoft Office Word</Application>
  <DocSecurity>0</DocSecurity>
  <Lines>2628</Lines>
  <Paragraphs>736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2021-07-14T09:08:00Z</dcterms:created>
  <dcterms:modified xsi:type="dcterms:W3CDTF">2021-07-14T09:08:00Z</dcterms:modified>
</cp:coreProperties>
</file>